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No11. Шаблонні класи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Шаблонні класи.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Поширити знання у шаблонізації (узагальненні) на основі вивчення шаблонних класів та створення власних шаблонних типів.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Модернізувати клас, що був розроблений у попередній роботи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наступним шляхом: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-зробити його шаблонним;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-додати поле – шаблонний масив;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-видалити з аргументів існуючих методів масив, а замість цього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використовувати масив-поле класу.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Необхідно продемонструвати роботу програми як з використанням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стандартних типів даних, так і типів, які створені користувачем.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призначена для створення та обробки масивів.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952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Рис 1. Діаграма шаблонного класу та TestsInfo + синім типу unsigned 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819400" cy="489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Рис 1. Результат роботи (сортування,виведення на екран, пошук мінімального)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Поширено знання у шаблоніцазії на основі вивчення шаблонних класів та створення власних шаблонних типів.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