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2C7" w14:textId="342CDB2E" w:rsidR="003D1A59" w:rsidRPr="00E75D65" w:rsidRDefault="00936754" w:rsidP="007F1F20">
      <w:pPr>
        <w:pStyle w:val="Title"/>
        <w:rPr>
          <w:rFonts w:asciiTheme="minorHAnsi" w:hAnsiTheme="minorHAnsi"/>
          <w:color w:val="C1D82F" w:themeColor="accent2"/>
          <w:szCs w:val="52"/>
        </w:rPr>
      </w:pPr>
      <w:proofErr w:type="gramStart"/>
      <w:r w:rsidRPr="00E75D65">
        <w:rPr>
          <w:szCs w:val="52"/>
        </w:rPr>
        <w:t>Statement of Work</w:t>
      </w:r>
      <w:proofErr w:type="gramEnd"/>
    </w:p>
    <w:p w14:paraId="7FC0931A" w14:textId="4C0CCFE0" w:rsidR="00D862A2" w:rsidRPr="0068138C" w:rsidRDefault="00F825B9" w:rsidP="00A4636F">
      <w:pPr>
        <w:pStyle w:val="Subtitle"/>
      </w:pPr>
      <w:r>
        <w:t xml:space="preserve">Template for </w:t>
      </w:r>
      <w:r w:rsidR="00AA13CE">
        <w:t>United States of America</w:t>
      </w:r>
      <w:r>
        <w:br/>
      </w:r>
      <w:r w:rsidR="00AA13CE">
        <w:t>Fixed-Price Standalone</w:t>
      </w:r>
      <w:r w:rsidR="009C768F">
        <w:t xml:space="preserve"> SOW</w:t>
      </w:r>
      <w:r w:rsidR="00D862A2" w:rsidRPr="0068138C">
        <w:t xml:space="preserve"> </w:t>
      </w:r>
    </w:p>
    <w:p w14:paraId="4B5B3AEA" w14:textId="77777777" w:rsidR="003D1A59" w:rsidRPr="0068138C" w:rsidRDefault="003D1A59" w:rsidP="002A1E3B"/>
    <w:p w14:paraId="101B7499" w14:textId="39E2B8E7" w:rsidR="0035755C" w:rsidRDefault="0035755C" w:rsidP="0035755C">
      <w:pPr>
        <w:pStyle w:val="Position"/>
      </w:pPr>
      <w:r>
        <w:t>15/Jul/2025</w:t>
      </w:r>
      <w:r w:rsidR="002D0969"/>
      <w:r w:rsidR="00B8537A"/>
      <w:r w:rsidR="002D0969"/>
    </w:p>
    <w:p w14:paraId="36102E05" w14:textId="27ED591C" w:rsidR="0035755C" w:rsidRDefault="0035755C" w:rsidP="002A1E3B"/>
    <w:p w14:paraId="27E3047B" w14:textId="0CE5585F" w:rsidR="00577C1A" w:rsidRDefault="001C119D" w:rsidP="001C119D">
      <w:r>
        <w:t>Presented By:</w:t>
      </w:r>
    </w:p>
    <w:p w14:paraId="557BE271" w14:textId="0CAAF028" w:rsidR="001C119D" w:rsidRDefault="001C119D" w:rsidP="001C119D"/>
    <w:p w14:paraId="14CBDF9D" w14:textId="7F20D334" w:rsidR="001C119D" w:rsidRDefault="001C119D" w:rsidP="001C119D">
      <w:r>
        <w:t>Praveen</w:t>
      </w:r>
    </w:p>
    <w:p w14:paraId="29537158" w14:textId="730B81CF" w:rsidR="001C119D" w:rsidRDefault="001C119D" w:rsidP="001C119D">
      <w:r>
        <w:t>Technical Manager</w:t>
      </w:r>
    </w:p>
    <w:p w14:paraId="1B7FC927" w14:textId="1054A6D3" w:rsidR="00351936" w:rsidRDefault="00351936" w:rsidP="001C119D"/>
    <w:p w14:paraId="1A90B556" w14:textId="4C7B8A6F" w:rsidR="00351936" w:rsidRPr="003B3567" w:rsidRDefault="00351936" w:rsidP="003B3567">
      <w:pPr>
        <w:pStyle w:val="ContactInfo"/>
      </w:pPr>
      <w:r w:rsidRPr="003B3567">
        <w:t>7301 Parkway Drive, Hanover, MD 21076</w:t>
      </w:r>
    </w:p>
    <w:p w14:paraId="20F107F2" w14:textId="370E514E" w:rsidR="00351936" w:rsidRPr="003B3567" w:rsidRDefault="00351936" w:rsidP="003B3567">
      <w:pPr>
        <w:pStyle w:val="ContactInfo"/>
      </w:pPr>
      <w:r w:rsidRPr="003B3567">
        <w:t>+1 9234567892</w:t>
      </w:r>
    </w:p>
    <w:p w14:paraId="3B51F035" w14:textId="1B0AA055" w:rsidR="00351936" w:rsidRDefault="00351936" w:rsidP="003B3567">
      <w:pPr>
        <w:pStyle w:val="ContactInfo"/>
      </w:pPr>
      <w:r w:rsidRPr="003B3567">
        <w:t>pravenn@cfeynman.com</w:t>
      </w:r>
    </w:p>
    <w:p w14:paraId="01B59544" w14:textId="77777777" w:rsidR="00BC0ADD" w:rsidRPr="003B3567" w:rsidRDefault="00BC0ADD" w:rsidP="003B3567">
      <w:pPr>
        <w:pStyle w:val="ContactInfo"/>
      </w:pPr>
    </w:p>
    <w:p w14:paraId="5A197E11" w14:textId="7C27F556" w:rsidR="002D0969" w:rsidRPr="0068138C" w:rsidRDefault="002D0969" w:rsidP="0035755C">
      <w:pPr>
        <w:pStyle w:val="Position"/>
        <w:sectPr w:rsidR="002D0969" w:rsidRPr="0068138C" w:rsidSect="00A4636F">
          <w:headerReference w:type="default" r:id="rId11"/>
          <w:footerReference w:type="default" r:id="rId12"/>
          <w:headerReference w:type="first" r:id="rId13"/>
          <w:pgSz w:w="12240" w:h="15840"/>
          <w:pgMar w:top="0" w:right="5040" w:bottom="0" w:left="1440" w:header="0" w:footer="1440" w:gutter="0"/>
          <w:cols w:space="720"/>
          <w:titlePg/>
          <w:docGrid w:linePitch="360"/>
        </w:sectPr>
      </w:pPr>
    </w:p>
    <w:p w14:paraId="1B2E6624" w14:textId="79008D0E" w:rsidR="00A2082A" w:rsidRDefault="00A2082A" w:rsidP="000D056C"/>
    <w:p w14:paraId="25304FF8" w14:textId="59E6B969" w:rsidR="000D056C" w:rsidRDefault="00901DF0" w:rsidP="007D758E">
      <w:pPr>
        <w:pStyle w:val="TOCHeading"/>
      </w:pPr>
      <w:r>
        <w:t>Revision Table</w:t>
      </w:r>
    </w:p>
    <w:tbl>
      <w:tblPr>
        <w:tblStyle w:val="TableGrid"/>
        <w:tblW w:w="0" w:type="auto"/>
        <w:tblLook w:val="04A0" w:firstRow="1" w:lastRow="0" w:firstColumn="1" w:lastColumn="0" w:noHBand="0" w:noVBand="1"/>
      </w:tblPr>
      <w:tblGrid>
        <w:gridCol w:w="2065"/>
        <w:gridCol w:w="1440"/>
        <w:gridCol w:w="6565"/>
      </w:tblGrid>
      <w:tr w:rsidR="00892736" w:rsidRPr="002B1C7D" w14:paraId="2A39261F" w14:textId="77777777" w:rsidTr="002B1C7D">
        <w:tc>
          <w:tcPr>
            <w:tcW w:w="2065" w:type="dxa"/>
            <w:shd w:val="clear" w:color="auto" w:fill="021A32" w:themeFill="text1"/>
          </w:tcPr>
          <w:p w14:paraId="721E83F1" w14:textId="4FBBB1A7" w:rsidR="00892736" w:rsidRPr="002B1C7D" w:rsidRDefault="00537CAB" w:rsidP="0041344F">
            <w:pPr>
              <w:pStyle w:val="TableHeader"/>
            </w:pPr>
            <w:r w:rsidRPr="0041344F">
              <w:t>Revision</w:t>
            </w:r>
          </w:p>
        </w:tc>
        <w:tc>
          <w:tcPr>
            <w:tcW w:w="1440" w:type="dxa"/>
            <w:shd w:val="clear" w:color="auto" w:fill="021A32" w:themeFill="text1"/>
          </w:tcPr>
          <w:p w14:paraId="17B8974F" w14:textId="3945CB29" w:rsidR="00892736" w:rsidRPr="002B1C7D" w:rsidRDefault="003667C5" w:rsidP="0041344F">
            <w:pPr>
              <w:pStyle w:val="TableHeader"/>
            </w:pPr>
            <w:r w:rsidRPr="002B1C7D">
              <w:t>Date</w:t>
            </w:r>
          </w:p>
        </w:tc>
        <w:tc>
          <w:tcPr>
            <w:tcW w:w="6565" w:type="dxa"/>
            <w:shd w:val="clear" w:color="auto" w:fill="021A32" w:themeFill="text1"/>
          </w:tcPr>
          <w:p w14:paraId="1F9174C3" w14:textId="54833676" w:rsidR="00892736" w:rsidRPr="002B1C7D" w:rsidRDefault="003667C5" w:rsidP="0041344F">
            <w:pPr>
              <w:pStyle w:val="TableHeader"/>
            </w:pPr>
            <w:r w:rsidRPr="002B1C7D">
              <w:t>Description of Change</w:t>
            </w:r>
          </w:p>
        </w:tc>
      </w:tr>
      <w:tr w:rsidR="00892736" w14:paraId="61F00834" w14:textId="77777777" w:rsidTr="002B1C7D">
        <w:tc>
          <w:tcPr>
            <w:tcW w:w="2065" w:type="dxa"/>
          </w:tcPr>
          <w:p w14:paraId="6D783F76" w14:textId="77645EC2" w:rsidR="00892736" w:rsidRDefault="00596377" w:rsidP="002842F2">
            <w:pPr>
              <w:pStyle w:val="TableNormalText"/>
            </w:pPr>
            <w:r>
              <w:t>1.0</w:t>
            </w:r>
          </w:p>
        </w:tc>
        <w:tc>
          <w:tcPr>
            <w:tcW w:w="1440" w:type="dxa"/>
          </w:tcPr>
          <w:p w14:paraId="392787A8" w14:textId="08AC0CFA" w:rsidR="00892736" w:rsidRDefault="001A37EF" w:rsidP="002842F2">
            <w:pPr>
              <w:pStyle w:val="TableNormalText"/>
            </w:pPr>
            <w:r>
              <w:t>XXXXX</w:t>
            </w:r>
          </w:p>
        </w:tc>
        <w:tc>
          <w:tcPr>
            <w:tcW w:w="6565" w:type="dxa"/>
          </w:tcPr>
          <w:p w14:paraId="3C8C0030" w14:textId="7975FBB7" w:rsidR="00892736" w:rsidRDefault="00596377" w:rsidP="002842F2">
            <w:pPr>
              <w:pStyle w:val="TableNormalText"/>
            </w:pPr>
            <w:r>
              <w:t>Initial Release</w:t>
            </w:r>
          </w:p>
        </w:tc>
      </w:tr>
    </w:tbl>
    <w:p w14:paraId="6FC24569" w14:textId="0AEDD19F" w:rsidR="00901DF0" w:rsidRDefault="00901DF0" w:rsidP="000D056C"/>
    <w:p w14:paraId="608F79A1" w14:textId="7B3A1084" w:rsidR="00901DF0" w:rsidRDefault="00901DF0" w:rsidP="000D056C"/>
    <w:p w14:paraId="7D98A1E5" w14:textId="43C06CD9" w:rsidR="00901DF0" w:rsidRDefault="00901DF0" w:rsidP="000D056C"/>
    <w:p w14:paraId="564E013C" w14:textId="481C9341" w:rsidR="00A2082A" w:rsidRDefault="003E3C71" w:rsidP="000D056C">
      <w:r>
        <w:rPr>
          <w:noProof/>
        </w:rPr>
        <mc:AlternateContent>
          <mc:Choice Requires="wps">
            <w:drawing>
              <wp:anchor distT="45720" distB="45720" distL="114300" distR="114300" simplePos="0" relativeHeight="251659264" behindDoc="0" locked="0" layoutInCell="1" allowOverlap="1" wp14:anchorId="23B727D0" wp14:editId="05FBE976">
                <wp:simplePos x="0" y="0"/>
                <wp:positionH relativeFrom="margin">
                  <wp:align>left</wp:align>
                </wp:positionH>
                <wp:positionV relativeFrom="paragraph">
                  <wp:posOffset>5288915</wp:posOffset>
                </wp:positionV>
                <wp:extent cx="6430645" cy="1404620"/>
                <wp:effectExtent l="0" t="0" r="8255" b="444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0645" cy="1404620"/>
                        </a:xfrm>
                        <a:prstGeom prst="rect">
                          <a:avLst/>
                        </a:prstGeom>
                        <a:solidFill>
                          <a:srgbClr val="FFFFFF"/>
                        </a:solidFill>
                        <a:ln w="9525">
                          <a:noFill/>
                          <a:miter lim="800000"/>
                          <a:headEnd/>
                          <a:tailEnd/>
                        </a:ln>
                      </wps:spPr>
                      <wps:txbx>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B727D0" id="_x0000_t202" coordsize="21600,21600" o:spt="202" path="m,l,21600r21600,l21600,xe">
                <v:stroke joinstyle="miter"/>
                <v:path gradientshapeok="t" o:connecttype="rect"/>
              </v:shapetype>
              <v:shape id="Text Box 2" o:spid="_x0000_s1026" type="#_x0000_t202" style="position:absolute;margin-left:0;margin-top:416.45pt;width:506.3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1DgIAAPcDAAAOAAAAZHJzL2Uyb0RvYy54bWysU9tu2zAMfR+wfxD0vtjJnK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" stroked="f">
                <v:textbox style="mso-fit-shape-to-text:t">
                  <w:txbxContent>
                    <w:p w14:paraId="314FDC88" w14:textId="2A3C857D" w:rsidR="005B0946" w:rsidRPr="00366D05" w:rsidRDefault="005B0946" w:rsidP="005B0946">
                      <w:pPr>
                        <w:jc w:val="center"/>
                        <w:rPr>
                          <w:i/>
                          <w:iCs/>
                          <w:u w:val="single"/>
                        </w:rPr>
                      </w:pPr>
                      <w:r w:rsidRPr="00366D05">
                        <w:rPr>
                          <w:i/>
                          <w:iCs/>
                          <w:u w:val="single"/>
                        </w:rPr>
                        <w:t xml:space="preserve">Confidentiality </w:t>
                      </w:r>
                      <w:r w:rsidR="00366D05" w:rsidRPr="00366D05">
                        <w:rPr>
                          <w:i/>
                          <w:iCs/>
                          <w:u w:val="single"/>
                        </w:rPr>
                        <w:t>Statement</w:t>
                      </w:r>
                    </w:p>
                    <w:p w14:paraId="39D09DA7" w14:textId="7E58D77D" w:rsidR="003E3C71" w:rsidRPr="00C24AC1" w:rsidRDefault="00C24AC1">
                      <w:pPr>
                        <w:rPr>
                          <w:i/>
                          <w:iCs/>
                        </w:rPr>
                      </w:pPr>
                      <w:r w:rsidRPr="00C24AC1">
                        <w:rPr>
                          <w:i/>
                          <w:iCs/>
                        </w:rPr>
                        <w:t>This document contains information that is privileged, confidential, and otherwise protected from disclosure to anyone other than intended recipient(s). As a result, this information should not be disclosed, duplicated or used for any other purpose than to evaluate Actalent. On signing the contract as a result of the process initialized by submission of this document, any right to disclose, duplicate or use the data contained within this document will be to the extent provided in the resulting agreement</w:t>
                      </w:r>
                    </w:p>
                  </w:txbxContent>
                </v:textbox>
                <w10:wrap type="square" anchorx="margin"/>
              </v:shape>
            </w:pict>
          </mc:Fallback>
        </mc:AlternateContent>
      </w:r>
    </w:p>
    <w:p w14:paraId="2B842B46" w14:textId="77777777" w:rsidR="00DA00AC" w:rsidRDefault="00DA00AC" w:rsidP="007D758E">
      <w:pPr>
        <w:pStyle w:val="Heading1"/>
        <w:sectPr w:rsidR="00DA00AC" w:rsidSect="00A02543">
          <w:pgSz w:w="12240" w:h="15840"/>
          <w:pgMar w:top="1080" w:right="1080" w:bottom="1800" w:left="1080" w:header="0" w:footer="0" w:gutter="0"/>
          <w:pgNumType w:start="1"/>
          <w:cols w:space="720"/>
          <w:docGrid w:linePitch="360"/>
        </w:sectPr>
      </w:pPr>
    </w:p>
    <w:p w14:paraId="4B5007FD" w14:textId="087CD587" w:rsidR="00A2082A" w:rsidRDefault="00A2082A" w:rsidP="0014223A"/>
    <w:sdt>
      <w:sdtPr>
        <w:rPr>
          <w:rFonts w:ascii="Verdana" w:eastAsiaTheme="minorHAnsi" w:hAnsi="Verdana" w:cs="Arial"/>
          <w:b w:val="0"/>
          <w:bCs/>
          <w:color w:val="46535E" w:themeColor="accent6"/>
          <w:sz w:val="22"/>
          <w:szCs w:val="22"/>
        </w:rPr>
        <w:id w:val="-1440135511"/>
        <w:docPartObj>
          <w:docPartGallery w:val="Table of Contents"/>
          <w:docPartUnique/>
        </w:docPartObj>
      </w:sdtPr>
      <w:sdtEndPr>
        <w:rPr>
          <w:noProof/>
        </w:rPr>
      </w:sdtEndPr>
      <w:sdtContent>
        <w:p w14:paraId="37A12DAD" w14:textId="536B43CE" w:rsidR="000D056C" w:rsidRDefault="000D056C" w:rsidP="007D758E">
          <w:pPr>
            <w:pStyle w:val="TOCHeading"/>
          </w:pPr>
          <w:r>
            <w:t xml:space="preserve">Table of </w:t>
          </w:r>
          <w:r w:rsidRPr="00DE27B7">
            <w:t>Contents</w:t>
          </w:r>
        </w:p>
        <w:p w14:paraId="3D621BA4" w14:textId="20B16E46" w:rsidR="000D056C" w:rsidRDefault="00D8225E">
          <w:fldSimple w:instr=" TOC \o &quot;1-3&quot; \h \z \u ">
            <w:r>
              <w:rPr>
                <w:b/>
                <w:bCs w:val="0"/>
                <w:noProof/>
              </w:rPr>
              <w:t>No table of contents entries found.</w:t>
            </w:r>
          </w:fldSimple>
        </w:p>
      </w:sdtContent>
    </w:sdt>
    <w:p w14:paraId="2C29784F" w14:textId="12481C1F" w:rsidR="00B054FC" w:rsidRDefault="00BF3E97" w:rsidP="00BF3E97">
      <w:pPr>
        <w:pStyle w:val="TOCHeading"/>
      </w:pPr>
      <w:r>
        <w:t>Table of Exhibits</w:t>
      </w:r>
    </w:p>
    <w:p w14:paraId="66761CB8" w14:textId="6426ACD3" w:rsidR="00BF3E97" w:rsidRDefault="00BF3E97">
      <w:pPr>
        <w:pStyle w:val="TOC1"/>
        <w:tabs>
          <w:tab w:val="right" w:leader="dot" w:pos="10070"/>
        </w:tabs>
        <w:rPr>
          <w:rFonts w:asciiTheme="minorHAnsi" w:eastAsiaTheme="minorEastAsia" w:hAnsiTheme="minorHAnsi" w:cstheme="minorBidi"/>
          <w:bCs w:val="0"/>
          <w:noProof/>
          <w:color w:val="auto"/>
        </w:rPr>
      </w:pPr>
      <w:r>
        <w:fldChar w:fldCharType="begin"/>
      </w:r>
      <w:r>
        <w:instrText xml:space="preserve"> TOC \h \z \t "Exhibit,1" </w:instrText>
      </w:r>
      <w:r>
        <w:fldChar w:fldCharType="separate"/>
      </w:r>
      <w:hyperlink w:anchor="_Toc102744285" w:history="1">
        <w:r w:rsidRPr="009A27F2">
          <w:rPr>
            <w:rStyle w:val="Hyperlink"/>
            <w:noProof/>
          </w:rPr>
          <w:t>Exhibit A – Change Order</w:t>
        </w:r>
        <w:r>
          <w:rPr>
            <w:noProof/>
            <w:webHidden/>
          </w:rPr>
          <w:tab/>
        </w:r>
        <w:r>
          <w:rPr>
            <w:noProof/>
            <w:webHidden/>
          </w:rPr>
          <w:fldChar w:fldCharType="begin"/>
        </w:r>
        <w:r>
          <w:rPr>
            <w:noProof/>
            <w:webHidden/>
          </w:rPr>
          <w:instrText xml:space="preserve"> PAGEREF _Toc102744285 \h </w:instrText>
        </w:r>
        <w:r>
          <w:rPr>
            <w:noProof/>
            <w:webHidden/>
          </w:rPr>
        </w:r>
        <w:r>
          <w:rPr>
            <w:noProof/>
            <w:webHidden/>
          </w:rPr>
          <w:fldChar w:fldCharType="separate"/>
        </w:r>
        <w:r>
          <w:rPr>
            <w:noProof/>
            <w:webHidden/>
          </w:rPr>
          <w:t>27</w:t>
        </w:r>
        <w:r>
          <w:rPr>
            <w:noProof/>
            <w:webHidden/>
          </w:rPr>
          <w:fldChar w:fldCharType="end"/>
        </w:r>
      </w:hyperlink>
    </w:p>
    <w:p w14:paraId="21C19B27" w14:textId="5C38A33F" w:rsidR="00BF3E97" w:rsidRDefault="00BF3E97" w:rsidP="0014223A">
      <w:r>
        <w:fldChar w:fldCharType="end"/>
      </w:r>
    </w:p>
    <w:p w14:paraId="4BD5457C" w14:textId="77777777" w:rsidR="00BF3E97" w:rsidRDefault="00BF3E97" w:rsidP="0014223A"/>
    <w:p w14:paraId="1B2204F8" w14:textId="1B69FB2A" w:rsidR="00BF3E97" w:rsidRDefault="00BF3E97" w:rsidP="0055336E">
      <w:pPr>
        <w:pStyle w:val="ListBullet"/>
        <w:sectPr w:rsidR="00BF3E97" w:rsidSect="00A02543">
          <w:pgSz w:w="12240" w:h="15840"/>
          <w:pgMar w:top="1080" w:right="1080" w:bottom="1800" w:left="1080" w:header="0" w:footer="0" w:gutter="0"/>
          <w:pgNumType w:start="1"/>
          <w:cols w:space="720"/>
          <w:docGrid w:linePitch="360"/>
        </w:sectPr>
      </w:pPr>
    </w:p>
    <w:p w14:paraId="393DFD45" w14:textId="65298CD8" w:rsidR="002F254D" w:rsidRPr="0068138C" w:rsidRDefault="002F254D" w:rsidP="00D8225E">
      <w:pPr>
        <w:pStyle w:val="Heading1"/>
        <w:numPr>
          <w:ilvl w:val="0"/>
          <w:numId w:val="0"/>
        </w:numPr>
        <w:ind w:left="1008" w:hanging="1008"/>
      </w:pPr>
    </w:p>
    <w:p>
      <w:pPr>
        <w:pStyle w:val="Heading1"/>
        <w:spacing w:before="360" w:after="120"/>
      </w:pPr>
      <w:r>
        <w:rPr>
          <w:rFonts w:ascii="Verdana" w:hAnsi="Verdana"/>
          <w:b/>
          <w:color w:val="374351"/>
          <w:sz w:val="32"/>
        </w:rPr>
        <w:t>Introduction</w:t>
      </w:r>
    </w:p>
    <w:p>
      <w:pPr>
        <w:spacing w:line="276" w:lineRule="auto" w:after="160"/>
        <w:jc w:val="both"/>
      </w:pPr>
      <w:r>
        <w:rPr>
          <w:rFonts w:ascii="Verdana" w:hAnsi="Verdana"/>
          <w:color w:val="46535E"/>
          <w:sz w:val="22"/>
        </w:rPr>
        <w:t>This Statement of Work (SOW) dated the 15th day of July, 2025 (the "Effective Date") is made and entered into by and between Danfoss, a corporation, having a place of business at New Jersey (the "Client") and CFeynmanCompany Services, LLC, a Maryland limited liability company, having its principal place of business at 7301 Parkway Drive, Hanover, MD 21076 ("CFeynmanCompany"); individually referenced here after as "Party" and collectively referenced hereafter as the "Parties".</w:t>
      </w:r>
    </w:p>
    <w:p>
      <w:pPr>
        <w:pStyle w:val="Heading1"/>
        <w:spacing w:before="360" w:after="120"/>
      </w:pPr>
      <w:r>
        <w:rPr>
          <w:rFonts w:ascii="Verdana" w:hAnsi="Verdana"/>
          <w:b/>
          <w:color w:val="374351"/>
          <w:sz w:val="32"/>
        </w:rPr>
        <w:t>Executive Summary</w:t>
      </w:r>
    </w:p>
    <w:p>
      <w:pPr>
        <w:spacing w:line="276" w:lineRule="auto" w:after="160"/>
        <w:jc w:val="both"/>
      </w:pPr>
      <w:r>
        <w:rPr>
          <w:rFonts w:ascii="Verdana" w:hAnsi="Verdana"/>
          <w:color w:val="46535E"/>
          <w:sz w:val="22"/>
        </w:rPr>
        <w:t>Danfoss is developing advanced firmware for a safety-critical inverter module that requires strict adherence to ISO 26262 functional safety standards. The client faces two critical challenges: completing approximately 110 safety software requirements with rigorous verification and validation (V&amp;V), and resolving critical CAN database (DBC) file issues that are blocking their DYNO test environment and preventing testing progress.</w:t>
      </w:r>
    </w:p>
    <w:p>
      <w:pPr>
        <w:spacing w:line="276" w:lineRule="auto" w:after="160"/>
        <w:jc w:val="both"/>
      </w:pPr>
      <w:r>
        <w:rPr>
          <w:rFonts w:ascii="Verdana" w:hAnsi="Verdana"/>
          <w:color w:val="46535E"/>
          <w:sz w:val="22"/>
        </w:rPr>
        <w:t>CFeynmanCompany proposes a three-phase Time &amp; Materials engagement utilizing our blended-shore delivery model. Our India Design Center will handle the bulk of the V&amp;V work for cost efficiency, while our US-based consultant will provide high-value functional safety guidance and oversight. The engagement will be delivered through an extended team model, with dedicated resources working as an extension of Danfoss's internal team across both onsite and offshore locations.</w:t>
      </w:r>
    </w:p>
    <w:p>
      <w:pPr>
        <w:spacing w:line="276" w:lineRule="auto" w:after="160"/>
        <w:jc w:val="both"/>
      </w:pPr>
      <w:r>
        <w:rPr>
          <w:rFonts w:ascii="Verdana" w:hAnsi="Verdana"/>
          <w:color w:val="46535E"/>
          <w:sz w:val="22"/>
        </w:rPr>
        <w:t>The project will begin with a paid Discovery phase to de-risk the engagement and provide immediate value through DBC issue resolution. Project coordination will include regular status meetings, milestone reviews, and direct integration with Danfoss stakeholders. Our US team will provide specialized functional safety support, ensuring compliance with ISO 26262 standards while leveraging our India Design Center's expertise in embedded systems and automotive testing.</w:t>
      </w:r>
    </w:p>
    <w:p>
      <w:pPr>
        <w:pStyle w:val="Heading1"/>
        <w:spacing w:before="360" w:after="120"/>
      </w:pPr>
      <w:r>
        <w:rPr>
          <w:rFonts w:ascii="Verdana" w:hAnsi="Verdana"/>
          <w:b/>
          <w:color w:val="374351"/>
          <w:sz w:val="32"/>
        </w:rPr>
        <w:t>Scope of Work</w:t>
      </w:r>
    </w:p>
    <w:p>
      <w:pPr>
        <w:spacing w:line="276" w:lineRule="auto" w:after="160"/>
        <w:jc w:val="both"/>
      </w:pPr>
      <w:r>
        <w:rPr>
          <w:rFonts w:ascii="Verdana" w:hAnsi="Verdana"/>
          <w:color w:val="46535E"/>
          <w:sz w:val="22"/>
        </w:rPr>
        <w:t>This section lists the project requirements that must be met and describes these requirements as CFeynmanCompany understands them. In addition, this section details the CFeynmanCompany solution and includes the following subsections:</w:t>
      </w:r>
    </w:p>
    <w:p>
      <w:pPr>
        <w:pStyle w:val="Heading2"/>
        <w:spacing w:before="240" w:after="120"/>
      </w:pPr>
      <w:r>
        <w:rPr>
          <w:rFonts w:ascii="Verdana" w:hAnsi="Verdana"/>
          <w:b/>
          <w:color w:val="43627D"/>
          <w:sz w:val="27"/>
        </w:rPr>
        <w:t>Project Requirements</w:t>
      </w:r>
    </w:p>
    <w:p>
      <w:pPr>
        <w:spacing w:line="276" w:lineRule="auto" w:after="160"/>
        <w:jc w:val="both"/>
      </w:pPr>
      <w:r>
        <w:rPr>
          <w:rFonts w:ascii="Verdana" w:hAnsi="Verdana"/>
          <w:color w:val="46535E"/>
          <w:sz w:val="22"/>
        </w:rPr>
        <w:t>This subsection lists all the Client project requirements as understood by CFeynmanCompany:</w:t>
      </w:r>
    </w:p>
    <w:p>
      <w:pPr>
        <w:pStyle w:val="ListBullet"/>
        <w:jc w:val="left"/>
      </w:pPr>
      <w:r>
        <w:rPr>
          <w:rFonts w:ascii="Verdana" w:hAnsi="Verdana"/>
          <w:sz w:val="22"/>
        </w:rPr>
        <w:t>Implement approximately 110 remaining safety software requirements for the Safety CPU in accordance with ISO 26262-6 standard</w:t>
      </w:r>
    </w:p>
    <w:p>
      <w:pPr>
        <w:pStyle w:val="ListBullet"/>
        <w:jc w:val="left"/>
      </w:pPr>
      <w:r>
        <w:rPr>
          <w:rFonts w:ascii="Verdana" w:hAnsi="Verdana"/>
          <w:sz w:val="22"/>
        </w:rPr>
        <w:t>Refactor existing codebase to align with Danfoss specified TSC (Technical Safety Concept) Architecture</w:t>
      </w:r>
    </w:p>
    <w:p>
      <w:pPr>
        <w:pStyle w:val="ListBullet"/>
        <w:jc w:val="left"/>
      </w:pPr>
      <w:r>
        <w:rPr>
          <w:rFonts w:ascii="Verdana" w:hAnsi="Verdana"/>
          <w:sz w:val="22"/>
        </w:rPr>
        <w:t>Create comprehensive architectural and detailed design documents as evidence for safety lifecycle</w:t>
      </w:r>
    </w:p>
    <w:p>
      <w:pPr>
        <w:pStyle w:val="ListBullet"/>
        <w:jc w:val="left"/>
      </w:pPr>
      <w:r>
        <w:rPr>
          <w:rFonts w:ascii="Verdana" w:hAnsi="Verdana"/>
          <w:sz w:val="22"/>
        </w:rPr>
        <w:t>Develop and execute unit tests to achieve required code coverage metrics (Statement, Branch, MC/DC)</w:t>
      </w:r>
    </w:p>
    <w:p>
      <w:pPr>
        <w:pStyle w:val="ListBullet"/>
        <w:jc w:val="left"/>
      </w:pPr>
      <w:r>
        <w:rPr>
          <w:rFonts w:ascii="Verdana" w:hAnsi="Verdana"/>
          <w:sz w:val="22"/>
        </w:rPr>
        <w:t>Perform bench-level integration and requirement-based testing on physical bench setup</w:t>
      </w:r>
    </w:p>
    <w:p>
      <w:pPr>
        <w:pStyle w:val="ListBullet"/>
        <w:jc w:val="left"/>
      </w:pPr>
      <w:r>
        <w:rPr>
          <w:rFonts w:ascii="Verdana" w:hAnsi="Verdana"/>
          <w:sz w:val="22"/>
        </w:rPr>
        <w:t>Conduct remote HIL testing including fault insertion tests to validate safety mechanism effectiveness</w:t>
      </w:r>
    </w:p>
    <w:p>
      <w:pPr>
        <w:pStyle w:val="ListBullet"/>
        <w:jc w:val="left"/>
      </w:pPr>
      <w:r>
        <w:rPr>
          <w:rFonts w:ascii="Verdana" w:hAnsi="Verdana"/>
          <w:sz w:val="22"/>
        </w:rPr>
        <w:t>Investigate and resolve root cause of DYNO data acquisition failure related to CAN translation</w:t>
      </w:r>
    </w:p>
    <w:p>
      <w:pPr>
        <w:pStyle w:val="ListBullet"/>
        <w:jc w:val="left"/>
      </w:pPr>
      <w:r>
        <w:rPr>
          <w:rFonts w:ascii="Verdana" w:hAnsi="Verdana"/>
          <w:sz w:val="22"/>
        </w:rPr>
        <w:t>Merge, update, and rationalize multiple existing DBC files into master DBCs compatible with DYNO data acquisition module</w:t>
      </w:r>
    </w:p>
    <w:p>
      <w:pPr>
        <w:pStyle w:val="Heading2"/>
        <w:spacing w:before="240" w:after="120"/>
      </w:pPr>
      <w:r>
        <w:rPr>
          <w:rFonts w:ascii="Verdana" w:hAnsi="Verdana"/>
          <w:b/>
          <w:color w:val="43627D"/>
          <w:sz w:val="27"/>
        </w:rPr>
        <w:t>Assumptions</w:t>
      </w:r>
    </w:p>
    <w:p>
      <w:pPr>
        <w:spacing w:line="276" w:lineRule="auto" w:after="160"/>
        <w:jc w:val="both"/>
      </w:pPr>
      <w:r>
        <w:rPr>
          <w:rFonts w:ascii="Verdana" w:hAnsi="Verdana"/>
          <w:color w:val="46535E"/>
          <w:sz w:val="22"/>
        </w:rPr>
        <w:t>This subsection describes assumptions identified for the completion of this project:</w:t>
      </w:r>
    </w:p>
    <w:p>
      <w:pPr>
        <w:pStyle w:val="ListBullet"/>
        <w:jc w:val="left"/>
      </w:pPr>
      <w:r>
        <w:rPr>
          <w:rFonts w:ascii="Verdana" w:hAnsi="Verdana"/>
          <w:sz w:val="22"/>
        </w:rPr>
        <w:t>Client will provide two complete hardware kits with harnesses, shipped to CFeynmanCompany India Design Center at client expense</w:t>
      </w:r>
    </w:p>
    <w:p>
      <w:pPr>
        <w:pStyle w:val="ListBullet"/>
        <w:jc w:val="left"/>
      </w:pPr>
      <w:r>
        <w:rPr>
          <w:rFonts w:ascii="Verdana" w:hAnsi="Verdana"/>
          <w:sz w:val="22"/>
        </w:rPr>
        <w:t>Client will provide uninterrupted remote access to a stable, pre-configured HIL system</w:t>
      </w:r>
    </w:p>
    <w:p>
      <w:pPr>
        <w:pStyle w:val="ListBullet"/>
        <w:jc w:val="left"/>
      </w:pPr>
      <w:r>
        <w:rPr>
          <w:rFonts w:ascii="Verdana" w:hAnsi="Verdana"/>
          <w:sz w:val="22"/>
        </w:rPr>
        <w:t>Client will provide a configured development laptop ready for immediate use</w:t>
      </w:r>
    </w:p>
    <w:p>
      <w:pPr>
        <w:pStyle w:val="ListBullet"/>
        <w:jc w:val="left"/>
      </w:pPr>
      <w:r>
        <w:rPr>
          <w:rFonts w:ascii="Verdana" w:hAnsi="Verdana"/>
          <w:sz w:val="22"/>
        </w:rPr>
        <w:t>Client subject matter experts will be available for timely clarifications and reviews</w:t>
      </w:r>
    </w:p>
    <w:p>
      <w:pPr>
        <w:pStyle w:val="ListBullet"/>
        <w:jc w:val="left"/>
      </w:pPr>
      <w:r>
        <w:rPr>
          <w:rFonts w:ascii="Verdana" w:hAnsi="Verdana"/>
          <w:sz w:val="22"/>
        </w:rPr>
        <w:t>Existing codebase is available and accessible for analysis and refactoring</w:t>
      </w:r>
    </w:p>
    <w:p>
      <w:pPr>
        <w:pStyle w:val="ListBullet"/>
        <w:jc w:val="left"/>
      </w:pPr>
      <w:r>
        <w:rPr>
          <w:rFonts w:ascii="Verdana" w:hAnsi="Verdana"/>
          <w:sz w:val="22"/>
        </w:rPr>
        <w:t>Current safety plan and TSC documentation will be provided by client</w:t>
      </w:r>
    </w:p>
    <w:p>
      <w:pPr>
        <w:pStyle w:val="ListBullet"/>
        <w:jc w:val="left"/>
      </w:pPr>
      <w:r>
        <w:rPr>
          <w:rFonts w:ascii="Verdana" w:hAnsi="Verdana"/>
          <w:sz w:val="22"/>
        </w:rPr>
        <w:t>The actual scope of code refactoring will be determined during Phase 1 Discovery</w:t>
      </w:r>
    </w:p>
    <w:p>
      <w:pPr>
        <w:pStyle w:val="ListBullet"/>
        <w:jc w:val="left"/>
      </w:pPr>
      <w:r>
        <w:rPr>
          <w:rFonts w:ascii="Verdana" w:hAnsi="Verdana"/>
          <w:sz w:val="22"/>
        </w:rPr>
        <w:t>Tool licenses (Vector Cast, PC-LINT) will be client's financial responsibility</w:t>
      </w:r>
    </w:p>
    <w:p>
      <w:pPr>
        <w:pStyle w:val="Heading2"/>
        <w:spacing w:before="240" w:after="120"/>
      </w:pPr>
      <w:r>
        <w:rPr>
          <w:rFonts w:ascii="Verdana" w:hAnsi="Verdana"/>
          <w:b/>
          <w:color w:val="43627D"/>
          <w:sz w:val="27"/>
        </w:rPr>
        <w:t>Methodology or Approach</w:t>
      </w:r>
    </w:p>
    <w:p>
      <w:pPr>
        <w:spacing w:line="276" w:lineRule="auto" w:after="160"/>
        <w:jc w:val="both"/>
      </w:pPr>
      <w:r>
        <w:rPr>
          <w:rFonts w:ascii="Verdana" w:hAnsi="Verdana"/>
          <w:color w:val="46535E"/>
          <w:sz w:val="22"/>
        </w:rPr>
        <w:t>This subsection describes the implementation plan for the CFeynmanCompany solution:</w:t>
      </w:r>
    </w:p>
    <w:p>
      <w:pPr>
        <w:spacing w:line="276" w:lineRule="auto" w:after="160"/>
        <w:jc w:val="both"/>
      </w:pPr>
      <w:r>
        <w:rPr>
          <w:rFonts w:ascii="Verdana" w:hAnsi="Verdana"/>
          <w:color w:val="46535E"/>
          <w:sz w:val="22"/>
        </w:rPr>
        <w:t>CFeynmanCompany will implement a three-phase approach to de-risk the engagement and ensure successful delivery:</w:t>
      </w:r>
    </w:p>
    <w:p>
      <w:pPr>
        <w:spacing w:line="276" w:lineRule="auto" w:after="160"/>
        <w:jc w:val="both"/>
      </w:pPr>
      <w:r>
        <w:rPr>
          <w:rFonts w:ascii="Verdana" w:hAnsi="Verdana"/>
          <w:color w:val="46535E"/>
          <w:sz w:val="22"/>
        </w:rPr>
        <w:t>**Phase 1 - Discovery and Gap Analysis (T&amp;M Basis):** This critical phase will analyze the existing codebase, define the actual scope of work, and deliver an immediate quick win by resolving the DBC file issues. During this phase, CFeynmanCompany will conduct a comprehensive assessment of the current state, identify gaps, and provide a detailed implementation plan for subsequent phases.</w:t>
      </w:r>
    </w:p>
    <w:p>
      <w:pPr>
        <w:spacing w:line="276" w:lineRule="auto" w:after="160"/>
        <w:jc w:val="both"/>
      </w:pPr>
      <w:r>
        <w:rPr>
          <w:rFonts w:ascii="Verdana" w:hAnsi="Verdana"/>
          <w:color w:val="46535E"/>
          <w:sz w:val="22"/>
        </w:rPr>
        <w:t>**Phase 2 - Implementation and V&amp;V (Indicative):** Based on Phase 1 findings, this phase will focus on implementing the safety requirements, conducting code refactoring, and performing comprehensive verification and validation activities. The scope and timeline for this phase will be formally defined by the output of Phase 1.</w:t>
      </w:r>
    </w:p>
    <w:p>
      <w:pPr>
        <w:spacing w:line="276" w:lineRule="auto" w:after="160"/>
        <w:jc w:val="both"/>
      </w:pPr>
      <w:r>
        <w:rPr>
          <w:rFonts w:ascii="Verdana" w:hAnsi="Verdana"/>
          <w:color w:val="46535E"/>
          <w:sz w:val="22"/>
        </w:rPr>
        <w:t>**Phase 3 - Final Testing and Documentation (Indicative):** This phase will complete the HIL testing, fault insertion validation, and final documentation deliverables. The plans for this phase are indicative only and will be formally defined by the output of Phase 1.</w:t>
      </w:r>
    </w:p>
    <w:p>
      <w:pPr>
        <w:pStyle w:val="Heading2"/>
        <w:spacing w:before="240" w:after="120"/>
      </w:pPr>
      <w:r>
        <w:rPr>
          <w:rFonts w:ascii="Verdana" w:hAnsi="Verdana"/>
          <w:b/>
          <w:color w:val="43627D"/>
          <w:sz w:val="27"/>
        </w:rPr>
        <w:t>Acceptance Criteria</w:t>
      </w:r>
    </w:p>
    <w:p>
      <w:pPr>
        <w:spacing w:line="276" w:lineRule="auto" w:after="160"/>
        <w:jc w:val="both"/>
      </w:pPr>
      <w:r>
        <w:rPr>
          <w:rFonts w:ascii="Verdana" w:hAnsi="Verdana"/>
          <w:color w:val="46535E"/>
          <w:sz w:val="22"/>
        </w:rPr>
        <w:t>This section identifies and describes the conditions that must be met for acceptance by the Client:</w:t>
      </w:r>
    </w:p>
    <w:p>
      <w:pPr>
        <w:pStyle w:val="ListBullet"/>
        <w:jc w:val="left"/>
      </w:pPr>
      <w:r>
        <w:rPr>
          <w:rFonts w:ascii="Verdana" w:hAnsi="Verdana"/>
          <w:sz w:val="22"/>
        </w:rPr>
        <w:t>All deliverables must pass client's internal review process and meet documented quality standards</w:t>
      </w:r>
    </w:p>
    <w:p>
      <w:pPr>
        <w:pStyle w:val="ListBullet"/>
        <w:jc w:val="left"/>
      </w:pPr>
      <w:r>
        <w:rPr>
          <w:rFonts w:ascii="Verdana" w:hAnsi="Verdana"/>
          <w:sz w:val="22"/>
        </w:rPr>
        <w:t>Software deliverables must demonstrate compliance with ISO 26262-6 requirements through appropriate documentation and test evidence</w:t>
      </w:r>
    </w:p>
    <w:p>
      <w:pPr>
        <w:pStyle w:val="ListBullet"/>
        <w:jc w:val="left"/>
      </w:pPr>
      <w:r>
        <w:rPr>
          <w:rFonts w:ascii="Verdana" w:hAnsi="Verdana"/>
          <w:sz w:val="22"/>
        </w:rPr>
        <w:t>Code coverage metrics must meet the requirements specified in the safety plan (Statement, Branch, MC/DC)</w:t>
      </w:r>
    </w:p>
    <w:p>
      <w:pPr>
        <w:pStyle w:val="ListBullet"/>
        <w:jc w:val="left"/>
      </w:pPr>
      <w:r>
        <w:rPr>
          <w:rFonts w:ascii="Verdana" w:hAnsi="Verdana"/>
          <w:sz w:val="22"/>
        </w:rPr>
        <w:t>DBC file deliverables must demonstrate successful data acquisition in the DYNO test environment</w:t>
      </w:r>
    </w:p>
    <w:p>
      <w:pPr>
        <w:pStyle w:val="ListBullet"/>
        <w:jc w:val="left"/>
      </w:pPr>
      <w:r>
        <w:rPr>
          <w:rFonts w:ascii="Verdana" w:hAnsi="Verdana"/>
          <w:sz w:val="22"/>
        </w:rPr>
        <w:t>All documentation must be complete, accurate, and follow Danfoss documentation standards</w:t>
      </w:r>
    </w:p>
    <w:p>
      <w:pPr>
        <w:pStyle w:val="ListBullet"/>
        <w:jc w:val="left"/>
      </w:pPr>
      <w:r>
        <w:rPr>
          <w:rFonts w:ascii="Verdana" w:hAnsi="Verdana"/>
          <w:sz w:val="22"/>
        </w:rPr>
        <w:t>Deliverables are subject to Client review and will be deemed accepted if no written objections are received within 15 calendar days of submission</w:t>
      </w:r>
    </w:p>
    <w:p>
      <w:pPr>
        <w:pStyle w:val="ListBullet"/>
        <w:jc w:val="left"/>
      </w:pPr>
      <w:r>
        <w:rPr>
          <w:rFonts w:ascii="Verdana" w:hAnsi="Verdana"/>
          <w:sz w:val="22"/>
        </w:rPr>
        <w:t>Test results must demonstrate successful validation of safety mechanisms through fault insertion testing</w:t>
      </w:r>
    </w:p>
    <w:p>
      <w:pPr>
        <w:pStyle w:val="ListBullet"/>
        <w:jc w:val="left"/>
      </w:pPr>
      <w:r>
        <w:rPr>
          <w:rFonts w:ascii="Verdana" w:hAnsi="Verdana"/>
          <w:sz w:val="22"/>
        </w:rPr>
        <w:t>Final software must successfully execute on the target hardware platform</w:t>
      </w:r>
    </w:p>
    <w:p>
      <w:pPr>
        <w:pStyle w:val="Heading1"/>
        <w:spacing w:before="360" w:after="120"/>
      </w:pPr>
      <w:r>
        <w:rPr>
          <w:rFonts w:ascii="Verdana" w:hAnsi="Verdana"/>
          <w:b/>
          <w:color w:val="374351"/>
          <w:sz w:val="32"/>
        </w:rPr>
        <w:t>Assets/Information Required</w:t>
      </w:r>
    </w:p>
    <w:p>
      <w:pPr>
        <w:spacing w:line="276" w:lineRule="auto" w:after="160"/>
        <w:jc w:val="both"/>
      </w:pPr>
      <w:r>
        <w:rPr>
          <w:rFonts w:ascii="Verdana" w:hAnsi="Verdana"/>
          <w:color w:val="46535E"/>
          <w:sz w:val="22"/>
        </w:rPr>
        <w:t>This section identifies and describes the required assets, information, and tools required from the Client to complete the project:</w:t>
      </w:r>
    </w:p>
    <w:p/>
    <w:p>
      <w:pPr>
        <w:pStyle w:val="ListNumber"/>
        <w:jc w:val="left"/>
      </w:pPr>
      <w:r>
        <w:rPr>
          <w:rFonts w:ascii="Verdana" w:hAnsi="Verdana"/>
          <w:sz w:val="22"/>
        </w:rPr>
        <w:t>Hardware: Two complete hardware kits with harnesses, shipped to CFeynmanCompany India Design Center at client expense before project start</w:t>
      </w:r>
    </w:p>
    <w:p>
      <w:pPr>
        <w:pStyle w:val="ListNumber"/>
        <w:jc w:val="left"/>
      </w:pPr>
      <w:r>
        <w:rPr>
          <w:rFonts w:ascii="Verdana" w:hAnsi="Verdana"/>
          <w:sz w:val="22"/>
        </w:rPr>
        <w:t>Remote Access: Uninterrupted access to a stable, pre-configured HIL system for testing purposes</w:t>
      </w:r>
    </w:p>
    <w:p>
      <w:pPr>
        <w:pStyle w:val="ListNumber"/>
        <w:jc w:val="left"/>
      </w:pPr>
      <w:r>
        <w:rPr>
          <w:rFonts w:ascii="Verdana" w:hAnsi="Verdana"/>
          <w:sz w:val="22"/>
        </w:rPr>
        <w:t>Development Environment: A configured laptop ready for immediate development use, with all necessary tools and access permissions pre-installed</w:t>
      </w:r>
    </w:p>
    <w:p>
      <w:pPr>
        <w:pStyle w:val="ListNumber"/>
        <w:jc w:val="left"/>
      </w:pPr>
      <w:r>
        <w:rPr>
          <w:rFonts w:ascii="Verdana" w:hAnsi="Verdana"/>
          <w:sz w:val="22"/>
        </w:rPr>
        <w:t>Documentation: Current safety plan, TSC (Technical Safety Concept) documentation, existing codebase, and architectural documentation</w:t>
      </w:r>
    </w:p>
    <w:p>
      <w:pPr>
        <w:pStyle w:val="ListNumber"/>
        <w:jc w:val="left"/>
      </w:pPr>
      <w:r>
        <w:rPr>
          <w:rFonts w:ascii="Verdana" w:hAnsi="Verdana"/>
          <w:sz w:val="22"/>
        </w:rPr>
        <w:t>DBC Files: All existing CAN database files and related documentation for analysis and consolidation</w:t>
      </w:r>
    </w:p>
    <w:p>
      <w:pPr>
        <w:pStyle w:val="ListNumber"/>
        <w:jc w:val="left"/>
      </w:pPr>
      <w:r>
        <w:rPr>
          <w:rFonts w:ascii="Verdana" w:hAnsi="Verdana"/>
          <w:sz w:val="22"/>
        </w:rPr>
        <w:t>Tool Licenses: Client responsibility to provide or fund licenses for Vector Cast, PC-LINT, and other required development tools</w:t>
      </w:r>
    </w:p>
    <w:p>
      <w:pPr>
        <w:pStyle w:val="ListNumber"/>
        <w:jc w:val="left"/>
      </w:pPr>
      <w:r>
        <w:rPr>
          <w:rFonts w:ascii="Verdana" w:hAnsi="Verdana"/>
          <w:sz w:val="22"/>
        </w:rPr>
        <w:t>Subject Matter Expert Access: Timely availability of Danfoss technical experts for clarifications, reviews, and decision-making</w:t>
      </w:r>
    </w:p>
    <w:p>
      <w:pPr>
        <w:pStyle w:val="ListNumber"/>
        <w:jc w:val="left"/>
      </w:pPr>
      <w:r>
        <w:rPr>
          <w:rFonts w:ascii="Verdana" w:hAnsi="Verdana"/>
          <w:sz w:val="22"/>
        </w:rPr>
        <w:t>Test Environment Access: Access to DYNO test environment and data acquisition systems for validation and troubleshooting</w:t>
      </w:r>
    </w:p>
    <w:p>
      <w:pPr>
        <w:pStyle w:val="Heading1"/>
        <w:spacing w:before="360" w:after="120"/>
      </w:pPr>
      <w:r>
        <w:rPr>
          <w:rFonts w:ascii="Verdana" w:hAnsi="Verdana"/>
          <w:b/>
          <w:color w:val="374351"/>
          <w:sz w:val="32"/>
        </w:rPr>
        <w:t>Governance and Review</w:t>
      </w:r>
    </w:p>
    <w:p>
      <w:pPr>
        <w:spacing w:line="276" w:lineRule="auto" w:after="160"/>
        <w:jc w:val="both"/>
      </w:pPr>
      <w:r>
        <w:rPr>
          <w:rFonts w:ascii="Verdana" w:hAnsi="Verdana"/>
          <w:color w:val="46535E"/>
          <w:sz w:val="22"/>
        </w:rPr>
        <w:t>This section addresses the governance and review applied towards the completion of this project including status meetings, milestone reviews, and escalation procedures:</w:t>
      </w:r>
    </w:p>
    <w:p>
      <w:pPr>
        <w:pStyle w:val="ListBullet"/>
        <w:jc w:val="left"/>
      </w:pPr>
      <w:r>
        <w:rPr>
          <w:rFonts w:ascii="Verdana" w:hAnsi="Verdana"/>
          <w:sz w:val="22"/>
        </w:rPr>
        <w:t>Weekly status meetings to review progress, address issues, and coordinate activities between teams</w:t>
      </w:r>
    </w:p>
    <w:p>
      <w:pPr>
        <w:pStyle w:val="ListBullet"/>
        <w:jc w:val="left"/>
      </w:pPr>
      <w:r>
        <w:rPr>
          <w:rFonts w:ascii="Verdana" w:hAnsi="Verdana"/>
          <w:sz w:val="22"/>
        </w:rPr>
        <w:t>Milestone reviews at the end of each project phase to evaluate deliverables and approve progression to next phase</w:t>
      </w:r>
    </w:p>
    <w:p>
      <w:pPr>
        <w:pStyle w:val="ListBullet"/>
        <w:jc w:val="left"/>
      </w:pPr>
      <w:r>
        <w:rPr>
          <w:rFonts w:ascii="Verdana" w:hAnsi="Verdana"/>
          <w:sz w:val="22"/>
        </w:rPr>
        <w:t>15-day review cycle for all deliverables with deemed acceptance if no written feedback is provided</w:t>
      </w:r>
    </w:p>
    <w:p>
      <w:pPr>
        <w:pStyle w:val="ListBullet"/>
        <w:jc w:val="left"/>
      </w:pPr>
      <w:r>
        <w:rPr>
          <w:rFonts w:ascii="Verdana" w:hAnsi="Verdana"/>
          <w:sz w:val="22"/>
        </w:rPr>
        <w:t>Monthly executive briefings to provide high-level status updates to project stakeholders</w:t>
      </w:r>
    </w:p>
    <w:p>
      <w:pPr>
        <w:pStyle w:val="ListBullet"/>
        <w:jc w:val="left"/>
      </w:pPr>
      <w:r>
        <w:rPr>
          <w:rFonts w:ascii="Verdana" w:hAnsi="Verdana"/>
          <w:sz w:val="22"/>
        </w:rPr>
        <w:t>Escalation procedures for technical issues requiring immediate attention or decision-making</w:t>
      </w:r>
    </w:p>
    <w:p>
      <w:pPr>
        <w:pStyle w:val="ListBullet"/>
        <w:jc w:val="left"/>
      </w:pPr>
      <w:r>
        <w:rPr>
          <w:rFonts w:ascii="Verdana" w:hAnsi="Verdana"/>
          <w:sz w:val="22"/>
        </w:rPr>
        <w:t>Change management process triggered at 80% of budget burn to formally manage scope changes</w:t>
      </w:r>
    </w:p>
    <w:p>
      <w:pPr>
        <w:pStyle w:val="ListBullet"/>
        <w:jc w:val="left"/>
      </w:pPr>
      <w:r>
        <w:rPr>
          <w:rFonts w:ascii="Verdana" w:hAnsi="Verdana"/>
          <w:sz w:val="22"/>
        </w:rPr>
        <w:t>Quality gates to ensure compliance with ISO 26262 requirements at each phase</w:t>
      </w:r>
    </w:p>
    <w:p>
      <w:pPr>
        <w:pStyle w:val="ListBullet"/>
        <w:jc w:val="left"/>
      </w:pPr>
      <w:r>
        <w:rPr>
          <w:rFonts w:ascii="Verdana" w:hAnsi="Verdana"/>
          <w:sz w:val="22"/>
        </w:rPr>
        <w:t>Regular coordination meetings between onshore and offshore teams to maintain project alignment</w:t>
      </w:r>
    </w:p>
    <w:p>
      <w:pPr>
        <w:pStyle w:val="Heading1"/>
        <w:spacing w:before="360" w:after="120"/>
      </w:pPr>
      <w:r>
        <w:rPr>
          <w:rFonts w:ascii="Verdana" w:hAnsi="Verdana"/>
          <w:b/>
          <w:color w:val="374351"/>
          <w:sz w:val="32"/>
        </w:rPr>
        <w:t>Out of Scope</w:t>
      </w:r>
    </w:p>
    <w:p>
      <w:pPr>
        <w:spacing w:line="276" w:lineRule="auto" w:after="160"/>
        <w:jc w:val="both"/>
      </w:pPr>
      <w:r>
        <w:rPr>
          <w:rFonts w:ascii="Verdana" w:hAnsi="Verdana"/>
          <w:color w:val="46535E"/>
          <w:sz w:val="22"/>
        </w:rPr>
        <w:t>This section states the agreed upon requirements and/or items not included in the Scope of Work. These items usually require a significant effort that would impact and require additional work. If it becomes necessary to complete these requirements and/or items, then a Change Order would be required:</w:t>
      </w:r>
    </w:p>
    <w:p>
      <w:pPr>
        <w:pStyle w:val="ListBullet"/>
        <w:jc w:val="left"/>
      </w:pPr>
      <w:r>
        <w:rPr>
          <w:rFonts w:ascii="Verdana" w:hAnsi="Verdana"/>
          <w:sz w:val="22"/>
        </w:rPr>
        <w:t>Hardware design or modification of the inverter module hardware</w:t>
      </w:r>
    </w:p>
    <w:p>
      <w:pPr>
        <w:pStyle w:val="ListBullet"/>
        <w:jc w:val="left"/>
      </w:pPr>
      <w:r>
        <w:rPr>
          <w:rFonts w:ascii="Verdana" w:hAnsi="Verdana"/>
          <w:sz w:val="22"/>
        </w:rPr>
        <w:t>Development of new safety requirements beyond the existing 110 identified requirements</w:t>
      </w:r>
    </w:p>
    <w:p>
      <w:pPr>
        <w:pStyle w:val="ListBullet"/>
        <w:jc w:val="left"/>
      </w:pPr>
      <w:r>
        <w:rPr>
          <w:rFonts w:ascii="Verdana" w:hAnsi="Verdana"/>
          <w:sz w:val="22"/>
        </w:rPr>
        <w:t>Modification or development of the HIL test environment hardware or software</w:t>
      </w:r>
    </w:p>
    <w:p>
      <w:pPr>
        <w:pStyle w:val="ListBullet"/>
        <w:jc w:val="left"/>
      </w:pPr>
      <w:r>
        <w:rPr>
          <w:rFonts w:ascii="Verdana" w:hAnsi="Verdana"/>
          <w:sz w:val="22"/>
        </w:rPr>
        <w:t>Training of Danfoss personnel on ISO 26262 or functional safety practices</w:t>
      </w:r>
    </w:p>
    <w:p>
      <w:pPr>
        <w:pStyle w:val="ListBullet"/>
        <w:jc w:val="left"/>
      </w:pPr>
      <w:r>
        <w:rPr>
          <w:rFonts w:ascii="Verdana" w:hAnsi="Verdana"/>
          <w:sz w:val="22"/>
        </w:rPr>
        <w:t>Ongoing maintenance or support beyond the completion of the project deliverables</w:t>
      </w:r>
    </w:p>
    <w:p>
      <w:pPr>
        <w:pStyle w:val="ListBullet"/>
        <w:jc w:val="left"/>
      </w:pPr>
      <w:r>
        <w:rPr>
          <w:rFonts w:ascii="Verdana" w:hAnsi="Verdana"/>
          <w:sz w:val="22"/>
        </w:rPr>
        <w:t>Integration with systems or modules outside the scope of the inverter module firmware</w:t>
      </w:r>
    </w:p>
    <w:p>
      <w:pPr>
        <w:pStyle w:val="ListBullet"/>
        <w:jc w:val="left"/>
      </w:pPr>
      <w:r>
        <w:rPr>
          <w:rFonts w:ascii="Verdana" w:hAnsi="Verdana"/>
          <w:sz w:val="22"/>
        </w:rPr>
        <w:t>Certification or audit activities with external certification bodies</w:t>
      </w:r>
    </w:p>
    <w:p>
      <w:pPr>
        <w:pStyle w:val="ListBullet"/>
        <w:jc w:val="left"/>
      </w:pPr>
      <w:r>
        <w:rPr>
          <w:rFonts w:ascii="Verdana" w:hAnsi="Verdana"/>
          <w:sz w:val="22"/>
        </w:rPr>
        <w:t>Development of production-ready software beyond prototype and validation phases</w:t>
      </w:r>
    </w:p>
    <w:p>
      <w:pPr>
        <w:pStyle w:val="Heading1"/>
        <w:spacing w:before="360" w:after="120"/>
      </w:pPr>
      <w:r>
        <w:rPr>
          <w:rFonts w:ascii="Verdana" w:hAnsi="Verdana"/>
          <w:b/>
          <w:color w:val="374351"/>
          <w:sz w:val="32"/>
        </w:rPr>
        <w:t>Deliverables</w:t>
      </w:r>
    </w:p>
    <w:p>
      <w:pPr>
        <w:spacing w:line="276" w:lineRule="auto" w:after="160"/>
        <w:jc w:val="both"/>
      </w:pPr>
      <w:r>
        <w:rPr>
          <w:rFonts w:ascii="Verdana" w:hAnsi="Verdana"/>
          <w:color w:val="46535E"/>
          <w:sz w:val="22"/>
        </w:rPr>
        <w:t>This SOW describes the support needs relating to the project in terms of the following deliverables:</w:t>
      </w:r>
    </w:p>
    <w:p/>
    <w:p>
      <w:pPr>
        <w:pStyle w:val="ListNumber"/>
        <w:jc w:val="left"/>
      </w:pPr>
      <w:r>
        <w:rPr>
          <w:rFonts w:ascii="Verdana" w:hAnsi="Verdana"/>
          <w:sz w:val="22"/>
        </w:rPr>
        <w:t>Consolidated DBC File(s): Fully functional and optimized set of DBC files for the DYNO data acquisition system - Electronic submission via secure file transfer</w:t>
      </w:r>
    </w:p>
    <w:p>
      <w:pPr>
        <w:pStyle w:val="ListNumber"/>
        <w:jc w:val="left"/>
      </w:pPr>
      <w:r>
        <w:rPr>
          <w:rFonts w:ascii="Verdana" w:hAnsi="Verdana"/>
          <w:sz w:val="22"/>
        </w:rPr>
        <w:t>Software Design Document: Comprehensive document detailing high-level and low-level design of safety software - Electronic submission via secure file transfer</w:t>
      </w:r>
    </w:p>
    <w:p>
      <w:pPr>
        <w:pStyle w:val="ListNumber"/>
        <w:jc w:val="left"/>
      </w:pPr>
      <w:r>
        <w:rPr>
          <w:rFonts w:ascii="Verdana" w:hAnsi="Verdana"/>
          <w:sz w:val="22"/>
        </w:rPr>
        <w:t>Refactored Safety Software: Complete, reviewed, and tested source code for implemented safety functions - Electronic submission via secure file transfer</w:t>
      </w:r>
    </w:p>
    <w:p>
      <w:pPr>
        <w:pStyle w:val="ListNumber"/>
        <w:jc w:val="left"/>
      </w:pPr>
      <w:r>
        <w:rPr>
          <w:rFonts w:ascii="Verdana" w:hAnsi="Verdana"/>
          <w:sz w:val="22"/>
        </w:rPr>
        <w:t>Software Verification &amp; Validation Report: Detailed report containing static code analysis, unit test results, integration test results, and HIL testing results - Electronic submission via secure file transfer</w:t>
      </w:r>
    </w:p>
    <w:p>
      <w:pPr>
        <w:pStyle w:val="ListNumber"/>
        <w:jc w:val="left"/>
      </w:pPr>
      <w:r>
        <w:rPr>
          <w:rFonts w:ascii="Verdana" w:hAnsi="Verdana"/>
          <w:sz w:val="22"/>
        </w:rPr>
        <w:t>Discovery Phase Report: Comprehensive analysis of existing codebase and detailed implementation plan for subsequent phases - Electronic submission via secure file transfer</w:t>
      </w:r>
    </w:p>
    <w:p>
      <w:pPr>
        <w:pStyle w:val="ListNumber"/>
        <w:jc w:val="left"/>
      </w:pPr>
      <w:r>
        <w:rPr>
          <w:rFonts w:ascii="Verdana" w:hAnsi="Verdana"/>
          <w:sz w:val="22"/>
        </w:rPr>
        <w:t>Test Coverage Report: Documentation of achieved code coverage metrics (Statement, Branch, MC/DC) - Electronic submission via secure file transfer</w:t>
      </w:r>
    </w:p>
    <w:p>
      <w:pPr>
        <w:pStyle w:val="ListNumber"/>
        <w:jc w:val="left"/>
      </w:pPr>
      <w:r>
        <w:rPr>
          <w:rFonts w:ascii="Verdana" w:hAnsi="Verdana"/>
          <w:sz w:val="22"/>
        </w:rPr>
        <w:t>Fault Insertion Test Report: Results and evidence from HIL testing including safety mechanism validation - Electronic submission via secure file transfer</w:t>
      </w:r>
    </w:p>
    <w:p>
      <w:pPr>
        <w:pStyle w:val="Heading1"/>
        <w:spacing w:before="360" w:after="120"/>
      </w:pPr>
      <w:r>
        <w:rPr>
          <w:rFonts w:ascii="Verdana" w:hAnsi="Verdana"/>
          <w:b/>
          <w:color w:val="374351"/>
          <w:sz w:val="32"/>
        </w:rPr>
        <w:t>Project Schedule</w:t>
      </w:r>
    </w:p>
    <w:p>
      <w:pPr>
        <w:spacing w:line="276" w:lineRule="auto" w:after="160"/>
        <w:jc w:val="both"/>
      </w:pPr>
      <w:r>
        <w:rPr>
          <w:rFonts w:ascii="Verdana" w:hAnsi="Verdana"/>
          <w:color w:val="46535E"/>
          <w:sz w:val="22"/>
        </w:rPr>
        <w:t>This section describes the project schedule, including the start date and estimated completion date:</w:t>
      </w:r>
    </w:p>
    <w:p>
      <w:pPr>
        <w:spacing w:line="276" w:lineRule="auto" w:after="160"/>
        <w:jc w:val="both"/>
      </w:pPr>
      <w:r>
        <w:rPr>
          <w:rFonts w:ascii="Verdana" w:hAnsi="Verdana"/>
          <w:color w:val="46535E"/>
          <w:sz w:val="22"/>
        </w:rPr>
        <w:t>**Project Start Date:** September 4, 2025 (target kick-off date as specified in RFP)</w:t>
      </w:r>
    </w:p>
    <w:p>
      <w:pPr>
        <w:spacing w:line="276" w:lineRule="auto" w:after="160"/>
        <w:jc w:val="both"/>
      </w:pPr>
      <w:r>
        <w:rPr>
          <w:rFonts w:ascii="Verdana" w:hAnsi="Verdana"/>
          <w:color w:val="46535E"/>
          <w:sz w:val="22"/>
        </w:rPr>
        <w:t>**Estimated Completion Date:** To be determined based on Phase 1 Discovery findings</w:t>
      </w:r>
    </w:p>
    <w:p>
      <w:pPr>
        <w:spacing w:line="276" w:lineRule="auto" w:after="160"/>
        <w:jc w:val="both"/>
      </w:pPr>
      <w:r>
        <w:rPr>
          <w:rFonts w:ascii="Verdana" w:hAnsi="Verdana"/>
          <w:color w:val="46535E"/>
          <w:sz w:val="22"/>
        </w:rPr>
        <w:t>**Phases and Milestones:**</w:t>
      </w:r>
    </w:p>
    <w:p>
      <w:pPr>
        <w:pStyle w:val="ListBullet"/>
        <w:jc w:val="left"/>
      </w:pPr>
      <w:r>
        <w:rPr>
          <w:rFonts w:ascii="Verdana" w:hAnsi="Verdana"/>
          <w:sz w:val="22"/>
        </w:rPr>
        <w:t>Phase 1 - Discovery and Gap Analysis: 4-6 weeks from project start</w:t>
      </w:r>
    </w:p>
    <w:p>
      <w:pPr>
        <w:pStyle w:val="ListBullet"/>
        <w:jc w:val="left"/>
      </w:pPr>
      <w:r>
        <w:rPr>
          <w:rFonts w:ascii="Verdana" w:hAnsi="Verdana"/>
          <w:sz w:val="22"/>
        </w:rPr>
        <w:t>Phase 2 - Implementation and V&amp;V: Duration to be determined based on Phase 1 findings</w:t>
      </w:r>
    </w:p>
    <w:p>
      <w:pPr>
        <w:pStyle w:val="ListBullet"/>
        <w:jc w:val="left"/>
      </w:pPr>
      <w:r>
        <w:rPr>
          <w:rFonts w:ascii="Verdana" w:hAnsi="Verdana"/>
          <w:sz w:val="22"/>
        </w:rPr>
        <w:t>Phase 3 - Final Testing and Documentation: Duration to be determined based on Phase 1 findings</w:t>
      </w:r>
    </w:p>
    <w:p>
      <w:pPr>
        <w:pStyle w:val="Heading1"/>
        <w:spacing w:before="360" w:after="120"/>
      </w:pPr>
      <w:r>
        <w:rPr>
          <w:rFonts w:ascii="Verdana" w:hAnsi="Verdana"/>
          <w:b/>
          <w:color w:val="374351"/>
          <w:sz w:val="32"/>
        </w:rPr>
        <w:t>Proposed Team and Organization</w:t>
      </w:r>
    </w:p>
    <w:p>
      <w:pPr>
        <w:spacing w:line="276" w:lineRule="auto" w:after="160"/>
        <w:jc w:val="both"/>
      </w:pPr>
      <w:r>
        <w:rPr>
          <w:rFonts w:ascii="Verdana" w:hAnsi="Verdana"/>
          <w:color w:val="46535E"/>
          <w:sz w:val="22"/>
        </w:rPr>
        <w:t>This section describes the proposed CFeynmanCompany team and organization, including team structure, roles, and responsibilities, as well as the assignment of responsibilities.</w:t>
      </w:r>
    </w:p>
    <w:p>
      <w:pPr>
        <w:spacing w:line="276" w:lineRule="auto" w:after="160"/>
        <w:jc w:val="both"/>
      </w:pPr>
      <w:r>
        <w:rPr>
          <w:rFonts w:ascii="Verdana" w:hAnsi="Verdana"/>
          <w:color w:val="46535E"/>
          <w:sz w:val="22"/>
        </w:rPr>
        <w:t>CFeynmanCompany will deploy a blended-shore team model utilizing both our US-based consultants and India Design Center resources to provide cost-effective, high-quality delivery: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Classification</w:t>
            </w:r>
          </w:p>
        </w:tc>
        <w:tc>
          <w:tcPr>
            <w:tcW w:type="dxa" w:w="2520"/>
            <w:shd w:fill="374351"/>
          </w:tcPr>
          <w:p>
            <w:pPr>
              <w:jc w:val="center"/>
            </w:pPr>
            <w:r>
              <w:rPr>
                <w:rFonts w:ascii="Verdana" w:hAnsi="Verdana"/>
                <w:b/>
                <w:color w:val="FFFFFF"/>
                <w:sz w:val="16"/>
              </w:rPr>
              <w:t>Location</w:t>
            </w:r>
          </w:p>
        </w:tc>
        <w:tc>
          <w:tcPr>
            <w:tcW w:type="dxa" w:w="2520"/>
            <w:shd w:fill="374351"/>
          </w:tcPr>
          <w:p>
            <w:pPr>
              <w:jc w:val="center"/>
            </w:pPr>
            <w:r>
              <w:rPr>
                <w:rFonts w:ascii="Verdana" w:hAnsi="Verdana"/>
                <w:b/>
                <w:color w:val="FFFFFF"/>
                <w:sz w:val="16"/>
              </w:rPr>
              <w:t>Responsibilities</w:t>
            </w:r>
          </w:p>
        </w:tc>
      </w:tr>
      <w:tr>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US/India</w:t>
            </w:r>
          </w:p>
        </w:tc>
        <w:tc>
          <w:tcPr>
            <w:tcW w:type="dxa" w:w="2520"/>
          </w:tcPr>
          <w:p>
            <w:pPr>
              <w:jc w:val="center"/>
            </w:pPr>
            <w:r>
              <w:rPr>
                <w:rFonts w:ascii="Verdana" w:hAnsi="Verdana"/>
                <w:color w:val="46535E"/>
                <w:sz w:val="16"/>
              </w:rPr>
              <w:t>Overall project coordination, client communication, schedule management</w:t>
            </w:r>
          </w:p>
        </w:tc>
      </w:tr>
      <w:tr>
        <w:tc>
          <w:tcPr>
            <w:tcW w:type="dxa" w:w="2520"/>
          </w:tcPr>
          <w:p>
            <w:pPr>
              <w:jc w:val="center"/>
            </w:pPr>
            <w:r>
              <w:rPr>
                <w:rFonts w:ascii="Verdana" w:hAnsi="Verdana"/>
                <w:color w:val="46535E"/>
                <w:sz w:val="16"/>
              </w:rPr>
              <w:t>Functional Safety Consultant</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US</w:t>
            </w:r>
          </w:p>
        </w:tc>
        <w:tc>
          <w:tcPr>
            <w:tcW w:type="dxa" w:w="2520"/>
          </w:tcPr>
          <w:p>
            <w:pPr>
              <w:jc w:val="center"/>
            </w:pPr>
            <w:r>
              <w:rPr>
                <w:rFonts w:ascii="Verdana" w:hAnsi="Verdana"/>
                <w:color w:val="46535E"/>
                <w:sz w:val="16"/>
              </w:rPr>
              <w:t>ISO 26262 compliance oversight, safety requirement review, audit support</w:t>
            </w:r>
          </w:p>
        </w:tc>
      </w:tr>
      <w:tr>
        <w:tc>
          <w:tcPr>
            <w:tcW w:type="dxa" w:w="2520"/>
          </w:tcPr>
          <w:p>
            <w:pPr>
              <w:jc w:val="center"/>
            </w:pPr>
            <w:r>
              <w:rPr>
                <w:rFonts w:ascii="Verdana" w:hAnsi="Verdana"/>
                <w:color w:val="46535E"/>
                <w:sz w:val="16"/>
              </w:rPr>
              <w:t>Lead Software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Code implementation, architecture design, technical leadership</w:t>
            </w:r>
          </w:p>
        </w:tc>
      </w:tr>
      <w:tr>
        <w:tc>
          <w:tcPr>
            <w:tcW w:type="dxa" w:w="2520"/>
          </w:tcPr>
          <w:p>
            <w:pPr>
              <w:jc w:val="center"/>
            </w:pPr>
            <w:r>
              <w:rPr>
                <w:rFonts w:ascii="Verdana" w:hAnsi="Verdana"/>
                <w:color w:val="46535E"/>
                <w:sz w:val="16"/>
              </w:rPr>
              <w:t>V&amp;V Engineer</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Test development, code coverage analysis, validation activities</w:t>
            </w:r>
          </w:p>
        </w:tc>
      </w:tr>
      <w:tr>
        <w:tc>
          <w:tcPr>
            <w:tcW w:type="dxa" w:w="2520"/>
          </w:tcPr>
          <w:p>
            <w:pPr>
              <w:jc w:val="center"/>
            </w:pPr>
            <w:r>
              <w:rPr>
                <w:rFonts w:ascii="Verdana" w:hAnsi="Verdana"/>
                <w:color w:val="46535E"/>
                <w:sz w:val="16"/>
              </w:rPr>
              <w:t>Embedded Systems Engineer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Hardware integration, HIL testing, bench testing</w:t>
            </w:r>
          </w:p>
        </w:tc>
      </w:tr>
      <w:tr>
        <w:tc>
          <w:tcPr>
            <w:tcW w:type="dxa" w:w="2520"/>
          </w:tcPr>
          <w:p>
            <w:pPr>
              <w:jc w:val="center"/>
            </w:pPr>
            <w:r>
              <w:rPr>
                <w:rFonts w:ascii="Verdana" w:hAnsi="Verdana"/>
                <w:color w:val="46535E"/>
                <w:sz w:val="16"/>
              </w:rPr>
              <w:t>CAN/DBC Specialist</w:t>
            </w:r>
          </w:p>
        </w:tc>
        <w:tc>
          <w:tcPr>
            <w:tcW w:type="dxa" w:w="2520"/>
          </w:tcPr>
          <w:p>
            <w:pPr>
              <w:jc w:val="center"/>
            </w:pPr>
            <w:r>
              <w:rPr>
                <w:rFonts w:ascii="Verdana" w:hAnsi="Verdana"/>
                <w:color w:val="46535E"/>
                <w:sz w:val="16"/>
              </w:rPr>
              <w:t>Core</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DBC file analysis, consolidation, and optimization</w:t>
            </w:r>
          </w:p>
        </w:tc>
      </w:tr>
      <w:tr>
        <w:tc>
          <w:tcPr>
            <w:tcW w:type="dxa" w:w="2520"/>
          </w:tcPr>
          <w:p>
            <w:pPr>
              <w:jc w:val="center"/>
            </w:pPr>
            <w:r>
              <w:rPr>
                <w:rFonts w:ascii="Verdana" w:hAnsi="Verdana"/>
                <w:color w:val="46535E"/>
                <w:sz w:val="16"/>
              </w:rPr>
              <w:t>Technical Writer</w:t>
            </w:r>
          </w:p>
        </w:tc>
        <w:tc>
          <w:tcPr>
            <w:tcW w:type="dxa" w:w="2520"/>
          </w:tcPr>
          <w:p>
            <w:pPr>
              <w:jc w:val="center"/>
            </w:pPr>
            <w:r>
              <w:rPr>
                <w:rFonts w:ascii="Verdana" w:hAnsi="Verdana"/>
                <w:color w:val="46535E"/>
                <w:sz w:val="16"/>
              </w:rPr>
              <w:t>Support</w:t>
            </w:r>
          </w:p>
        </w:tc>
        <w:tc>
          <w:tcPr>
            <w:tcW w:type="dxa" w:w="2520"/>
          </w:tcPr>
          <w:p>
            <w:pPr>
              <w:jc w:val="center"/>
            </w:pPr>
            <w:r>
              <w:rPr>
                <w:rFonts w:ascii="Verdana" w:hAnsi="Verdana"/>
                <w:color w:val="46535E"/>
                <w:sz w:val="16"/>
              </w:rPr>
              <w:t>India</w:t>
            </w:r>
          </w:p>
        </w:tc>
        <w:tc>
          <w:tcPr>
            <w:tcW w:type="dxa" w:w="2520"/>
          </w:tcPr>
          <w:p>
            <w:pPr>
              <w:jc w:val="center"/>
            </w:pPr>
            <w:r>
              <w:rPr>
                <w:rFonts w:ascii="Verdana" w:hAnsi="Verdana"/>
                <w:color w:val="46535E"/>
                <w:sz w:val="16"/>
              </w:rPr>
              <w:t>Documentation preparation, technical report generation</w:t>
            </w:r>
          </w:p>
        </w:tc>
      </w:tr>
    </w:tbl>
    <w:p>
      <w:pPr>
        <w:spacing w:line="276" w:lineRule="auto" w:after="160"/>
        <w:jc w:val="both"/>
      </w:pPr>
      <w:r>
        <w:rPr>
          <w:rFonts w:ascii="Verdana" w:hAnsi="Verdana"/>
          <w:color w:val="46535E"/>
          <w:sz w:val="22"/>
        </w:rPr>
        <w:t>**RASCI Matrix:**</w:t>
      </w:r>
    </w:p>
    <w:p>
      <w:pPr>
        <w:spacing w:line="276" w:lineRule="auto" w:after="160"/>
        <w:jc w:val="both"/>
      </w:pPr>
      <w:r>
        <w:rPr>
          <w:rFonts w:ascii="Verdana" w:hAnsi="Verdana"/>
          <w:color w:val="46535E"/>
          <w:sz w:val="22"/>
        </w:rPr>
        <w:t>R = Responsible, A = Accountable, S = Supporting, C = Consulted, I = Informed</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374351"/>
          </w:tcPr>
          <w:p>
            <w:pPr>
              <w:jc w:val="center"/>
            </w:pPr>
            <w:r>
              <w:rPr>
                <w:rFonts w:ascii="Verdana" w:hAnsi="Verdana"/>
                <w:b/>
                <w:color w:val="FFFFFF"/>
                <w:sz w:val="16"/>
              </w:rPr>
              <w:t>Activity</w:t>
            </w:r>
          </w:p>
        </w:tc>
        <w:tc>
          <w:tcPr>
            <w:tcW w:type="dxa" w:w="1260"/>
            <w:shd w:fill="374351"/>
          </w:tcPr>
          <w:p>
            <w:pPr>
              <w:jc w:val="center"/>
            </w:pPr>
            <w:r>
              <w:rPr>
                <w:rFonts w:ascii="Verdana" w:hAnsi="Verdana"/>
                <w:b/>
                <w:color w:val="FFFFFF"/>
                <w:sz w:val="16"/>
              </w:rPr>
              <w:t>Project Manager</w:t>
            </w:r>
          </w:p>
        </w:tc>
        <w:tc>
          <w:tcPr>
            <w:tcW w:type="dxa" w:w="1260"/>
            <w:shd w:fill="374351"/>
          </w:tcPr>
          <w:p>
            <w:pPr>
              <w:jc w:val="center"/>
            </w:pPr>
            <w:r>
              <w:rPr>
                <w:rFonts w:ascii="Verdana" w:hAnsi="Verdana"/>
                <w:b/>
                <w:color w:val="FFFFFF"/>
                <w:sz w:val="16"/>
              </w:rPr>
              <w:t>Safety Consultant</w:t>
            </w:r>
          </w:p>
        </w:tc>
        <w:tc>
          <w:tcPr>
            <w:tcW w:type="dxa" w:w="1260"/>
            <w:shd w:fill="374351"/>
          </w:tcPr>
          <w:p>
            <w:pPr>
              <w:jc w:val="center"/>
            </w:pPr>
            <w:r>
              <w:rPr>
                <w:rFonts w:ascii="Verdana" w:hAnsi="Verdana"/>
                <w:b/>
                <w:color w:val="FFFFFF"/>
                <w:sz w:val="16"/>
              </w:rPr>
              <w:t>Lead SW Engineer</w:t>
            </w:r>
          </w:p>
        </w:tc>
        <w:tc>
          <w:tcPr>
            <w:tcW w:type="dxa" w:w="1260"/>
            <w:shd w:fill="374351"/>
          </w:tcPr>
          <w:p>
            <w:pPr>
              <w:jc w:val="center"/>
            </w:pPr>
            <w:r>
              <w:rPr>
                <w:rFonts w:ascii="Verdana" w:hAnsi="Verdana"/>
                <w:b/>
                <w:color w:val="FFFFFF"/>
                <w:sz w:val="16"/>
              </w:rPr>
              <w:t>V&amp;V Engineer</w:t>
            </w:r>
          </w:p>
        </w:tc>
        <w:tc>
          <w:tcPr>
            <w:tcW w:type="dxa" w:w="1260"/>
            <w:shd w:fill="374351"/>
          </w:tcPr>
          <w:p>
            <w:pPr>
              <w:jc w:val="center"/>
            </w:pPr>
            <w:r>
              <w:rPr>
                <w:rFonts w:ascii="Verdana" w:hAnsi="Verdana"/>
                <w:b/>
                <w:color w:val="FFFFFF"/>
                <w:sz w:val="16"/>
              </w:rPr>
              <w:t>Embedded Engineer</w:t>
            </w:r>
          </w:p>
        </w:tc>
        <w:tc>
          <w:tcPr>
            <w:tcW w:type="dxa" w:w="1260"/>
            <w:shd w:fill="374351"/>
          </w:tcPr>
          <w:p>
            <w:pPr>
              <w:jc w:val="center"/>
            </w:pPr>
            <w:r>
              <w:rPr>
                <w:rFonts w:ascii="Verdana" w:hAnsi="Verdana"/>
                <w:b/>
                <w:color w:val="FFFFFF"/>
                <w:sz w:val="16"/>
              </w:rPr>
              <w:t>CAN Specialist</w:t>
            </w:r>
          </w:p>
        </w:tc>
        <w:tc>
          <w:tcPr>
            <w:tcW w:type="dxa" w:w="1260"/>
            <w:shd w:fill="374351"/>
          </w:tcPr>
          <w:p>
            <w:pPr>
              <w:jc w:val="center"/>
            </w:pPr>
            <w:r>
              <w:rPr>
                <w:rFonts w:ascii="Verdana" w:hAnsi="Verdana"/>
                <w:b/>
                <w:color w:val="FFFFFF"/>
                <w:sz w:val="16"/>
              </w:rPr>
              <w:t>Tech Writer</w:t>
            </w:r>
          </w:p>
        </w:tc>
      </w:tr>
      <w:tr>
        <w:tc>
          <w:tcPr>
            <w:tcW w:type="dxa" w:w="1260"/>
          </w:tcPr>
          <w:p>
            <w:pPr>
              <w:jc w:val="center"/>
            </w:pPr>
            <w:r>
              <w:rPr>
                <w:rFonts w:ascii="Verdana" w:hAnsi="Verdana"/>
                <w:color w:val="46535E"/>
                <w:sz w:val="16"/>
              </w:rPr>
              <w:t>Project Planning</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Requirements Implementation</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Code Refactoring</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V&amp;V Activities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HIL Testing</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DBC Optimization</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I</w:t>
            </w:r>
          </w:p>
        </w:tc>
      </w:tr>
      <w:tr>
        <w:tc>
          <w:tcPr>
            <w:tcW w:type="dxa" w:w="1260"/>
          </w:tcPr>
          <w:p>
            <w:pPr>
              <w:jc w:val="center"/>
            </w:pPr>
            <w:r>
              <w:rPr>
                <w:rFonts w:ascii="Verdana" w:hAnsi="Verdana"/>
                <w:color w:val="46535E"/>
                <w:sz w:val="16"/>
              </w:rPr>
              <w:t>Documentation</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S</w:t>
            </w:r>
          </w:p>
        </w:tc>
        <w:tc>
          <w:tcPr>
            <w:tcW w:type="dxa" w:w="1260"/>
          </w:tcPr>
          <w:p>
            <w:pPr>
              <w:jc w:val="center"/>
            </w:pPr>
            <w:r>
              <w:rPr>
                <w:rFonts w:ascii="Verdana" w:hAnsi="Verdana"/>
                <w:color w:val="46535E"/>
                <w:sz w:val="16"/>
              </w:rPr>
              <w:t>A</w:t>
            </w:r>
          </w:p>
        </w:tc>
      </w:tr>
      <w:tr>
        <w:tc>
          <w:tcPr>
            <w:tcW w:type="dxa" w:w="1260"/>
          </w:tcPr>
          <w:p>
            <w:pPr>
              <w:jc w:val="center"/>
            </w:pPr>
            <w:r>
              <w:rPr>
                <w:rFonts w:ascii="Verdana" w:hAnsi="Verdana"/>
                <w:color w:val="46535E"/>
                <w:sz w:val="16"/>
              </w:rPr>
              <w:t>Client Communication</w:t>
            </w:r>
          </w:p>
        </w:tc>
        <w:tc>
          <w:tcPr>
            <w:tcW w:type="dxa" w:w="1260"/>
          </w:tcPr>
          <w:p>
            <w:pPr>
              <w:jc w:val="center"/>
            </w:pPr>
            <w:r>
              <w:rPr>
                <w:rFonts w:ascii="Verdana" w:hAnsi="Verdana"/>
                <w:color w:val="46535E"/>
                <w:sz w:val="16"/>
              </w:rPr>
              <w:t>A</w:t>
            </w:r>
          </w:p>
        </w:tc>
        <w:tc>
          <w:tcPr>
            <w:tcW w:type="dxa" w:w="1260"/>
          </w:tcPr>
          <w:p>
            <w:pPr>
              <w:jc w:val="center"/>
            </w:pPr>
            <w:r>
              <w:rPr>
                <w:rFonts w:ascii="Verdana" w:hAnsi="Verdana"/>
                <w:color w:val="46535E"/>
                <w:sz w:val="16"/>
              </w:rPr>
              <w:t>R</w:t>
            </w:r>
          </w:p>
        </w:tc>
        <w:tc>
          <w:tcPr>
            <w:tcW w:type="dxa" w:w="1260"/>
          </w:tcPr>
          <w:p>
            <w:pPr>
              <w:jc w:val="center"/>
            </w:pPr>
            <w:r>
              <w:rPr>
                <w:rFonts w:ascii="Verdana" w:hAnsi="Verdana"/>
                <w:color w:val="46535E"/>
                <w:sz w:val="16"/>
              </w:rPr>
              <w:t>C</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c>
          <w:tcPr>
            <w:tcW w:type="dxa" w:w="1260"/>
          </w:tcPr>
          <w:p>
            <w:pPr>
              <w:jc w:val="center"/>
            </w:pPr>
            <w:r>
              <w:rPr>
                <w:rFonts w:ascii="Verdana" w:hAnsi="Verdana"/>
                <w:color w:val="46535E"/>
                <w:sz w:val="16"/>
              </w:rPr>
              <w:t>I</w:t>
            </w:r>
          </w:p>
        </w:tc>
      </w:tr>
    </w:tbl>
    <w:p>
      <w:pPr>
        <w:pStyle w:val="Heading1"/>
        <w:spacing w:before="360" w:after="120"/>
      </w:pPr>
      <w:r>
        <w:rPr>
          <w:rFonts w:ascii="Verdana" w:hAnsi="Verdana"/>
          <w:b/>
          <w:color w:val="374351"/>
          <w:sz w:val="32"/>
        </w:rPr>
        <w:t>Data Retention</w:t>
      </w:r>
    </w:p>
    <w:p>
      <w:pPr>
        <w:spacing w:line="276" w:lineRule="auto" w:after="160"/>
        <w:jc w:val="both"/>
      </w:pPr>
      <w:r>
        <w:rPr>
          <w:rFonts w:ascii="Verdana" w:hAnsi="Verdana"/>
          <w:color w:val="46535E"/>
          <w:sz w:val="22"/>
        </w:rPr>
        <w:t>This section includes a description of how project data will be retained, managed, and used:</w:t>
      </w:r>
    </w:p>
    <w:p>
      <w:pPr>
        <w:spacing w:line="276" w:lineRule="auto" w:after="160"/>
        <w:jc w:val="both"/>
      </w:pPr>
      <w:r>
        <w:rPr>
          <w:rFonts w:ascii="Verdana" w:hAnsi="Verdana"/>
          <w:color w:val="46535E"/>
          <w:sz w:val="22"/>
        </w:rPr>
        <w:t>All project data, including source code, documentation, test results, and communications, will be retained on CFeynmanCompany's secure systems for the duration of the project and 24 months after completion. Project data will be stored in secure, access-controlled environments with appropriate backup and recovery procedures. Client will have full access to all project data throughout the engagement and upon request. CFeynmanCompany will transfer all project deliverables and related data to client-specified systems upon project completion. Data will be permanently deleted from CFeynmanCompany systems after the 24-month retention period, unless otherwise agreed in writing.</w:t>
      </w:r>
    </w:p>
    <w:p>
      <w:pPr>
        <w:pStyle w:val="Heading1"/>
        <w:spacing w:before="360" w:after="120"/>
      </w:pPr>
      <w:r>
        <w:rPr>
          <w:rFonts w:ascii="Verdana" w:hAnsi="Verdana"/>
          <w:b/>
          <w:color w:val="374351"/>
          <w:sz w:val="32"/>
        </w:rPr>
        <w:t>Risk Management</w:t>
      </w:r>
    </w:p>
    <w:p>
      <w:pPr>
        <w:spacing w:line="276" w:lineRule="auto" w:after="160"/>
        <w:jc w:val="both"/>
      </w:pPr>
      <w:r>
        <w:rPr>
          <w:rFonts w:ascii="Verdana" w:hAnsi="Verdana"/>
          <w:color w:val="46535E"/>
          <w:sz w:val="22"/>
        </w:rPr>
        <w:t>This section presents a risk management plan, which includes identifying and evaluating potential risks, assigning ownership, as well as monitoring, and mitigating each:</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374351"/>
          </w:tcPr>
          <w:p>
            <w:pPr>
              <w:jc w:val="center"/>
            </w:pPr>
            <w:r>
              <w:rPr>
                <w:rFonts w:ascii="Verdana" w:hAnsi="Verdana"/>
                <w:b/>
                <w:color w:val="FFFFFF"/>
                <w:sz w:val="16"/>
              </w:rPr>
              <w:t>Risk</w:t>
            </w:r>
          </w:p>
        </w:tc>
        <w:tc>
          <w:tcPr>
            <w:tcW w:type="dxa" w:w="2016"/>
            <w:shd w:fill="374351"/>
          </w:tcPr>
          <w:p>
            <w:pPr>
              <w:jc w:val="center"/>
            </w:pPr>
            <w:r>
              <w:rPr>
                <w:rFonts w:ascii="Verdana" w:hAnsi="Verdana"/>
                <w:b/>
                <w:color w:val="FFFFFF"/>
                <w:sz w:val="16"/>
              </w:rPr>
              <w:t>Probability</w:t>
            </w:r>
          </w:p>
        </w:tc>
        <w:tc>
          <w:tcPr>
            <w:tcW w:type="dxa" w:w="2016"/>
            <w:shd w:fill="374351"/>
          </w:tcPr>
          <w:p>
            <w:pPr>
              <w:jc w:val="center"/>
            </w:pPr>
            <w:r>
              <w:rPr>
                <w:rFonts w:ascii="Verdana" w:hAnsi="Verdana"/>
                <w:b/>
                <w:color w:val="FFFFFF"/>
                <w:sz w:val="16"/>
              </w:rPr>
              <w:t>Mitigation Strategy</w:t>
            </w:r>
          </w:p>
        </w:tc>
        <w:tc>
          <w:tcPr>
            <w:tcW w:type="dxa" w:w="2016"/>
            <w:shd w:fill="374351"/>
          </w:tcPr>
          <w:p>
            <w:pPr>
              <w:jc w:val="center"/>
            </w:pPr>
            <w:r>
              <w:rPr>
                <w:rFonts w:ascii="Verdana" w:hAnsi="Verdana"/>
                <w:b/>
                <w:color w:val="FFFFFF"/>
                <w:sz w:val="16"/>
              </w:rPr>
              <w:t>Owner</w:t>
            </w:r>
          </w:p>
        </w:tc>
        <w:tc>
          <w:tcPr>
            <w:tcW w:type="dxa" w:w="2016"/>
            <w:shd w:fill="374351"/>
          </w:tcPr>
          <w:p>
            <w:pPr>
              <w:jc w:val="center"/>
            </w:pPr>
            <w:r>
              <w:rPr>
                <w:rFonts w:ascii="Verdana" w:hAnsi="Verdana"/>
                <w:b/>
                <w:color w:val="FFFFFF"/>
                <w:sz w:val="16"/>
              </w:rPr>
              <w:t>Monitoring</w:t>
            </w:r>
          </w:p>
        </w:tc>
      </w:tr>
      <w:tr>
        <w:tc>
          <w:tcPr>
            <w:tcW w:type="dxa" w:w="2016"/>
          </w:tcPr>
          <w:p>
            <w:pPr>
              <w:jc w:val="center"/>
            </w:pPr>
            <w:r>
              <w:rPr>
                <w:rFonts w:ascii="Verdana" w:hAnsi="Verdana"/>
                <w:color w:val="46535E"/>
                <w:sz w:val="16"/>
              </w:rPr>
              <w:t>Scope Creep</w:t>
            </w:r>
          </w:p>
        </w:tc>
        <w:tc>
          <w:tcPr>
            <w:tcW w:type="dxa" w:w="2016"/>
          </w:tcPr>
          <w:p>
            <w:pPr>
              <w:jc w:val="center"/>
            </w:pPr>
            <w:r>
              <w:rPr>
                <w:rFonts w:ascii="Verdana" w:hAnsi="Verdana"/>
                <w:color w:val="46535E"/>
                <w:sz w:val="16"/>
              </w:rPr>
              <w:t>High</w:t>
            </w:r>
          </w:p>
        </w:tc>
        <w:tc>
          <w:tcPr>
            <w:tcW w:type="dxa" w:w="2016"/>
          </w:tcPr>
          <w:p>
            <w:pPr>
              <w:jc w:val="center"/>
            </w:pPr>
            <w:r>
              <w:rPr>
                <w:rFonts w:ascii="Verdana" w:hAnsi="Verdana"/>
                <w:color w:val="46535E"/>
                <w:sz w:val="16"/>
              </w:rPr>
              <w:t>Phase 1 Discovery approach</w:t>
            </w:r>
          </w:p>
        </w:tc>
        <w:tc>
          <w:tcPr>
            <w:tcW w:type="dxa" w:w="2016"/>
          </w:tcPr>
          <w:p>
            <w:pPr>
              <w:jc w:val="center"/>
            </w:pPr>
            <w:r>
              <w:rPr>
                <w:rFonts w:ascii="Verdana" w:hAnsi="Verdana"/>
                <w:color w:val="46535E"/>
                <w:sz w:val="16"/>
              </w:rPr>
              <w:t>Project Manager</w:t>
            </w:r>
          </w:p>
        </w:tc>
        <w:tc>
          <w:tcPr>
            <w:tcW w:type="dxa" w:w="2016"/>
          </w:tcPr>
          <w:p>
            <w:pPr>
              <w:jc w:val="center"/>
            </w:pPr>
            <w:r>
              <w:rPr>
                <w:rFonts w:ascii="Verdana" w:hAnsi="Verdana"/>
                <w:color w:val="46535E"/>
                <w:sz w:val="16"/>
              </w:rPr>
              <w:t>Weekly scope review</w:t>
            </w:r>
          </w:p>
        </w:tc>
      </w:tr>
      <w:tr>
        <w:tc>
          <w:tcPr>
            <w:tcW w:type="dxa" w:w="2016"/>
          </w:tcPr>
          <w:p>
            <w:pPr>
              <w:jc w:val="center"/>
            </w:pPr>
            <w:r>
              <w:rPr>
                <w:rFonts w:ascii="Verdana" w:hAnsi="Verdana"/>
                <w:color w:val="46535E"/>
                <w:sz w:val="16"/>
              </w:rPr>
              <w:t>Hardware Availability Delays</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Early hardware shipment requirement</w:t>
            </w:r>
          </w:p>
        </w:tc>
        <w:tc>
          <w:tcPr>
            <w:tcW w:type="dxa" w:w="2016"/>
          </w:tcPr>
          <w:p>
            <w:pPr>
              <w:jc w:val="center"/>
            </w:pPr>
            <w:r>
              <w:rPr>
                <w:rFonts w:ascii="Verdana" w:hAnsi="Verdana"/>
                <w:color w:val="46535E"/>
                <w:sz w:val="16"/>
              </w:rPr>
              <w:t>Client/PM</w:t>
            </w:r>
          </w:p>
        </w:tc>
        <w:tc>
          <w:tcPr>
            <w:tcW w:type="dxa" w:w="2016"/>
          </w:tcPr>
          <w:p>
            <w:pPr>
              <w:jc w:val="center"/>
            </w:pPr>
            <w:r>
              <w:rPr>
                <w:rFonts w:ascii="Verdana" w:hAnsi="Verdana"/>
                <w:color w:val="46535E"/>
                <w:sz w:val="16"/>
              </w:rPr>
              <w:t>Hardware tracking</w:t>
            </w:r>
          </w:p>
        </w:tc>
      </w:tr>
      <w:tr>
        <w:tc>
          <w:tcPr>
            <w:tcW w:type="dxa" w:w="2016"/>
          </w:tcPr>
          <w:p>
            <w:pPr>
              <w:jc w:val="center"/>
            </w:pPr>
            <w:r>
              <w:rPr>
                <w:rFonts w:ascii="Verdana" w:hAnsi="Verdana"/>
                <w:color w:val="46535E"/>
                <w:sz w:val="16"/>
              </w:rPr>
              <w:t>HIL Access Issues</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Redundant access methods</w:t>
            </w:r>
          </w:p>
        </w:tc>
        <w:tc>
          <w:tcPr>
            <w:tcW w:type="dxa" w:w="2016"/>
          </w:tcPr>
          <w:p>
            <w:pPr>
              <w:jc w:val="center"/>
            </w:pPr>
            <w:r>
              <w:rPr>
                <w:rFonts w:ascii="Verdana" w:hAnsi="Verdana"/>
                <w:color w:val="46535E"/>
                <w:sz w:val="16"/>
              </w:rPr>
              <w:t>Embedded Engineer</w:t>
            </w:r>
          </w:p>
        </w:tc>
        <w:tc>
          <w:tcPr>
            <w:tcW w:type="dxa" w:w="2016"/>
          </w:tcPr>
          <w:p>
            <w:pPr>
              <w:jc w:val="center"/>
            </w:pPr>
            <w:r>
              <w:rPr>
                <w:rFonts w:ascii="Verdana" w:hAnsi="Verdana"/>
                <w:color w:val="46535E"/>
                <w:sz w:val="16"/>
              </w:rPr>
              <w:t>Daily connectivity check</w:t>
            </w:r>
          </w:p>
        </w:tc>
      </w:tr>
      <w:tr>
        <w:tc>
          <w:tcPr>
            <w:tcW w:type="dxa" w:w="2016"/>
          </w:tcPr>
          <w:p>
            <w:pPr>
              <w:jc w:val="center"/>
            </w:pPr>
            <w:r>
              <w:rPr>
                <w:rFonts w:ascii="Verdana" w:hAnsi="Verdana"/>
                <w:color w:val="46535E"/>
                <w:sz w:val="16"/>
              </w:rPr>
              <w:t>Tool License Delays</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Early license procurement</w:t>
            </w:r>
          </w:p>
        </w:tc>
        <w:tc>
          <w:tcPr>
            <w:tcW w:type="dxa" w:w="2016"/>
          </w:tcPr>
          <w:p>
            <w:pPr>
              <w:jc w:val="center"/>
            </w:pPr>
            <w:r>
              <w:rPr>
                <w:rFonts w:ascii="Verdana" w:hAnsi="Verdana"/>
                <w:color w:val="46535E"/>
                <w:sz w:val="16"/>
              </w:rPr>
              <w:t>Client</w:t>
            </w:r>
          </w:p>
        </w:tc>
        <w:tc>
          <w:tcPr>
            <w:tcW w:type="dxa" w:w="2016"/>
          </w:tcPr>
          <w:p>
            <w:pPr>
              <w:jc w:val="center"/>
            </w:pPr>
            <w:r>
              <w:rPr>
                <w:rFonts w:ascii="Verdana" w:hAnsi="Verdana"/>
                <w:color w:val="46535E"/>
                <w:sz w:val="16"/>
              </w:rPr>
              <w:t>License status tracking</w:t>
            </w:r>
          </w:p>
        </w:tc>
      </w:tr>
      <w:tr>
        <w:tc>
          <w:tcPr>
            <w:tcW w:type="dxa" w:w="2016"/>
          </w:tcPr>
          <w:p>
            <w:pPr>
              <w:jc w:val="center"/>
            </w:pPr>
            <w:r>
              <w:rPr>
                <w:rFonts w:ascii="Verdana" w:hAnsi="Verdana"/>
                <w:color w:val="46535E"/>
                <w:sz w:val="16"/>
              </w:rPr>
              <w:t>Code Complexity Underestimation</w:t>
            </w:r>
          </w:p>
        </w:tc>
        <w:tc>
          <w:tcPr>
            <w:tcW w:type="dxa" w:w="2016"/>
          </w:tcPr>
          <w:p>
            <w:pPr>
              <w:jc w:val="center"/>
            </w:pPr>
            <w:r>
              <w:rPr>
                <w:rFonts w:ascii="Verdana" w:hAnsi="Verdana"/>
                <w:color w:val="46535E"/>
                <w:sz w:val="16"/>
              </w:rPr>
              <w:t>High</w:t>
            </w:r>
          </w:p>
        </w:tc>
        <w:tc>
          <w:tcPr>
            <w:tcW w:type="dxa" w:w="2016"/>
          </w:tcPr>
          <w:p>
            <w:pPr>
              <w:jc w:val="center"/>
            </w:pPr>
            <w:r>
              <w:rPr>
                <w:rFonts w:ascii="Verdana" w:hAnsi="Verdana"/>
                <w:color w:val="46535E"/>
                <w:sz w:val="16"/>
              </w:rPr>
              <w:t>Phased approach with re-estimation</w:t>
            </w:r>
          </w:p>
        </w:tc>
        <w:tc>
          <w:tcPr>
            <w:tcW w:type="dxa" w:w="2016"/>
          </w:tcPr>
          <w:p>
            <w:pPr>
              <w:jc w:val="center"/>
            </w:pPr>
            <w:r>
              <w:rPr>
                <w:rFonts w:ascii="Verdana" w:hAnsi="Verdana"/>
                <w:color w:val="46535E"/>
                <w:sz w:val="16"/>
              </w:rPr>
              <w:t>Lead SW Engineer</w:t>
            </w:r>
          </w:p>
        </w:tc>
        <w:tc>
          <w:tcPr>
            <w:tcW w:type="dxa" w:w="2016"/>
          </w:tcPr>
          <w:p>
            <w:pPr>
              <w:jc w:val="center"/>
            </w:pPr>
            <w:r>
              <w:rPr>
                <w:rFonts w:ascii="Verdana" w:hAnsi="Verdana"/>
                <w:color w:val="46535E"/>
                <w:sz w:val="16"/>
              </w:rPr>
              <w:t>Complexity assessment</w:t>
            </w:r>
          </w:p>
        </w:tc>
      </w:tr>
      <w:tr>
        <w:tc>
          <w:tcPr>
            <w:tcW w:type="dxa" w:w="2016"/>
          </w:tcPr>
          <w:p>
            <w:pPr>
              <w:jc w:val="center"/>
            </w:pPr>
            <w:r>
              <w:rPr>
                <w:rFonts w:ascii="Verdana" w:hAnsi="Verdana"/>
                <w:color w:val="46535E"/>
                <w:sz w:val="16"/>
              </w:rPr>
              <w:t>Client SME Unavailability</w:t>
            </w:r>
          </w:p>
        </w:tc>
        <w:tc>
          <w:tcPr>
            <w:tcW w:type="dxa" w:w="2016"/>
          </w:tcPr>
          <w:p>
            <w:pPr>
              <w:jc w:val="center"/>
            </w:pPr>
            <w:r>
              <w:rPr>
                <w:rFonts w:ascii="Verdana" w:hAnsi="Verdana"/>
                <w:color w:val="46535E"/>
                <w:sz w:val="16"/>
              </w:rPr>
              <w:t>Medium</w:t>
            </w:r>
          </w:p>
        </w:tc>
        <w:tc>
          <w:tcPr>
            <w:tcW w:type="dxa" w:w="2016"/>
          </w:tcPr>
          <w:p>
            <w:pPr>
              <w:jc w:val="center"/>
            </w:pPr>
            <w:r>
              <w:rPr>
                <w:rFonts w:ascii="Verdana" w:hAnsi="Verdana"/>
                <w:color w:val="46535E"/>
                <w:sz w:val="16"/>
              </w:rPr>
              <w:t>Escalation procedures</w:t>
            </w:r>
          </w:p>
        </w:tc>
        <w:tc>
          <w:tcPr>
            <w:tcW w:type="dxa" w:w="2016"/>
          </w:tcPr>
          <w:p>
            <w:pPr>
              <w:jc w:val="center"/>
            </w:pPr>
            <w:r>
              <w:rPr>
                <w:rFonts w:ascii="Verdana" w:hAnsi="Verdana"/>
                <w:color w:val="46535E"/>
                <w:sz w:val="16"/>
              </w:rPr>
              <w:t>Project Manager</w:t>
            </w:r>
          </w:p>
        </w:tc>
        <w:tc>
          <w:tcPr>
            <w:tcW w:type="dxa" w:w="2016"/>
          </w:tcPr>
          <w:p>
            <w:pPr>
              <w:jc w:val="center"/>
            </w:pPr>
            <w:r>
              <w:rPr>
                <w:rFonts w:ascii="Verdana" w:hAnsi="Verdana"/>
                <w:color w:val="46535E"/>
                <w:sz w:val="16"/>
              </w:rPr>
              <w:t>Stakeholder engagement plan</w:t>
            </w:r>
          </w:p>
        </w:tc>
      </w:tr>
    </w:tbl>
    <w:p>
      <w:pPr>
        <w:pStyle w:val="Heading1"/>
        <w:spacing w:before="360" w:after="120"/>
      </w:pPr>
      <w:r>
        <w:rPr>
          <w:rFonts w:ascii="Verdana" w:hAnsi="Verdana"/>
          <w:b/>
          <w:color w:val="374351"/>
          <w:sz w:val="32"/>
        </w:rPr>
        <w:t>Change Management</w:t>
      </w:r>
    </w:p>
    <w:p>
      <w:pPr>
        <w:spacing w:line="276" w:lineRule="auto" w:after="160"/>
        <w:jc w:val="both"/>
      </w:pPr>
      <w:r>
        <w:rPr>
          <w:rFonts w:ascii="Verdana" w:hAnsi="Verdana"/>
          <w:color w:val="46535E"/>
          <w:sz w:val="22"/>
        </w:rPr>
        <w:t>This section describes the change management process:</w:t>
      </w:r>
    </w:p>
    <w:p>
      <w:pPr>
        <w:spacing w:line="276" w:lineRule="auto" w:after="160"/>
        <w:jc w:val="both"/>
      </w:pPr>
      <w:r>
        <w:rPr>
          <w:rFonts w:ascii="Verdana" w:hAnsi="Verdana"/>
          <w:color w:val="46535E"/>
          <w:sz w:val="22"/>
        </w:rPr>
        <w:t>CFeynmanCompany will implement a formal change management process to handle scope modifications and budget adjustments. A Change Order process will be triggered automatically when project spending reaches 80% of the estimated budget. All scope changes beyond the original requirements must be documented, estimated, and approved through a formal Change Order before implementation. Change requests will be evaluated for impact on timeline, budget, and deliverables, with client approval required before proceeding. Emergency changes affecting safety or project viability may be implemented with verbal approval, followed by formal documentation within 48 hours.</w:t>
      </w:r>
    </w:p>
    <w:p>
      <w:pPr>
        <w:pStyle w:val="Heading1"/>
        <w:spacing w:before="360" w:after="120"/>
      </w:pPr>
      <w:r>
        <w:rPr>
          <w:rFonts w:ascii="Verdana" w:hAnsi="Verdana"/>
          <w:b/>
          <w:color w:val="374351"/>
          <w:sz w:val="32"/>
        </w:rPr>
        <w:t>Project Pricing</w:t>
      </w:r>
    </w:p>
    <w:p>
      <w:pPr>
        <w:spacing w:line="276" w:lineRule="auto" w:after="160"/>
        <w:jc w:val="both"/>
      </w:pPr>
      <w:r>
        <w:rPr>
          <w:rFonts w:ascii="Verdana" w:hAnsi="Verdana"/>
          <w:color w:val="46535E"/>
          <w:sz w:val="22"/>
        </w:rPr>
        <w:t>This section details the pricing structure, payment schedule, and pricing assumptions:</w:t>
      </w:r>
    </w:p>
    <w:p>
      <w:pPr>
        <w:spacing w:line="276" w:lineRule="auto" w:after="160"/>
        <w:jc w:val="both"/>
      </w:pPr>
      <w:r>
        <w:rPr>
          <w:rFonts w:ascii="Verdana" w:hAnsi="Verdana"/>
          <w:color w:val="46535E"/>
          <w:sz w:val="22"/>
        </w:rPr>
        <w:t>**Pricing Model:** Time &amp; Materials (T&amp;M) basis to provide flexibility for evolving project requirements.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Job Title</w:t>
            </w:r>
          </w:p>
        </w:tc>
        <w:tc>
          <w:tcPr>
            <w:tcW w:type="dxa" w:w="2520"/>
            <w:shd w:fill="374351"/>
          </w:tcPr>
          <w:p>
            <w:pPr>
              <w:jc w:val="center"/>
            </w:pPr>
            <w:r>
              <w:rPr>
                <w:rFonts w:ascii="Verdana" w:hAnsi="Verdana"/>
                <w:b/>
                <w:color w:val="FFFFFF"/>
                <w:sz w:val="16"/>
              </w:rPr>
              <w:t>Description</w:t>
            </w:r>
          </w:p>
        </w:tc>
        <w:tc>
          <w:tcPr>
            <w:tcW w:type="dxa" w:w="2520"/>
            <w:shd w:fill="374351"/>
          </w:tcPr>
          <w:p>
            <w:pPr>
              <w:jc w:val="center"/>
            </w:pPr>
            <w:r>
              <w:rPr>
                <w:rFonts w:ascii="Verdana" w:hAnsi="Verdana"/>
                <w:b/>
                <w:color w:val="FFFFFF"/>
                <w:sz w:val="16"/>
              </w:rPr>
              <w:t>Hourly Rate</w:t>
            </w:r>
          </w:p>
        </w:tc>
        <w:tc>
          <w:tcPr>
            <w:tcW w:type="dxa" w:w="2520"/>
            <w:shd w:fill="374351"/>
          </w:tcPr>
          <w:p>
            <w:pPr>
              <w:jc w:val="center"/>
            </w:pPr>
            <w:r>
              <w:rPr>
                <w:rFonts w:ascii="Verdana" w:hAnsi="Verdana"/>
                <w:b/>
                <w:color w:val="FFFFFF"/>
                <w:sz w:val="16"/>
              </w:rPr>
              <w:t>Weekly Rate (40hrs)</w:t>
            </w:r>
          </w:p>
        </w:tc>
      </w:tr>
      <w:tr>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Overall project coordination and client communication</w:t>
            </w:r>
          </w:p>
        </w:tc>
        <w:tc>
          <w:tcPr>
            <w:tcW w:type="dxa" w:w="2520"/>
          </w:tcPr>
          <w:p>
            <w:pPr>
              <w:jc w:val="center"/>
            </w:pPr>
            <w:r>
              <w:rPr>
                <w:rFonts w:ascii="Verdana" w:hAnsi="Verdana"/>
                <w:color w:val="46535E"/>
                <w:sz w:val="16"/>
              </w:rPr>
              <w:t>$180</w:t>
            </w:r>
          </w:p>
        </w:tc>
        <w:tc>
          <w:tcPr>
            <w:tcW w:type="dxa" w:w="2520"/>
          </w:tcPr>
          <w:p>
            <w:pPr>
              <w:jc w:val="center"/>
            </w:pPr>
            <w:r>
              <w:rPr>
                <w:rFonts w:ascii="Verdana" w:hAnsi="Verdana"/>
                <w:color w:val="46535E"/>
                <w:sz w:val="16"/>
              </w:rPr>
              <w:t>$7,200</w:t>
            </w:r>
          </w:p>
        </w:tc>
      </w:tr>
      <w:tr>
        <w:tc>
          <w:tcPr>
            <w:tcW w:type="dxa" w:w="2520"/>
          </w:tcPr>
          <w:p>
            <w:pPr>
              <w:jc w:val="center"/>
            </w:pPr>
            <w:r>
              <w:rPr>
                <w:rFonts w:ascii="Verdana" w:hAnsi="Verdana"/>
                <w:color w:val="46535E"/>
                <w:sz w:val="16"/>
              </w:rPr>
              <w:t>Functional Safety Consultant</w:t>
            </w:r>
          </w:p>
        </w:tc>
        <w:tc>
          <w:tcPr>
            <w:tcW w:type="dxa" w:w="2520"/>
          </w:tcPr>
          <w:p>
            <w:pPr>
              <w:jc w:val="center"/>
            </w:pPr>
            <w:r>
              <w:rPr>
                <w:rFonts w:ascii="Verdana" w:hAnsi="Verdana"/>
                <w:color w:val="46535E"/>
                <w:sz w:val="16"/>
              </w:rPr>
              <w:t>ISO 26262 compliance and safety oversight</w:t>
            </w:r>
          </w:p>
        </w:tc>
        <w:tc>
          <w:tcPr>
            <w:tcW w:type="dxa" w:w="2520"/>
          </w:tcPr>
          <w:p>
            <w:pPr>
              <w:jc w:val="center"/>
            </w:pPr>
            <w:r>
              <w:rPr>
                <w:rFonts w:ascii="Verdana" w:hAnsi="Verdana"/>
                <w:color w:val="46535E"/>
                <w:sz w:val="16"/>
              </w:rPr>
              <w:t>$220</w:t>
            </w:r>
          </w:p>
        </w:tc>
        <w:tc>
          <w:tcPr>
            <w:tcW w:type="dxa" w:w="2520"/>
          </w:tcPr>
          <w:p>
            <w:pPr>
              <w:jc w:val="center"/>
            </w:pPr>
            <w:r>
              <w:rPr>
                <w:rFonts w:ascii="Verdana" w:hAnsi="Verdana"/>
                <w:color w:val="46535E"/>
                <w:sz w:val="16"/>
              </w:rPr>
              <w:t>$8,800</w:t>
            </w:r>
          </w:p>
        </w:tc>
      </w:tr>
      <w:tr>
        <w:tc>
          <w:tcPr>
            <w:tcW w:type="dxa" w:w="2520"/>
          </w:tcPr>
          <w:p>
            <w:pPr>
              <w:jc w:val="center"/>
            </w:pPr>
            <w:r>
              <w:rPr>
                <w:rFonts w:ascii="Verdana" w:hAnsi="Verdana"/>
                <w:color w:val="46535E"/>
                <w:sz w:val="16"/>
              </w:rPr>
              <w:t>Lead Software Engineer</w:t>
            </w:r>
          </w:p>
        </w:tc>
        <w:tc>
          <w:tcPr>
            <w:tcW w:type="dxa" w:w="2520"/>
          </w:tcPr>
          <w:p>
            <w:pPr>
              <w:jc w:val="center"/>
            </w:pPr>
            <w:r>
              <w:rPr>
                <w:rFonts w:ascii="Verdana" w:hAnsi="Verdana"/>
                <w:color w:val="46535E"/>
                <w:sz w:val="16"/>
              </w:rPr>
              <w:t>Software architecture and implementation</w:t>
            </w:r>
          </w:p>
        </w:tc>
        <w:tc>
          <w:tcPr>
            <w:tcW w:type="dxa" w:w="2520"/>
          </w:tcPr>
          <w:p>
            <w:pPr>
              <w:jc w:val="center"/>
            </w:pPr>
            <w:r>
              <w:rPr>
                <w:rFonts w:ascii="Verdana" w:hAnsi="Verdana"/>
                <w:color w:val="46535E"/>
                <w:sz w:val="16"/>
              </w:rPr>
              <w:t>$140</w:t>
            </w:r>
          </w:p>
        </w:tc>
        <w:tc>
          <w:tcPr>
            <w:tcW w:type="dxa" w:w="2520"/>
          </w:tcPr>
          <w:p>
            <w:pPr>
              <w:jc w:val="center"/>
            </w:pPr>
            <w:r>
              <w:rPr>
                <w:rFonts w:ascii="Verdana" w:hAnsi="Verdana"/>
                <w:color w:val="46535E"/>
                <w:sz w:val="16"/>
              </w:rPr>
              <w:t>$5,600</w:t>
            </w:r>
          </w:p>
        </w:tc>
      </w:tr>
      <w:tr>
        <w:tc>
          <w:tcPr>
            <w:tcW w:type="dxa" w:w="2520"/>
          </w:tcPr>
          <w:p>
            <w:pPr>
              <w:jc w:val="center"/>
            </w:pPr>
            <w:r>
              <w:rPr>
                <w:rFonts w:ascii="Verdana" w:hAnsi="Verdana"/>
                <w:color w:val="46535E"/>
                <w:sz w:val="16"/>
              </w:rPr>
              <w:t>V&amp;V Engineer</w:t>
            </w:r>
          </w:p>
        </w:tc>
        <w:tc>
          <w:tcPr>
            <w:tcW w:type="dxa" w:w="2520"/>
          </w:tcPr>
          <w:p>
            <w:pPr>
              <w:jc w:val="center"/>
            </w:pPr>
            <w:r>
              <w:rPr>
                <w:rFonts w:ascii="Verdana" w:hAnsi="Verdana"/>
                <w:color w:val="46535E"/>
                <w:sz w:val="16"/>
              </w:rPr>
              <w:t>Testing and validation activities</w:t>
            </w:r>
          </w:p>
        </w:tc>
        <w:tc>
          <w:tcPr>
            <w:tcW w:type="dxa" w:w="2520"/>
          </w:tcPr>
          <w:p>
            <w:pPr>
              <w:jc w:val="center"/>
            </w:pPr>
            <w:r>
              <w:rPr>
                <w:rFonts w:ascii="Verdana" w:hAnsi="Verdana"/>
                <w:color w:val="46535E"/>
                <w:sz w:val="16"/>
              </w:rPr>
              <w:t>$120</w:t>
            </w:r>
          </w:p>
        </w:tc>
        <w:tc>
          <w:tcPr>
            <w:tcW w:type="dxa" w:w="2520"/>
          </w:tcPr>
          <w:p>
            <w:pPr>
              <w:jc w:val="center"/>
            </w:pPr>
            <w:r>
              <w:rPr>
                <w:rFonts w:ascii="Verdana" w:hAnsi="Verdana"/>
                <w:color w:val="46535E"/>
                <w:sz w:val="16"/>
              </w:rPr>
              <w:t>$4,800</w:t>
            </w:r>
          </w:p>
        </w:tc>
      </w:tr>
      <w:tr>
        <w:tc>
          <w:tcPr>
            <w:tcW w:type="dxa" w:w="2520"/>
          </w:tcPr>
          <w:p>
            <w:pPr>
              <w:jc w:val="center"/>
            </w:pPr>
            <w:r>
              <w:rPr>
                <w:rFonts w:ascii="Verdana" w:hAnsi="Verdana"/>
                <w:color w:val="46535E"/>
                <w:sz w:val="16"/>
              </w:rPr>
              <w:t>Embedded Systems Engineer</w:t>
            </w:r>
          </w:p>
        </w:tc>
        <w:tc>
          <w:tcPr>
            <w:tcW w:type="dxa" w:w="2520"/>
          </w:tcPr>
          <w:p>
            <w:pPr>
              <w:jc w:val="center"/>
            </w:pPr>
            <w:r>
              <w:rPr>
                <w:rFonts w:ascii="Verdana" w:hAnsi="Verdana"/>
                <w:color w:val="46535E"/>
                <w:sz w:val="16"/>
              </w:rPr>
              <w:t>Hardware integration and HIL testing</w:t>
            </w:r>
          </w:p>
        </w:tc>
        <w:tc>
          <w:tcPr>
            <w:tcW w:type="dxa" w:w="2520"/>
          </w:tcPr>
          <w:p>
            <w:pPr>
              <w:jc w:val="center"/>
            </w:pPr>
            <w:r>
              <w:rPr>
                <w:rFonts w:ascii="Verdana" w:hAnsi="Verdana"/>
                <w:color w:val="46535E"/>
                <w:sz w:val="16"/>
              </w:rPr>
              <w:t>$130</w:t>
            </w:r>
          </w:p>
        </w:tc>
        <w:tc>
          <w:tcPr>
            <w:tcW w:type="dxa" w:w="2520"/>
          </w:tcPr>
          <w:p>
            <w:pPr>
              <w:jc w:val="center"/>
            </w:pPr>
            <w:r>
              <w:rPr>
                <w:rFonts w:ascii="Verdana" w:hAnsi="Verdana"/>
                <w:color w:val="46535E"/>
                <w:sz w:val="16"/>
              </w:rPr>
              <w:t>$5,200</w:t>
            </w:r>
          </w:p>
        </w:tc>
      </w:tr>
      <w:tr>
        <w:tc>
          <w:tcPr>
            <w:tcW w:type="dxa" w:w="2520"/>
          </w:tcPr>
          <w:p>
            <w:pPr>
              <w:jc w:val="center"/>
            </w:pPr>
            <w:r>
              <w:rPr>
                <w:rFonts w:ascii="Verdana" w:hAnsi="Verdana"/>
                <w:color w:val="46535E"/>
                <w:sz w:val="16"/>
              </w:rPr>
              <w:t>CAN/DBC Specialist</w:t>
            </w:r>
          </w:p>
        </w:tc>
        <w:tc>
          <w:tcPr>
            <w:tcW w:type="dxa" w:w="2520"/>
          </w:tcPr>
          <w:p>
            <w:pPr>
              <w:jc w:val="center"/>
            </w:pPr>
            <w:r>
              <w:rPr>
                <w:rFonts w:ascii="Verdana" w:hAnsi="Verdana"/>
                <w:color w:val="46535E"/>
                <w:sz w:val="16"/>
              </w:rPr>
              <w:t>DBC optimization and CAN analysis</w:t>
            </w:r>
          </w:p>
        </w:tc>
        <w:tc>
          <w:tcPr>
            <w:tcW w:type="dxa" w:w="2520"/>
          </w:tcPr>
          <w:p>
            <w:pPr>
              <w:jc w:val="center"/>
            </w:pPr>
            <w:r>
              <w:rPr>
                <w:rFonts w:ascii="Verdana" w:hAnsi="Verdana"/>
                <w:color w:val="46535E"/>
                <w:sz w:val="16"/>
              </w:rPr>
              <w:t>$125</w:t>
            </w:r>
          </w:p>
        </w:tc>
        <w:tc>
          <w:tcPr>
            <w:tcW w:type="dxa" w:w="2520"/>
          </w:tcPr>
          <w:p>
            <w:pPr>
              <w:jc w:val="center"/>
            </w:pPr>
            <w:r>
              <w:rPr>
                <w:rFonts w:ascii="Verdana" w:hAnsi="Verdana"/>
                <w:color w:val="46535E"/>
                <w:sz w:val="16"/>
              </w:rPr>
              <w:t>$5,000</w:t>
            </w:r>
          </w:p>
        </w:tc>
      </w:tr>
      <w:tr>
        <w:tc>
          <w:tcPr>
            <w:tcW w:type="dxa" w:w="2520"/>
          </w:tcPr>
          <w:p>
            <w:pPr>
              <w:jc w:val="center"/>
            </w:pPr>
            <w:r>
              <w:rPr>
                <w:rFonts w:ascii="Verdana" w:hAnsi="Verdana"/>
                <w:color w:val="46535E"/>
                <w:sz w:val="16"/>
              </w:rPr>
              <w:t>Technical Writer</w:t>
            </w:r>
          </w:p>
        </w:tc>
        <w:tc>
          <w:tcPr>
            <w:tcW w:type="dxa" w:w="2520"/>
          </w:tcPr>
          <w:p>
            <w:pPr>
              <w:jc w:val="center"/>
            </w:pPr>
            <w:r>
              <w:rPr>
                <w:rFonts w:ascii="Verdana" w:hAnsi="Verdana"/>
                <w:color w:val="46535E"/>
                <w:sz w:val="16"/>
              </w:rPr>
              <w:t>Documentation and reporting</w:t>
            </w:r>
          </w:p>
        </w:tc>
        <w:tc>
          <w:tcPr>
            <w:tcW w:type="dxa" w:w="2520"/>
          </w:tcPr>
          <w:p>
            <w:pPr>
              <w:jc w:val="center"/>
            </w:pPr>
            <w:r>
              <w:rPr>
                <w:rFonts w:ascii="Verdana" w:hAnsi="Verdana"/>
                <w:color w:val="46535E"/>
                <w:sz w:val="16"/>
              </w:rPr>
              <w:t>$95</w:t>
            </w:r>
          </w:p>
        </w:tc>
        <w:tc>
          <w:tcPr>
            <w:tcW w:type="dxa" w:w="2520"/>
          </w:tcPr>
          <w:p>
            <w:pPr>
              <w:jc w:val="center"/>
            </w:pPr>
            <w:r>
              <w:rPr>
                <w:rFonts w:ascii="Verdana" w:hAnsi="Verdana"/>
                <w:color w:val="46535E"/>
                <w:sz w:val="16"/>
              </w:rPr>
              <w:t>$3,800</w:t>
            </w:r>
          </w:p>
        </w:tc>
      </w:tr>
    </w:tbl>
    <w:p>
      <w:pPr>
        <w:spacing w:line="276" w:lineRule="auto" w:after="160"/>
        <w:jc w:val="both"/>
      </w:pPr>
      <w:r>
        <w:rPr>
          <w:rFonts w:ascii="Verdana" w:hAnsi="Verdana"/>
          <w:color w:val="46535E"/>
          <w:sz w:val="22"/>
        </w:rPr>
        <w:t>**Additional Pricing:**</w:t>
      </w:r>
    </w:p>
    <w:p>
      <w:pPr>
        <w:pStyle w:val="ListBullet"/>
        <w:jc w:val="left"/>
      </w:pPr>
      <w:r>
        <w:rPr>
          <w:rFonts w:ascii="Verdana" w:hAnsi="Verdana"/>
          <w:sz w:val="22"/>
        </w:rPr>
        <w:t>Tool licenses (Vector Cast, PC-LINT, etc.) are the client's financial responsibility and will be passed through at cost</w:t>
      </w:r>
    </w:p>
    <w:p>
      <w:pPr>
        <w:pStyle w:val="ListBullet"/>
        <w:jc w:val="left"/>
      </w:pPr>
      <w:r>
        <w:rPr>
          <w:rFonts w:ascii="Verdana" w:hAnsi="Verdana"/>
          <w:sz w:val="22"/>
        </w:rPr>
        <w:t>Hardware shipping costs for development kits to India Design Center</w:t>
      </w:r>
    </w:p>
    <w:p>
      <w:pPr>
        <w:pStyle w:val="ListBullet"/>
        <w:jc w:val="left"/>
      </w:pPr>
      <w:r>
        <w:rPr>
          <w:rFonts w:ascii="Verdana" w:hAnsi="Verdana"/>
          <w:sz w:val="22"/>
        </w:rPr>
        <w:t>Travel expenses for onsite activities (if required) at cost plus 10% handling fee</w:t>
      </w:r>
    </w:p>
    <w:tbl>
      <w:tblPr>
        <w:tblStyle w:val="TableGrid"/>
        <w:tblW w:type="auto" w:w="0"/>
        <w:tblLook w:firstColumn="1" w:firstRow="1" w:lastColumn="0" w:lastRow="0" w:noHBand="0" w:noVBand="1" w:val="04A0"/>
      </w:tblPr>
      <w:tblGrid>
        <w:gridCol w:w="3360"/>
        <w:gridCol w:w="3360"/>
        <w:gridCol w:w="3360"/>
      </w:tblGrid>
      <w:tr>
        <w:tc>
          <w:tcPr>
            <w:tcW w:type="dxa" w:w="3360"/>
            <w:shd w:fill="374351"/>
          </w:tcPr>
          <w:p>
            <w:pPr>
              <w:jc w:val="center"/>
            </w:pPr>
            <w:r>
              <w:rPr>
                <w:rFonts w:ascii="Verdana" w:hAnsi="Verdana"/>
                <w:b/>
                <w:color w:val="FFFFFF"/>
                <w:sz w:val="16"/>
              </w:rPr>
              <w:t>Milestone/Deliverable</w:t>
            </w:r>
          </w:p>
        </w:tc>
        <w:tc>
          <w:tcPr>
            <w:tcW w:type="dxa" w:w="3360"/>
            <w:shd w:fill="374351"/>
          </w:tcPr>
          <w:p>
            <w:pPr>
              <w:jc w:val="center"/>
            </w:pPr>
            <w:r>
              <w:rPr>
                <w:rFonts w:ascii="Verdana" w:hAnsi="Verdana"/>
                <w:b/>
                <w:color w:val="FFFFFF"/>
                <w:sz w:val="16"/>
              </w:rPr>
              <w:t>Due Date</w:t>
            </w:r>
          </w:p>
        </w:tc>
        <w:tc>
          <w:tcPr>
            <w:tcW w:type="dxa" w:w="3360"/>
            <w:shd w:fill="374351"/>
          </w:tcPr>
          <w:p>
            <w:pPr>
              <w:jc w:val="center"/>
            </w:pPr>
            <w:r>
              <w:rPr>
                <w:rFonts w:ascii="Verdana" w:hAnsi="Verdana"/>
                <w:b/>
                <w:color w:val="FFFFFF"/>
                <w:sz w:val="16"/>
              </w:rPr>
              <w:t>Amount Payable</w:t>
            </w:r>
          </w:p>
        </w:tc>
      </w:tr>
      <w:tr>
        <w:tc>
          <w:tcPr>
            <w:tcW w:type="dxa" w:w="3360"/>
          </w:tcPr>
          <w:p>
            <w:pPr>
              <w:jc w:val="center"/>
            </w:pPr>
            <w:r>
              <w:rPr>
                <w:rFonts w:ascii="Verdana" w:hAnsi="Verdana"/>
                <w:color w:val="46535E"/>
                <w:sz w:val="16"/>
              </w:rPr>
              <w:t>Phase 1 Completion - Discovery Report</w:t>
            </w:r>
          </w:p>
        </w:tc>
        <w:tc>
          <w:tcPr>
            <w:tcW w:type="dxa" w:w="3360"/>
          </w:tcPr>
          <w:p>
            <w:pPr>
              <w:jc w:val="center"/>
            </w:pPr>
            <w:r>
              <w:rPr>
                <w:rFonts w:ascii="Verdana" w:hAnsi="Verdana"/>
                <w:color w:val="46535E"/>
                <w:sz w:val="16"/>
              </w:rPr>
              <w:t>TBD (6 weeks from start)</w:t>
            </w:r>
          </w:p>
        </w:tc>
        <w:tc>
          <w:tcPr>
            <w:tcW w:type="dxa" w:w="3360"/>
          </w:tcPr>
          <w:p>
            <w:pPr>
              <w:jc w:val="center"/>
            </w:pPr>
            <w:r>
              <w:rPr>
                <w:rFonts w:ascii="Verdana" w:hAnsi="Verdana"/>
                <w:color w:val="46535E"/>
                <w:sz w:val="16"/>
              </w:rPr>
              <w:t>$TBD</w:t>
            </w:r>
          </w:p>
        </w:tc>
      </w:tr>
      <w:tr>
        <w:tc>
          <w:tcPr>
            <w:tcW w:type="dxa" w:w="3360"/>
          </w:tcPr>
          <w:p>
            <w:pPr>
              <w:jc w:val="center"/>
            </w:pPr>
            <w:r>
              <w:rPr>
                <w:rFonts w:ascii="Verdana" w:hAnsi="Verdana"/>
                <w:color w:val="46535E"/>
                <w:sz w:val="16"/>
              </w:rPr>
              <w:t>Phase 2 Milestone 1 - Requirements Implementation</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$TBD</w:t>
            </w:r>
          </w:p>
        </w:tc>
      </w:tr>
      <w:tr>
        <w:tc>
          <w:tcPr>
            <w:tcW w:type="dxa" w:w="3360"/>
          </w:tcPr>
          <w:p>
            <w:pPr>
              <w:jc w:val="center"/>
            </w:pPr>
            <w:r>
              <w:rPr>
                <w:rFonts w:ascii="Verdana" w:hAnsi="Verdana"/>
                <w:color w:val="46535E"/>
                <w:sz w:val="16"/>
              </w:rPr>
              <w:t>Phase 2 Milestone 2 - V&amp;V Completion</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$TBD</w:t>
            </w:r>
          </w:p>
        </w:tc>
      </w:tr>
      <w:tr>
        <w:tc>
          <w:tcPr>
            <w:tcW w:type="dxa" w:w="3360"/>
          </w:tcPr>
          <w:p>
            <w:pPr>
              <w:jc w:val="center"/>
            </w:pPr>
            <w:r>
              <w:rPr>
                <w:rFonts w:ascii="Verdana" w:hAnsi="Verdana"/>
                <w:color w:val="46535E"/>
                <w:sz w:val="16"/>
              </w:rPr>
              <w:t>Final Delivery - All Deliverables</w:t>
            </w:r>
          </w:p>
        </w:tc>
        <w:tc>
          <w:tcPr>
            <w:tcW w:type="dxa" w:w="3360"/>
          </w:tcPr>
          <w:p>
            <w:pPr>
              <w:jc w:val="center"/>
            </w:pPr>
            <w:r>
              <w:rPr>
                <w:rFonts w:ascii="Verdana" w:hAnsi="Verdana"/>
                <w:color w:val="46535E"/>
                <w:sz w:val="16"/>
              </w:rPr>
              <w:t>TBD based on Phase 1</w:t>
            </w:r>
          </w:p>
        </w:tc>
        <w:tc>
          <w:tcPr>
            <w:tcW w:type="dxa" w:w="3360"/>
          </w:tcPr>
          <w:p>
            <w:pPr>
              <w:jc w:val="center"/>
            </w:pPr>
            <w:r>
              <w:rPr>
                <w:rFonts w:ascii="Verdana" w:hAnsi="Verdana"/>
                <w:color w:val="46535E"/>
                <w:sz w:val="16"/>
              </w:rPr>
              <w:t>$TBD</w:t>
            </w:r>
          </w:p>
        </w:tc>
      </w:tr>
    </w:tbl>
    <w:p>
      <w:pPr>
        <w:pStyle w:val="Heading1"/>
        <w:spacing w:before="360" w:after="120"/>
      </w:pPr>
      <w:r>
        <w:rPr>
          <w:rFonts w:ascii="Verdana" w:hAnsi="Verdana"/>
          <w:b/>
          <w:color w:val="374351"/>
          <w:sz w:val="32"/>
        </w:rPr>
        <w:t>Project Assumptions and Client Responsibilities</w:t>
      </w:r>
    </w:p>
    <w:p>
      <w:pPr>
        <w:spacing w:line="276" w:lineRule="auto" w:after="160"/>
        <w:jc w:val="both"/>
      </w:pPr>
      <w:r>
        <w:rPr>
          <w:rFonts w:ascii="Verdana" w:hAnsi="Verdana"/>
          <w:color w:val="46535E"/>
          <w:sz w:val="22"/>
        </w:rPr>
        <w:t>This section outlines project assumptions and the client's responsibilities:</w:t>
      </w:r>
    </w:p>
    <w:p>
      <w:pPr>
        <w:spacing w:line="276" w:lineRule="auto" w:after="160"/>
        <w:jc w:val="both"/>
      </w:pPr>
      <w:r>
        <w:rPr>
          <w:rFonts w:ascii="Verdana" w:hAnsi="Verdana"/>
          <w:color w:val="46535E"/>
          <w:sz w:val="22"/>
        </w:rPr>
        <w:t>**Project Assumptions:**</w:t>
      </w:r>
    </w:p>
    <w:p>
      <w:pPr>
        <w:pStyle w:val="ListBullet"/>
        <w:jc w:val="left"/>
      </w:pPr>
      <w:r>
        <w:rPr>
          <w:rFonts w:ascii="Verdana" w:hAnsi="Verdana"/>
          <w:sz w:val="22"/>
        </w:rPr>
        <w:t>Existing codebase is available and documented to enable analysis</w:t>
      </w:r>
    </w:p>
    <w:p>
      <w:pPr>
        <w:pStyle w:val="ListBullet"/>
        <w:jc w:val="left"/>
      </w:pPr>
      <w:r>
        <w:rPr>
          <w:rFonts w:ascii="Verdana" w:hAnsi="Verdana"/>
          <w:sz w:val="22"/>
        </w:rPr>
        <w:t>Hardware platform is stable and development-ready</w:t>
      </w:r>
    </w:p>
    <w:p>
      <w:pPr>
        <w:pStyle w:val="ListBullet"/>
        <w:jc w:val="left"/>
      </w:pPr>
      <w:r>
        <w:rPr>
          <w:rFonts w:ascii="Verdana" w:hAnsi="Verdana"/>
          <w:sz w:val="22"/>
        </w:rPr>
        <w:t>ISO 26262 safety plan and requirements are well-defined</w:t>
      </w:r>
    </w:p>
    <w:p>
      <w:pPr>
        <w:pStyle w:val="ListBullet"/>
        <w:jc w:val="left"/>
      </w:pPr>
      <w:r>
        <w:rPr>
          <w:rFonts w:ascii="Verdana" w:hAnsi="Verdana"/>
          <w:sz w:val="22"/>
        </w:rPr>
        <w:t>Client team has functional safety expertise to support reviews</w:t>
      </w:r>
    </w:p>
    <w:p>
      <w:pPr>
        <w:pStyle w:val="ListBullet"/>
        <w:jc w:val="left"/>
      </w:pPr>
      <w:r>
        <w:rPr>
          <w:rFonts w:ascii="Verdana" w:hAnsi="Verdana"/>
          <w:sz w:val="22"/>
        </w:rPr>
        <w:t>Network connectivity between teams will be reliable</w:t>
      </w:r>
    </w:p>
    <w:p>
      <w:pPr>
        <w:pStyle w:val="ListBullet"/>
        <w:jc w:val="left"/>
      </w:pPr>
      <w:r>
        <w:rPr>
          <w:rFonts w:ascii="Verdana" w:hAnsi="Verdana"/>
          <w:sz w:val="22"/>
        </w:rPr>
        <w:t>Required development tools and licenses will be available when needed</w:t>
      </w:r>
    </w:p>
    <w:p>
      <w:pPr>
        <w:spacing w:line="276" w:lineRule="auto" w:after="160"/>
        <w:jc w:val="both"/>
      </w:pPr>
      <w:r>
        <w:rPr>
          <w:rFonts w:ascii="Verdana" w:hAnsi="Verdana"/>
          <w:color w:val="46535E"/>
          <w:sz w:val="22"/>
        </w:rPr>
        <w:t>**Client Responsibilities:**</w:t>
      </w:r>
    </w:p>
    <w:p>
      <w:pPr>
        <w:pStyle w:val="ListBullet"/>
        <w:jc w:val="left"/>
      </w:pPr>
      <w:r>
        <w:rPr>
          <w:rFonts w:ascii="Verdana" w:hAnsi="Verdana"/>
          <w:sz w:val="22"/>
        </w:rPr>
        <w:t>Provide hardware kits and harnesses shipped to India Design Center</w:t>
      </w:r>
    </w:p>
    <w:p>
      <w:pPr>
        <w:pStyle w:val="ListBullet"/>
        <w:jc w:val="left"/>
      </w:pPr>
      <w:r>
        <w:rPr>
          <w:rFonts w:ascii="Verdana" w:hAnsi="Verdana"/>
          <w:sz w:val="22"/>
        </w:rPr>
        <w:t>Ensure timely access to HIL systems and test environments</w:t>
      </w:r>
    </w:p>
    <w:p>
      <w:pPr>
        <w:pStyle w:val="ListBullet"/>
        <w:jc w:val="left"/>
      </w:pPr>
      <w:r>
        <w:rPr>
          <w:rFonts w:ascii="Verdana" w:hAnsi="Verdana"/>
          <w:sz w:val="22"/>
        </w:rPr>
        <w:t>Provide configured development laptop with necessary tools and access</w:t>
      </w:r>
    </w:p>
    <w:p>
      <w:pPr>
        <w:pStyle w:val="ListBullet"/>
        <w:jc w:val="left"/>
      </w:pPr>
      <w:r>
        <w:rPr>
          <w:rFonts w:ascii="Verdana" w:hAnsi="Verdana"/>
          <w:sz w:val="22"/>
        </w:rPr>
        <w:t>Make subject matter experts available for clarifications and reviews</w:t>
      </w:r>
    </w:p>
    <w:p>
      <w:pPr>
        <w:pStyle w:val="ListBullet"/>
        <w:jc w:val="left"/>
      </w:pPr>
      <w:r>
        <w:rPr>
          <w:rFonts w:ascii="Verdana" w:hAnsi="Verdana"/>
          <w:sz w:val="22"/>
        </w:rPr>
        <w:t>Provide all required documentation, source code, and specifications</w:t>
      </w:r>
    </w:p>
    <w:p>
      <w:pPr>
        <w:pStyle w:val="ListBullet"/>
        <w:jc w:val="left"/>
      </w:pPr>
      <w:r>
        <w:rPr>
          <w:rFonts w:ascii="Verdana" w:hAnsi="Verdana"/>
          <w:sz w:val="22"/>
        </w:rPr>
        <w:t>Procure or fund tool licenses (Vector Cast, PC-LINT) as needed</w:t>
      </w:r>
    </w:p>
    <w:p>
      <w:pPr>
        <w:pStyle w:val="ListBullet"/>
        <w:jc w:val="left"/>
      </w:pPr>
      <w:r>
        <w:rPr>
          <w:rFonts w:ascii="Verdana" w:hAnsi="Verdana"/>
          <w:sz w:val="22"/>
        </w:rPr>
        <w:t>Participate in regular review meetings and provide timely feedback</w:t>
      </w:r>
    </w:p>
    <w:p>
      <w:pPr>
        <w:pStyle w:val="ListBullet"/>
        <w:jc w:val="left"/>
      </w:pPr>
      <w:r>
        <w:rPr>
          <w:rFonts w:ascii="Verdana" w:hAnsi="Verdana"/>
          <w:sz w:val="22"/>
        </w:rPr>
        <w:t>Approve deliverables within 15 calendar days or provide written feedback</w:t>
      </w:r>
    </w:p>
    <w:p>
      <w:pPr>
        <w:pStyle w:val="Heading1"/>
        <w:spacing w:before="360" w:after="120"/>
      </w:pPr>
      <w:r>
        <w:rPr>
          <w:rFonts w:ascii="Verdana" w:hAnsi="Verdana"/>
          <w:b/>
          <w:color w:val="374351"/>
          <w:sz w:val="32"/>
        </w:rPr>
        <w:t>Contact Information</w:t>
      </w:r>
    </w:p>
    <w:p>
      <w:pPr>
        <w:spacing w:line="276" w:lineRule="auto" w:after="160"/>
        <w:jc w:val="both"/>
      </w:pPr>
      <w:r>
        <w:rPr>
          <w:rFonts w:ascii="Verdana" w:hAnsi="Verdana"/>
          <w:color w:val="46535E"/>
          <w:sz w:val="22"/>
        </w:rPr>
        <w:t>This section provides contact information for both parties: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74351"/>
          </w:tcPr>
          <w:p>
            <w:pPr>
              <w:jc w:val="center"/>
            </w:pPr>
            <w:r>
              <w:rPr>
                <w:rFonts w:ascii="Verdana" w:hAnsi="Verdana"/>
                <w:b/>
                <w:color w:val="FFFFFF"/>
                <w:sz w:val="16"/>
              </w:rPr>
              <w:t>Name</w:t>
            </w:r>
          </w:p>
        </w:tc>
        <w:tc>
          <w:tcPr>
            <w:tcW w:type="dxa" w:w="2520"/>
            <w:shd w:fill="374351"/>
          </w:tcPr>
          <w:p>
            <w:pPr>
              <w:jc w:val="center"/>
            </w:pPr>
            <w:r>
              <w:rPr>
                <w:rFonts w:ascii="Verdana" w:hAnsi="Verdana"/>
                <w:b/>
                <w:color w:val="FFFFFF"/>
                <w:sz w:val="16"/>
              </w:rPr>
              <w:t>Role</w:t>
            </w:r>
          </w:p>
        </w:tc>
        <w:tc>
          <w:tcPr>
            <w:tcW w:type="dxa" w:w="2520"/>
            <w:shd w:fill="374351"/>
          </w:tcPr>
          <w:p>
            <w:pPr>
              <w:jc w:val="center"/>
            </w:pPr>
            <w:r>
              <w:rPr>
                <w:rFonts w:ascii="Verdana" w:hAnsi="Verdana"/>
                <w:b/>
                <w:color w:val="FFFFFF"/>
                <w:sz w:val="16"/>
              </w:rPr>
              <w:t>Phone</w:t>
            </w:r>
          </w:p>
        </w:tc>
        <w:tc>
          <w:tcPr>
            <w:tcW w:type="dxa" w:w="2520"/>
            <w:shd w:fill="374351"/>
          </w:tcPr>
          <w:p>
            <w:pPr>
              <w:jc w:val="center"/>
            </w:pPr>
            <w:r>
              <w:rPr>
                <w:rFonts w:ascii="Verdana" w:hAnsi="Verdana"/>
                <w:b/>
                <w:color w:val="FFFFFF"/>
                <w:sz w:val="16"/>
              </w:rPr>
              <w:t>Email</w:t>
            </w:r>
          </w:p>
        </w:tc>
      </w:tr>
      <w:tr>
        <w:tc>
          <w:tcPr>
            <w:tcW w:type="dxa" w:w="2520"/>
          </w:tcPr>
          <w:p>
            <w:pPr>
              <w:jc w:val="center"/>
            </w:pPr>
            <w:r>
              <w:rPr>
                <w:rFonts w:ascii="Verdana" w:hAnsi="Verdana"/>
                <w:color w:val="46535E"/>
                <w:sz w:val="16"/>
              </w:rPr>
              <w:t>Peter Parker</w:t>
            </w:r>
          </w:p>
        </w:tc>
        <w:tc>
          <w:tcPr>
            <w:tcW w:type="dxa" w:w="2520"/>
          </w:tcPr>
          <w:p>
            <w:pPr>
              <w:jc w:val="center"/>
            </w:pPr>
            <w:r>
              <w:rPr>
                <w:rFonts w:ascii="Verdana" w:hAnsi="Verdana"/>
                <w:color w:val="46535E"/>
                <w:sz w:val="16"/>
              </w:rPr>
              <w:t>Head of Procurement</w:t>
            </w:r>
          </w:p>
        </w:tc>
        <w:tc>
          <w:tcPr>
            <w:tcW w:type="dxa" w:w="2520"/>
          </w:tcPr>
          <w:p>
            <w:pPr>
              <w:jc w:val="center"/>
            </w:pPr>
            <w:r>
              <w:rPr>
                <w:rFonts w:ascii="Verdana" w:hAnsi="Verdana"/>
                <w:color w:val="46535E"/>
                <w:sz w:val="16"/>
              </w:rPr>
              <w:t>+1 9234567892</w:t>
            </w:r>
          </w:p>
        </w:tc>
        <w:tc>
          <w:tcPr>
            <w:tcW w:type="dxa" w:w="2520"/>
          </w:tcPr>
          <w:p>
            <w:pPr>
              <w:jc w:val="center"/>
            </w:pPr>
            <w:r>
              <w:rPr>
                <w:rFonts w:ascii="Verdana" w:hAnsi="Verdana"/>
                <w:color w:val="46535E"/>
                <w:sz w:val="16"/>
              </w:rPr>
              <w:t>spiderman@danfoss.com</w:t>
            </w:r>
          </w:p>
        </w:tc>
      </w:tr>
      <w:tr>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TBD</w:t>
            </w:r>
          </w:p>
        </w:tc>
      </w:tr>
      <w:tr>
        <w:tc>
          <w:tcPr>
            <w:tcW w:type="dxa" w:w="2520"/>
          </w:tcPr>
          <w:p>
            <w:pPr>
              <w:jc w:val="center"/>
            </w:pPr>
            <w:r>
              <w:rPr>
                <w:rFonts w:ascii="Verdana" w:hAnsi="Verdana"/>
                <w:color w:val="46535E"/>
                <w:sz w:val="16"/>
              </w:rPr>
              <w:t>Praveen</w:t>
            </w:r>
          </w:p>
        </w:tc>
        <w:tc>
          <w:tcPr>
            <w:tcW w:type="dxa" w:w="2520"/>
          </w:tcPr>
          <w:p>
            <w:pPr>
              <w:jc w:val="center"/>
            </w:pPr>
            <w:r>
              <w:rPr>
                <w:rFonts w:ascii="Verdana" w:hAnsi="Verdana"/>
                <w:color w:val="46535E"/>
                <w:sz w:val="16"/>
              </w:rPr>
              <w:t>Technical Manager</w:t>
            </w:r>
          </w:p>
        </w:tc>
        <w:tc>
          <w:tcPr>
            <w:tcW w:type="dxa" w:w="2520"/>
          </w:tcPr>
          <w:p>
            <w:pPr>
              <w:jc w:val="center"/>
            </w:pPr>
            <w:r>
              <w:rPr>
                <w:rFonts w:ascii="Verdana" w:hAnsi="Verdana"/>
                <w:color w:val="46535E"/>
                <w:sz w:val="16"/>
              </w:rPr>
              <w:t>+1 9234567892</w:t>
            </w:r>
          </w:p>
        </w:tc>
        <w:tc>
          <w:tcPr>
            <w:tcW w:type="dxa" w:w="2520"/>
          </w:tcPr>
          <w:p>
            <w:pPr>
              <w:jc w:val="center"/>
            </w:pPr>
            <w:r>
              <w:rPr>
                <w:rFonts w:ascii="Verdana" w:hAnsi="Verdana"/>
                <w:color w:val="46535E"/>
                <w:sz w:val="16"/>
              </w:rPr>
              <w:t>pravenn@cfeynman.com</w:t>
            </w:r>
          </w:p>
        </w:tc>
      </w:tr>
      <w:tr>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Project Manager</w:t>
            </w:r>
          </w:p>
        </w:tc>
        <w:tc>
          <w:tcPr>
            <w:tcW w:type="dxa" w:w="2520"/>
          </w:tcPr>
          <w:p>
            <w:pPr>
              <w:jc w:val="center"/>
            </w:pPr>
            <w:r>
              <w:rPr>
                <w:rFonts w:ascii="Verdana" w:hAnsi="Verdana"/>
                <w:color w:val="46535E"/>
                <w:sz w:val="16"/>
              </w:rPr>
              <w:t>TBD</w:t>
            </w:r>
          </w:p>
        </w:tc>
        <w:tc>
          <w:tcPr>
            <w:tcW w:type="dxa" w:w="2520"/>
          </w:tcPr>
          <w:p>
            <w:pPr>
              <w:jc w:val="center"/>
            </w:pPr>
            <w:r>
              <w:rPr>
                <w:rFonts w:ascii="Verdana" w:hAnsi="Verdana"/>
                <w:color w:val="46535E"/>
                <w:sz w:val="16"/>
              </w:rPr>
              <w:t>TBD</w:t>
            </w:r>
          </w:p>
        </w:tc>
      </w:tr>
    </w:tbl>
    <w:sectPr w:rsidR="002F254D" w:rsidRPr="0068138C" w:rsidSect="00A56371">
      <w:pgSz w:w="12240" w:h="15840"/>
      <w:pgMar w:top="1080" w:right="1080" w:bottom="180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A901" w14:textId="77777777" w:rsidR="00F51B3D" w:rsidRDefault="00F51B3D" w:rsidP="002D518D">
      <w:r>
        <w:separator/>
      </w:r>
    </w:p>
  </w:endnote>
  <w:endnote w:type="continuationSeparator" w:id="0">
    <w:p w14:paraId="118973D9" w14:textId="77777777" w:rsidR="00F51B3D" w:rsidRDefault="00F51B3D" w:rsidP="002D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bson">
    <w:panose1 w:val="00000000000000000000"/>
    <w:charset w:val="00"/>
    <w:family w:val="modern"/>
    <w:notTrueType/>
    <w:pitch w:val="variable"/>
    <w:sig w:usb0="A000002F" w:usb1="50000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stem Font Regular">
    <w:altName w:val="Cambria"/>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9D6CF" w14:textId="5CD02702" w:rsidR="00584EFF" w:rsidRDefault="000F70F3" w:rsidP="002D518D">
    <w:pPr>
      <w:pStyle w:val="Footer"/>
    </w:pPr>
    <w:r>
      <w:rPr>
        <w:noProof/>
      </w:rPr>
      <mc:AlternateContent>
        <mc:Choice Requires="wps">
          <w:drawing>
            <wp:anchor distT="45720" distB="45720" distL="114300" distR="114300" simplePos="0" relativeHeight="251665408" behindDoc="0" locked="0" layoutInCell="1" allowOverlap="1" wp14:anchorId="387561E7" wp14:editId="4F32087D">
              <wp:simplePos x="0" y="0"/>
              <wp:positionH relativeFrom="margin">
                <wp:align>center</wp:align>
              </wp:positionH>
              <wp:positionV relativeFrom="paragraph">
                <wp:posOffset>-207645</wp:posOffset>
              </wp:positionV>
              <wp:extent cx="2145665" cy="249555"/>
              <wp:effectExtent l="0" t="0" r="6985"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665" cy="249555"/>
                      </a:xfrm>
                      <a:prstGeom prst="rect">
                        <a:avLst/>
                      </a:prstGeom>
                      <a:solidFill>
                        <a:srgbClr val="FFFFFF"/>
                      </a:solidFill>
                      <a:ln w="9525">
                        <a:noFill/>
                        <a:miter lim="800000"/>
                        <a:headEnd/>
                        <a:tailEnd/>
                      </a:ln>
                    </wps:spPr>
                    <wps:txbx>
                      <w:txbxContent>
                        <w:p w14:paraId="5D844F58" w14:textId="78281C2D" w:rsidR="000F70F3" w:rsidRDefault="00D437B9" w:rsidP="00D437B9">
                          <w:pPr>
                            <w:pStyle w:val="ContactInfo"/>
                          </w:pPr>
                          <w:r>
                            <w:t>Confidential and Company 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7561E7" id="_x0000_t202" coordsize="21600,21600" o:spt="202" path="m,l,21600r21600,l21600,xe">
              <v:stroke joinstyle="miter"/>
              <v:path gradientshapeok="t" o:connecttype="rect"/>
            </v:shapetype>
            <v:shape id="_x0000_s1027" type="#_x0000_t202" style="position:absolute;margin-left:0;margin-top:-16.35pt;width:168.95pt;height:19.6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" stroked="f">
              <v:textbox>
                <w:txbxContent>
                  <w:p w14:paraId="5D844F58" w14:textId="78281C2D" w:rsidR="000F70F3" w:rsidRDefault="00D437B9" w:rsidP="00D437B9">
                    <w:pPr>
                      <w:pStyle w:val="ContactInfo"/>
                    </w:pPr>
                    <w:r>
                      <w:t>Confidential and Company Proprietary</w:t>
                    </w:r>
                  </w:p>
                </w:txbxContent>
              </v:textbox>
              <w10:wrap type="square" anchorx="margin"/>
            </v:shape>
          </w:pict>
        </mc:Fallback>
      </mc:AlternateContent>
    </w:r>
    <w:r w:rsidR="00A02543">
      <w:rPr>
        <w:noProof/>
      </w:rPr>
      <mc:AlternateContent>
        <mc:Choice Requires="wps">
          <w:drawing>
            <wp:anchor distT="45720" distB="45720" distL="114300" distR="114300" simplePos="0" relativeHeight="251663360" behindDoc="0" locked="0" layoutInCell="1" allowOverlap="1" wp14:anchorId="5421AAC7" wp14:editId="75A9DD96">
              <wp:simplePos x="0" y="0"/>
              <wp:positionH relativeFrom="margin">
                <wp:posOffset>6524625</wp:posOffset>
              </wp:positionH>
              <wp:positionV relativeFrom="paragraph">
                <wp:posOffset>-304496</wp:posOffset>
              </wp:positionV>
              <wp:extent cx="921385" cy="2565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1385" cy="256540"/>
                      </a:xfrm>
                      <a:prstGeom prst="rect">
                        <a:avLst/>
                      </a:prstGeom>
                      <a:noFill/>
                      <a:ln w="9525">
                        <a:noFill/>
                        <a:miter lim="800000"/>
                        <a:headEnd/>
                        <a:tailEnd/>
                      </a:ln>
                    </wps:spPr>
                    <wps:txb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1AAC7" id="_x0000_s1028" type="#_x0000_t202" style="position:absolute;margin-left:513.75pt;margin-top:-24pt;width:72.55pt;height:20.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Lkj+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" filled="f" stroked="f">
              <v:textbox>
                <w:txbxContent>
                  <w:p w14:paraId="7E16D5D4" w14:textId="77777777" w:rsidR="00A02543" w:rsidRPr="00AB08F5" w:rsidRDefault="00A02543" w:rsidP="00A02543">
                    <w:pPr>
                      <w:rPr>
                        <w:color w:val="43627D" w:themeColor="accent3"/>
                        <w:sz w:val="20"/>
                        <w:szCs w:val="20"/>
                      </w:rPr>
                    </w:pPr>
                    <w:r w:rsidRPr="00AB08F5">
                      <w:rPr>
                        <w:color w:val="43627D" w:themeColor="accent3"/>
                        <w:sz w:val="20"/>
                        <w:szCs w:val="20"/>
                      </w:rPr>
                      <w:fldChar w:fldCharType="begin"/>
                    </w:r>
                    <w:r w:rsidRPr="00AB08F5">
                      <w:rPr>
                        <w:color w:val="43627D" w:themeColor="accent3"/>
                        <w:sz w:val="20"/>
                        <w:szCs w:val="20"/>
                      </w:rPr>
                      <w:instrText xml:space="preserve"> PAGE   \* MERGEFORMAT </w:instrText>
                    </w:r>
                    <w:r w:rsidRPr="00AB08F5">
                      <w:rPr>
                        <w:color w:val="43627D" w:themeColor="accent3"/>
                        <w:sz w:val="20"/>
                        <w:szCs w:val="20"/>
                      </w:rPr>
                      <w:fldChar w:fldCharType="separate"/>
                    </w:r>
                    <w:r w:rsidRPr="00AB08F5">
                      <w:rPr>
                        <w:color w:val="43627D" w:themeColor="accent3"/>
                        <w:sz w:val="20"/>
                        <w:szCs w:val="20"/>
                      </w:rPr>
                      <w:t>1</w:t>
                    </w:r>
                    <w:r w:rsidRPr="00AB08F5">
                      <w:rPr>
                        <w:color w:val="43627D" w:themeColor="accent3"/>
                        <w:sz w:val="20"/>
                        <w:szCs w:val="20"/>
                      </w:rPr>
                      <w:fldChar w:fldCharType="end"/>
                    </w:r>
                  </w:p>
                </w:txbxContent>
              </v:textbox>
              <w10:wrap type="square" anchorx="margin"/>
            </v:shape>
          </w:pict>
        </mc:Fallback>
      </mc:AlternateContent>
    </w:r>
    <w:r w:rsidR="00E4192E">
      <w:rPr>
        <w:noProof/>
      </w:rPr>
      <w:drawing>
        <wp:anchor distT="0" distB="0" distL="114300" distR="114300" simplePos="0" relativeHeight="251659264" behindDoc="1" locked="0" layoutInCell="1" allowOverlap="1" wp14:anchorId="048BC65E" wp14:editId="49281560">
          <wp:simplePos x="0" y="0"/>
          <wp:positionH relativeFrom="page">
            <wp:align>left</wp:align>
          </wp:positionH>
          <wp:positionV relativeFrom="paragraph">
            <wp:posOffset>-729754</wp:posOffset>
          </wp:positionV>
          <wp:extent cx="7772400" cy="9140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914041"/>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FB66" w14:textId="77777777" w:rsidR="00F51B3D" w:rsidRDefault="00F51B3D" w:rsidP="002D518D">
      <w:r>
        <w:separator/>
      </w:r>
    </w:p>
  </w:footnote>
  <w:footnote w:type="continuationSeparator" w:id="0">
    <w:p w14:paraId="7B4A5E24" w14:textId="77777777" w:rsidR="00F51B3D" w:rsidRDefault="00F51B3D" w:rsidP="002D5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5C73B" w14:textId="1B058BAD" w:rsidR="003D095F" w:rsidRDefault="003D095F" w:rsidP="003D095F">
    <w:pPr>
      <w:pStyle w:val="Header"/>
    </w:pPr>
  </w:p>
  <w:p w14:paraId="3ECC2BB0" w14:textId="39B4CF7C" w:rsidR="0034289F" w:rsidRDefault="0034289F" w:rsidP="003D095F">
    <w:pPr>
      <w:pStyle w:val="Header"/>
    </w:pPr>
  </w:p>
  <w:p w14:paraId="6888AC00" w14:textId="3EEE4C9D" w:rsidR="0034289F" w:rsidRDefault="001A37EF" w:rsidP="0034289F">
    <w:pPr>
      <w:pStyle w:val="Header"/>
      <w:tabs>
        <w:tab w:val="clear" w:pos="9360"/>
        <w:tab w:val="right" w:pos="10080"/>
      </w:tabs>
    </w:pPr>
    <w:r>
      <w:t>USA-FIN-TMP-0008</w:t>
    </w:r>
    <w:r w:rsidR="0034289F">
      <w:tab/>
    </w:r>
    <w:r w:rsidR="0034289F">
      <w:tab/>
      <w:t xml:space="preserve">Rev </w:t>
    </w:r>
    <w:r w:rsidR="00DC52F8">
      <w:t>4</w:t>
    </w:r>
  </w:p>
  <w:p w14:paraId="119235EC" w14:textId="312B476C" w:rsidR="003E37ED" w:rsidRDefault="003E37ED" w:rsidP="0034289F">
    <w:pPr>
      <w:pStyle w:val="Header"/>
      <w:tabs>
        <w:tab w:val="clear" w:pos="9360"/>
        <w:tab w:val="right" w:pos="10080"/>
      </w:tabs>
    </w:pPr>
  </w:p>
  <w:p w14:paraId="645FC5E9" w14:textId="77777777" w:rsidR="003E37ED" w:rsidRPr="003D095F" w:rsidRDefault="003E37ED" w:rsidP="0034289F">
    <w:pPr>
      <w:pStyle w:val="Header"/>
      <w:tabs>
        <w:tab w:val="clear" w:pos="9360"/>
        <w:tab w:val="right" w:pos="1008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B32D" w14:textId="3367649B" w:rsidR="00CB6FCC" w:rsidRDefault="00D050C4">
    <w:pPr>
      <w:pStyle w:val="Header"/>
    </w:pPr>
    <w:r w:rsidRPr="00C73908">
      <w:rPr>
        <w:noProof/>
      </w:rPr>
      <w:drawing>
        <wp:anchor distT="0" distB="0" distL="114300" distR="114300" simplePos="0" relativeHeight="251655168" behindDoc="1" locked="0" layoutInCell="1" allowOverlap="1" wp14:anchorId="1B48FBBA" wp14:editId="16E0D270">
          <wp:simplePos x="0" y="0"/>
          <wp:positionH relativeFrom="page">
            <wp:align>right</wp:align>
          </wp:positionH>
          <wp:positionV relativeFrom="paragraph">
            <wp:posOffset>-12700</wp:posOffset>
          </wp:positionV>
          <wp:extent cx="7772400" cy="10058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2400" cy="10058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1482">
      <w:t xml:space="preserve">   </w:t>
    </w:r>
  </w:p>
  <w:p w14:paraId="208B6694" w14:textId="77777777" w:rsidR="00D51482" w:rsidRPr="0000104A" w:rsidRDefault="00D51482">
    <w:pPr>
      <w:pStyle w:val="Header"/>
      <w:rPr>
        <w:sz w:val="21"/>
        <w:szCs w:val="21"/>
      </w:rPr>
    </w:pPr>
  </w:p>
  <w:p w14:paraId="6C9676D3" w14:textId="2D26CFB9" w:rsidR="00D050C4" w:rsidRPr="0000104A" w:rsidRDefault="00D050C4">
    <w:pPr>
      <w:pStyle w:val="Header"/>
      <w:rPr>
        <w:sz w:val="21"/>
        <w:szCs w:val="21"/>
      </w:rPr>
    </w:pPr>
  </w:p>
  <w:p w14:paraId="44FBB9C2" w14:textId="77777777" w:rsidR="00D51482" w:rsidRPr="0000104A" w:rsidRDefault="00D51482">
    <w:pPr>
      <w:pStyle w:val="Header"/>
      <w:rPr>
        <w:sz w:val="21"/>
        <w:szCs w:val="21"/>
      </w:rPr>
    </w:pPr>
  </w:p>
  <w:p w14:paraId="78B08AFA" w14:textId="27D09F18" w:rsidR="00D050C4" w:rsidRPr="0000104A" w:rsidRDefault="00D050C4">
    <w:pPr>
      <w:pStyle w:val="Header"/>
      <w:rPr>
        <w:sz w:val="21"/>
        <w:szCs w:val="21"/>
      </w:rPr>
    </w:pPr>
  </w:p>
  <w:p w14:paraId="09742261" w14:textId="4757A1BA" w:rsidR="00D050C4" w:rsidRPr="0000104A" w:rsidRDefault="00D050C4">
    <w:pPr>
      <w:pStyle w:val="Header"/>
      <w:rPr>
        <w:sz w:val="21"/>
        <w:szCs w:val="21"/>
      </w:rPr>
    </w:pPr>
  </w:p>
  <w:p w14:paraId="07E44925" w14:textId="5BD6CB7C" w:rsidR="00D050C4" w:rsidRPr="0000104A" w:rsidRDefault="00D050C4">
    <w:pPr>
      <w:pStyle w:val="Header"/>
      <w:rPr>
        <w:sz w:val="21"/>
        <w:szCs w:val="21"/>
      </w:rPr>
    </w:pPr>
  </w:p>
  <w:p w14:paraId="5A4932FB" w14:textId="193C8464" w:rsidR="00D050C4" w:rsidRPr="0000104A" w:rsidRDefault="003B30B6" w:rsidP="003B30B6">
    <w:pPr>
      <w:pStyle w:val="Header"/>
      <w:tabs>
        <w:tab w:val="clear" w:pos="4680"/>
        <w:tab w:val="clear" w:pos="9360"/>
        <w:tab w:val="left" w:pos="8260"/>
      </w:tabs>
      <w:rPr>
        <w:sz w:val="21"/>
        <w:szCs w:val="21"/>
      </w:rPr>
    </w:pPr>
    <w:r>
      <w:rPr>
        <w:sz w:val="21"/>
        <w:szCs w:val="21"/>
      </w:rPr>
      <w:tab/>
    </w:r>
  </w:p>
  <w:p w14:paraId="363B4BAC" w14:textId="41AFA005" w:rsidR="00D050C4" w:rsidRPr="0000104A" w:rsidRDefault="003B30B6" w:rsidP="003B30B6">
    <w:pPr>
      <w:pStyle w:val="Header"/>
      <w:tabs>
        <w:tab w:val="clear" w:pos="4680"/>
        <w:tab w:val="clear" w:pos="9360"/>
        <w:tab w:val="left" w:pos="8260"/>
      </w:tabs>
      <w:rPr>
        <w:sz w:val="21"/>
        <w:szCs w:val="21"/>
      </w:rPr>
    </w:pPr>
    <w:r>
      <w:rPr>
        <w:sz w:val="21"/>
        <w:szCs w:val="21"/>
      </w:rPr>
      <w:tab/>
    </w:r>
  </w:p>
  <w:p w14:paraId="00224F1E" w14:textId="099ABE0B" w:rsidR="00D050C4" w:rsidRPr="0000104A" w:rsidRDefault="003B30B6" w:rsidP="003B30B6">
    <w:pPr>
      <w:pStyle w:val="Header"/>
      <w:tabs>
        <w:tab w:val="clear" w:pos="4680"/>
        <w:tab w:val="clear" w:pos="9360"/>
        <w:tab w:val="left" w:pos="8260"/>
      </w:tabs>
      <w:rPr>
        <w:sz w:val="21"/>
        <w:szCs w:val="21"/>
      </w:rPr>
    </w:pPr>
    <w:r>
      <w:rPr>
        <w:sz w:val="21"/>
        <w:szCs w:val="21"/>
      </w:rPr>
      <w:tab/>
    </w:r>
  </w:p>
  <w:p w14:paraId="5EB2FDEB" w14:textId="13C3FB30" w:rsidR="00D050C4" w:rsidRPr="0000104A" w:rsidRDefault="00D050C4">
    <w:pPr>
      <w:pStyle w:val="Header"/>
      <w:rPr>
        <w:sz w:val="21"/>
        <w:szCs w:val="21"/>
      </w:rPr>
    </w:pPr>
  </w:p>
  <w:p w14:paraId="6088199B" w14:textId="604B3FD9" w:rsidR="00D050C4" w:rsidRPr="0000104A" w:rsidRDefault="00D050C4">
    <w:pPr>
      <w:pStyle w:val="Header"/>
      <w:rPr>
        <w:sz w:val="21"/>
        <w:szCs w:val="21"/>
      </w:rPr>
    </w:pPr>
  </w:p>
  <w:p w14:paraId="41DD614A" w14:textId="31E78A56" w:rsidR="00D050C4" w:rsidRPr="0000104A" w:rsidRDefault="0000104A" w:rsidP="0000104A">
    <w:pPr>
      <w:pStyle w:val="Header"/>
      <w:tabs>
        <w:tab w:val="clear" w:pos="4680"/>
        <w:tab w:val="clear" w:pos="9360"/>
        <w:tab w:val="left" w:pos="1298"/>
      </w:tabs>
      <w:rPr>
        <w:sz w:val="21"/>
        <w:szCs w:val="21"/>
      </w:rPr>
    </w:pPr>
    <w:r w:rsidRPr="0000104A">
      <w:rPr>
        <w:sz w:val="21"/>
        <w:szCs w:val="21"/>
      </w:rPr>
      <w:tab/>
    </w:r>
  </w:p>
  <w:p w14:paraId="096FA6C9" w14:textId="1B5E1988" w:rsidR="00D050C4" w:rsidRPr="0000104A" w:rsidRDefault="00D050C4">
    <w:pPr>
      <w:pStyle w:val="Header"/>
      <w:rPr>
        <w:sz w:val="21"/>
        <w:szCs w:val="21"/>
      </w:rPr>
    </w:pPr>
  </w:p>
  <w:p w14:paraId="040625D7" w14:textId="3A4688AC" w:rsidR="00D050C4" w:rsidRPr="0000104A" w:rsidRDefault="002A6926" w:rsidP="002A6926">
    <w:pPr>
      <w:pStyle w:val="Header"/>
      <w:tabs>
        <w:tab w:val="clear" w:pos="4680"/>
        <w:tab w:val="clear" w:pos="9360"/>
        <w:tab w:val="left" w:pos="8952"/>
      </w:tabs>
      <w:rPr>
        <w:sz w:val="21"/>
        <w:szCs w:val="21"/>
      </w:rPr>
    </w:pPr>
    <w:r>
      <w:rPr>
        <w:sz w:val="21"/>
        <w:szCs w:val="21"/>
      </w:rPr>
      <w:tab/>
    </w:r>
  </w:p>
  <w:p w14:paraId="725AF338" w14:textId="2631B224" w:rsidR="00D050C4" w:rsidRPr="0000104A" w:rsidRDefault="00D050C4">
    <w:pPr>
      <w:pStyle w:val="Header"/>
      <w:rPr>
        <w:sz w:val="21"/>
        <w:szCs w:val="21"/>
      </w:rPr>
    </w:pPr>
  </w:p>
  <w:p w14:paraId="5B8BE039" w14:textId="2025E00C" w:rsidR="00D050C4" w:rsidRPr="0000104A" w:rsidRDefault="00D050C4">
    <w:pPr>
      <w:pStyle w:val="Header"/>
      <w:rPr>
        <w:sz w:val="21"/>
        <w:szCs w:val="21"/>
      </w:rPr>
    </w:pPr>
  </w:p>
  <w:p w14:paraId="6810F111" w14:textId="6CFD08AB" w:rsidR="00D050C4" w:rsidRPr="0000104A" w:rsidRDefault="00D050C4">
    <w:pPr>
      <w:pStyle w:val="Header"/>
      <w:rPr>
        <w:sz w:val="21"/>
        <w:szCs w:val="21"/>
      </w:rPr>
    </w:pPr>
  </w:p>
  <w:p w14:paraId="4A6E8526" w14:textId="634FD185" w:rsidR="00D050C4" w:rsidRPr="0000104A" w:rsidRDefault="00D050C4" w:rsidP="00505F3F">
    <w:pPr>
      <w:pStyle w:val="Header"/>
      <w:tabs>
        <w:tab w:val="clear" w:pos="9360"/>
        <w:tab w:val="left" w:pos="1824"/>
        <w:tab w:val="left" w:pos="4680"/>
      </w:tabs>
      <w:rPr>
        <w:sz w:val="21"/>
        <w:szCs w:val="21"/>
      </w:rPr>
    </w:pPr>
    <w:r w:rsidRPr="0000104A">
      <w:rPr>
        <w:sz w:val="21"/>
        <w:szCs w:val="21"/>
      </w:rPr>
      <w:tab/>
    </w:r>
    <w:r w:rsidR="00505F3F">
      <w:rPr>
        <w:sz w:val="21"/>
        <w:szCs w:val="21"/>
      </w:rPr>
      <w:tab/>
    </w:r>
    <w:r w:rsidR="00505F3F">
      <w:rPr>
        <w:sz w:val="21"/>
        <w:szCs w:val="21"/>
      </w:rPr>
      <w:tab/>
    </w:r>
  </w:p>
  <w:p w14:paraId="7575B7DE" w14:textId="401BC7A5" w:rsidR="00D050C4" w:rsidRPr="0000104A" w:rsidRDefault="00D050C4" w:rsidP="00D51482">
    <w:pPr>
      <w:pStyle w:val="Header"/>
      <w:jc w:val="right"/>
      <w:rPr>
        <w:sz w:val="21"/>
        <w:szCs w:val="21"/>
      </w:rPr>
    </w:pPr>
  </w:p>
  <w:p w14:paraId="04C6D27F" w14:textId="5A860589" w:rsidR="00D050C4" w:rsidRPr="0000104A" w:rsidRDefault="00D050C4">
    <w:pPr>
      <w:pStyle w:val="Header"/>
      <w:rPr>
        <w:sz w:val="21"/>
        <w:szCs w:val="21"/>
      </w:rPr>
    </w:pPr>
  </w:p>
  <w:p w14:paraId="628F49D6" w14:textId="0594852F" w:rsidR="00D050C4" w:rsidRPr="0000104A" w:rsidRDefault="0048760D" w:rsidP="0048760D">
    <w:pPr>
      <w:pStyle w:val="Header"/>
      <w:tabs>
        <w:tab w:val="left" w:pos="4508"/>
      </w:tabs>
      <w:rPr>
        <w:sz w:val="21"/>
        <w:szCs w:val="21"/>
      </w:rPr>
    </w:pPr>
    <w:r>
      <w:rPr>
        <w:sz w:val="21"/>
        <w:szCs w:val="21"/>
      </w:rPr>
      <w:tab/>
    </w:r>
    <w:r>
      <w:rPr>
        <w:sz w:val="21"/>
        <w:szCs w:val="21"/>
      </w:rPr>
      <w:tab/>
    </w:r>
  </w:p>
  <w:p w14:paraId="2E2B80FE" w14:textId="77777777" w:rsidR="00B819A5" w:rsidRPr="0000104A" w:rsidRDefault="00B819A5">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748902"/>
    <w:lvl w:ilvl="0">
      <w:start w:val="1"/>
      <w:numFmt w:val="decimal"/>
      <w:pStyle w:val="ListNumber"/>
      <w:lvlText w:val="%1."/>
      <w:lvlJc w:val="left"/>
      <w:pPr>
        <w:ind w:left="360" w:hanging="360"/>
      </w:pPr>
    </w:lvl>
  </w:abstractNum>
  <w:abstractNum w:abstractNumId="1" w15:restartNumberingAfterBreak="0">
    <w:nsid w:val="FFFFFF89"/>
    <w:multiLevelType w:val="singleLevel"/>
    <w:tmpl w:val="F4F87AF6"/>
    <w:lvl w:ilvl="0">
      <w:start w:val="1"/>
      <w:numFmt w:val="bullet"/>
      <w:pStyle w:val="ListBullet"/>
      <w:lvlText w:val="+"/>
      <w:lvlJc w:val="left"/>
      <w:pPr>
        <w:ind w:left="360" w:hanging="360"/>
      </w:pPr>
      <w:rPr>
        <w:rFonts w:ascii="Verdana" w:hAnsi="Verdana" w:hint="default"/>
        <w:color w:val="C1D82F" w:themeColor="accent2"/>
      </w:rPr>
    </w:lvl>
  </w:abstractNum>
  <w:abstractNum w:abstractNumId="2" w15:restartNumberingAfterBreak="0">
    <w:nsid w:val="078D61F3"/>
    <w:multiLevelType w:val="multilevel"/>
    <w:tmpl w:val="6D76A5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E6825"/>
    <w:multiLevelType w:val="hybridMultilevel"/>
    <w:tmpl w:val="37006D62"/>
    <w:lvl w:ilvl="0" w:tplc="29EA5F10">
      <w:start w:val="1"/>
      <w:numFmt w:val="bullet"/>
      <w:lvlText w:val="»"/>
      <w:lvlJc w:val="left"/>
      <w:pPr>
        <w:ind w:left="720" w:hanging="360"/>
      </w:pPr>
      <w:rPr>
        <w:rFonts w:ascii="Arial" w:hAnsi="Arial" w:hint="default"/>
        <w:b/>
        <w:i w:val="0"/>
        <w:color w:val="FFFFFF" w:themeColor="background2"/>
        <w:sz w:val="26"/>
        <w:u w:val="none"/>
      </w:rPr>
    </w:lvl>
    <w:lvl w:ilvl="1" w:tplc="979007B6">
      <w:start w:val="1"/>
      <w:numFmt w:val="bullet"/>
      <w:lvlText w:val="›"/>
      <w:lvlJc w:val="left"/>
      <w:pPr>
        <w:ind w:left="1440" w:hanging="360"/>
      </w:pPr>
      <w:rPr>
        <w:rFonts w:ascii="Gibson" w:hAnsi="Gibso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15C6C"/>
    <w:multiLevelType w:val="hybridMultilevel"/>
    <w:tmpl w:val="EB48E84C"/>
    <w:lvl w:ilvl="0" w:tplc="3E1AE2EC">
      <w:start w:val="1"/>
      <w:numFmt w:val="bullet"/>
      <w:lvlText w:val="»"/>
      <w:lvlJc w:val="left"/>
      <w:pPr>
        <w:ind w:left="720" w:hanging="360"/>
      </w:pPr>
      <w:rPr>
        <w:rFonts w:ascii="Arial" w:hAnsi="Arial" w:hint="default"/>
        <w:b/>
        <w:i w:val="0"/>
        <w:color w:val="FFFFFF" w:themeColor="background2"/>
        <w:sz w:val="24"/>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9E0879"/>
    <w:multiLevelType w:val="multilevel"/>
    <w:tmpl w:val="36FE123E"/>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F54008B"/>
    <w:multiLevelType w:val="hybridMultilevel"/>
    <w:tmpl w:val="119E3C94"/>
    <w:lvl w:ilvl="0" w:tplc="29EA5F10">
      <w:start w:val="1"/>
      <w:numFmt w:val="bullet"/>
      <w:lvlText w:val="»"/>
      <w:lvlJc w:val="left"/>
      <w:pPr>
        <w:ind w:left="720" w:hanging="360"/>
      </w:pPr>
      <w:rPr>
        <w:rFonts w:ascii="Arial" w:hAnsi="Arial" w:hint="default"/>
        <w:b/>
        <w:i w:val="0"/>
        <w:color w:val="FFFFFF" w:themeColor="background2"/>
        <w:sz w:val="26"/>
        <w:u w:val="none"/>
      </w:rPr>
    </w:lvl>
    <w:lvl w:ilvl="1" w:tplc="0DC4623E">
      <w:start w:val="1"/>
      <w:numFmt w:val="bullet"/>
      <w:lvlText w:val="›"/>
      <w:lvlJc w:val="left"/>
      <w:pPr>
        <w:ind w:left="1368" w:hanging="288"/>
      </w:pPr>
      <w:rPr>
        <w:rFonts w:ascii="Gibson" w:hAnsi="Gibson" w:hint="default"/>
        <w:color w:val="021A32" w:themeColor="text2"/>
        <w:sz w:val="28"/>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0223A"/>
    <w:multiLevelType w:val="hybridMultilevel"/>
    <w:tmpl w:val="81D8D9D2"/>
    <w:lvl w:ilvl="0" w:tplc="29EA5F10">
      <w:start w:val="1"/>
      <w:numFmt w:val="bullet"/>
      <w:lvlText w:val="»"/>
      <w:lvlJc w:val="left"/>
      <w:pPr>
        <w:ind w:left="720" w:hanging="360"/>
      </w:pPr>
      <w:rPr>
        <w:rFonts w:ascii="Arial" w:hAnsi="Arial" w:hint="default"/>
        <w:b/>
        <w:i w:val="0"/>
        <w:color w:val="FFFFFF" w:themeColor="background2"/>
        <w:sz w:val="26"/>
        <w:u w:val="none"/>
      </w:rPr>
    </w:lvl>
    <w:lvl w:ilvl="1" w:tplc="A246EFEE">
      <w:start w:val="1"/>
      <w:numFmt w:val="bullet"/>
      <w:lvlText w:val="›"/>
      <w:lvlJc w:val="left"/>
      <w:pPr>
        <w:ind w:left="1440" w:hanging="72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2273B"/>
    <w:multiLevelType w:val="hybridMultilevel"/>
    <w:tmpl w:val="6B18EEAE"/>
    <w:lvl w:ilvl="0" w:tplc="29EA5F10">
      <w:start w:val="1"/>
      <w:numFmt w:val="bullet"/>
      <w:lvlText w:val="»"/>
      <w:lvlJc w:val="left"/>
      <w:pPr>
        <w:ind w:left="720" w:hanging="360"/>
      </w:pPr>
      <w:rPr>
        <w:rFonts w:ascii="Arial" w:hAnsi="Arial" w:hint="default"/>
        <w:b/>
        <w:i w:val="0"/>
        <w:color w:val="FFFFFF" w:themeColor="background2"/>
        <w:sz w:val="26"/>
        <w:u w:val="none"/>
      </w:rPr>
    </w:lvl>
    <w:lvl w:ilvl="1" w:tplc="9EDC0C60">
      <w:start w:val="1"/>
      <w:numFmt w:val="bullet"/>
      <w:lvlText w:val="›"/>
      <w:lvlJc w:val="left"/>
      <w:pPr>
        <w:ind w:left="1368" w:hanging="288"/>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D02DB"/>
    <w:multiLevelType w:val="hybridMultilevel"/>
    <w:tmpl w:val="9418E542"/>
    <w:lvl w:ilvl="0" w:tplc="29EA5F10">
      <w:start w:val="1"/>
      <w:numFmt w:val="bullet"/>
      <w:lvlText w:val="»"/>
      <w:lvlJc w:val="left"/>
      <w:pPr>
        <w:ind w:left="720" w:hanging="360"/>
      </w:pPr>
      <w:rPr>
        <w:rFonts w:ascii="Arial" w:hAnsi="Arial" w:hint="default"/>
        <w:b/>
        <w:i w:val="0"/>
        <w:color w:val="FFFFFF" w:themeColor="background2"/>
        <w:sz w:val="26"/>
        <w:u w:val="none"/>
      </w:rPr>
    </w:lvl>
    <w:lvl w:ilvl="1" w:tplc="2A741FBE">
      <w:start w:val="1"/>
      <w:numFmt w:val="bullet"/>
      <w:lvlText w:val="›"/>
      <w:lvlJc w:val="left"/>
      <w:pPr>
        <w:ind w:left="1368" w:hanging="288"/>
      </w:pPr>
      <w:rPr>
        <w:rFonts w:ascii="Gibson" w:hAnsi="Gibson" w:hint="default"/>
        <w:color w:val="FFFFFF" w:themeColor="background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73D7"/>
    <w:multiLevelType w:val="hybridMultilevel"/>
    <w:tmpl w:val="2E34E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D82793"/>
    <w:multiLevelType w:val="hybridMultilevel"/>
    <w:tmpl w:val="B736248E"/>
    <w:lvl w:ilvl="0" w:tplc="D8A25F1E">
      <w:start w:val="1"/>
      <w:numFmt w:val="bullet"/>
      <w:lvlText w:val="»"/>
      <w:lvlJc w:val="left"/>
      <w:pPr>
        <w:ind w:left="720" w:hanging="360"/>
      </w:pPr>
      <w:rPr>
        <w:rFonts w:ascii="Arial" w:hAnsi="Arial" w:hint="default"/>
        <w:b/>
        <w:i w:val="0"/>
        <w:color w:val="FFFFFF" w:themeColor="background2"/>
        <w:sz w:val="32"/>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F630E"/>
    <w:multiLevelType w:val="hybridMultilevel"/>
    <w:tmpl w:val="54CC73B6"/>
    <w:lvl w:ilvl="0" w:tplc="29EA5F10">
      <w:start w:val="1"/>
      <w:numFmt w:val="bullet"/>
      <w:lvlText w:val="»"/>
      <w:lvlJc w:val="left"/>
      <w:pPr>
        <w:ind w:left="720" w:hanging="360"/>
      </w:pPr>
      <w:rPr>
        <w:rFonts w:ascii="Arial" w:hAnsi="Arial" w:hint="default"/>
        <w:b/>
        <w:i w:val="0"/>
        <w:color w:val="FFFFFF" w:themeColor="background2"/>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D37EE"/>
    <w:multiLevelType w:val="hybridMultilevel"/>
    <w:tmpl w:val="B3E25C2C"/>
    <w:lvl w:ilvl="0" w:tplc="8A64888A">
      <w:start w:val="1"/>
      <w:numFmt w:val="bullet"/>
      <w:lvlText w:val="+"/>
      <w:lvlJc w:val="left"/>
      <w:pPr>
        <w:tabs>
          <w:tab w:val="num" w:pos="720"/>
        </w:tabs>
        <w:ind w:left="720" w:hanging="360"/>
      </w:pPr>
      <w:rPr>
        <w:rFonts w:ascii="System Font Regular" w:hAnsi="System Font Regular" w:hint="default"/>
      </w:rPr>
    </w:lvl>
    <w:lvl w:ilvl="1" w:tplc="8A5A1438" w:tentative="1">
      <w:start w:val="1"/>
      <w:numFmt w:val="bullet"/>
      <w:lvlText w:val="+"/>
      <w:lvlJc w:val="left"/>
      <w:pPr>
        <w:tabs>
          <w:tab w:val="num" w:pos="1440"/>
        </w:tabs>
        <w:ind w:left="1440" w:hanging="360"/>
      </w:pPr>
      <w:rPr>
        <w:rFonts w:ascii="System Font Regular" w:hAnsi="System Font Regular" w:hint="default"/>
      </w:rPr>
    </w:lvl>
    <w:lvl w:ilvl="2" w:tplc="FED82798" w:tentative="1">
      <w:start w:val="1"/>
      <w:numFmt w:val="bullet"/>
      <w:lvlText w:val="+"/>
      <w:lvlJc w:val="left"/>
      <w:pPr>
        <w:tabs>
          <w:tab w:val="num" w:pos="2160"/>
        </w:tabs>
        <w:ind w:left="2160" w:hanging="360"/>
      </w:pPr>
      <w:rPr>
        <w:rFonts w:ascii="System Font Regular" w:hAnsi="System Font Regular" w:hint="default"/>
      </w:rPr>
    </w:lvl>
    <w:lvl w:ilvl="3" w:tplc="52B67212" w:tentative="1">
      <w:start w:val="1"/>
      <w:numFmt w:val="bullet"/>
      <w:lvlText w:val="+"/>
      <w:lvlJc w:val="left"/>
      <w:pPr>
        <w:tabs>
          <w:tab w:val="num" w:pos="2880"/>
        </w:tabs>
        <w:ind w:left="2880" w:hanging="360"/>
      </w:pPr>
      <w:rPr>
        <w:rFonts w:ascii="System Font Regular" w:hAnsi="System Font Regular" w:hint="default"/>
      </w:rPr>
    </w:lvl>
    <w:lvl w:ilvl="4" w:tplc="BC2EA82A" w:tentative="1">
      <w:start w:val="1"/>
      <w:numFmt w:val="bullet"/>
      <w:lvlText w:val="+"/>
      <w:lvlJc w:val="left"/>
      <w:pPr>
        <w:tabs>
          <w:tab w:val="num" w:pos="3600"/>
        </w:tabs>
        <w:ind w:left="3600" w:hanging="360"/>
      </w:pPr>
      <w:rPr>
        <w:rFonts w:ascii="System Font Regular" w:hAnsi="System Font Regular" w:hint="default"/>
      </w:rPr>
    </w:lvl>
    <w:lvl w:ilvl="5" w:tplc="F670D63E" w:tentative="1">
      <w:start w:val="1"/>
      <w:numFmt w:val="bullet"/>
      <w:lvlText w:val="+"/>
      <w:lvlJc w:val="left"/>
      <w:pPr>
        <w:tabs>
          <w:tab w:val="num" w:pos="4320"/>
        </w:tabs>
        <w:ind w:left="4320" w:hanging="360"/>
      </w:pPr>
      <w:rPr>
        <w:rFonts w:ascii="System Font Regular" w:hAnsi="System Font Regular" w:hint="default"/>
      </w:rPr>
    </w:lvl>
    <w:lvl w:ilvl="6" w:tplc="8DF43020" w:tentative="1">
      <w:start w:val="1"/>
      <w:numFmt w:val="bullet"/>
      <w:lvlText w:val="+"/>
      <w:lvlJc w:val="left"/>
      <w:pPr>
        <w:tabs>
          <w:tab w:val="num" w:pos="5040"/>
        </w:tabs>
        <w:ind w:left="5040" w:hanging="360"/>
      </w:pPr>
      <w:rPr>
        <w:rFonts w:ascii="System Font Regular" w:hAnsi="System Font Regular" w:hint="default"/>
      </w:rPr>
    </w:lvl>
    <w:lvl w:ilvl="7" w:tplc="ACAA6168" w:tentative="1">
      <w:start w:val="1"/>
      <w:numFmt w:val="bullet"/>
      <w:lvlText w:val="+"/>
      <w:lvlJc w:val="left"/>
      <w:pPr>
        <w:tabs>
          <w:tab w:val="num" w:pos="5760"/>
        </w:tabs>
        <w:ind w:left="5760" w:hanging="360"/>
      </w:pPr>
      <w:rPr>
        <w:rFonts w:ascii="System Font Regular" w:hAnsi="System Font Regular" w:hint="default"/>
      </w:rPr>
    </w:lvl>
    <w:lvl w:ilvl="8" w:tplc="38CC5E96" w:tentative="1">
      <w:start w:val="1"/>
      <w:numFmt w:val="bullet"/>
      <w:lvlText w:val="+"/>
      <w:lvlJc w:val="left"/>
      <w:pPr>
        <w:tabs>
          <w:tab w:val="num" w:pos="6480"/>
        </w:tabs>
        <w:ind w:left="6480" w:hanging="360"/>
      </w:pPr>
      <w:rPr>
        <w:rFonts w:ascii="System Font Regular" w:hAnsi="System Font Regular" w:hint="default"/>
      </w:rPr>
    </w:lvl>
  </w:abstractNum>
  <w:abstractNum w:abstractNumId="14" w15:restartNumberingAfterBreak="0">
    <w:nsid w:val="448C6FEC"/>
    <w:multiLevelType w:val="hybridMultilevel"/>
    <w:tmpl w:val="EAA44EC2"/>
    <w:lvl w:ilvl="0" w:tplc="E41819B8">
      <w:start w:val="1"/>
      <w:numFmt w:val="bullet"/>
      <w:lvlText w:val="+"/>
      <w:lvlJc w:val="left"/>
      <w:pPr>
        <w:tabs>
          <w:tab w:val="num" w:pos="720"/>
        </w:tabs>
        <w:ind w:left="720" w:hanging="360"/>
      </w:pPr>
      <w:rPr>
        <w:rFonts w:ascii="System Font Regular" w:hAnsi="System Font Regular" w:hint="default"/>
      </w:rPr>
    </w:lvl>
    <w:lvl w:ilvl="1" w:tplc="19ECDFC0" w:tentative="1">
      <w:start w:val="1"/>
      <w:numFmt w:val="bullet"/>
      <w:lvlText w:val="+"/>
      <w:lvlJc w:val="left"/>
      <w:pPr>
        <w:tabs>
          <w:tab w:val="num" w:pos="1440"/>
        </w:tabs>
        <w:ind w:left="1440" w:hanging="360"/>
      </w:pPr>
      <w:rPr>
        <w:rFonts w:ascii="System Font Regular" w:hAnsi="System Font Regular" w:hint="default"/>
      </w:rPr>
    </w:lvl>
    <w:lvl w:ilvl="2" w:tplc="6B204300" w:tentative="1">
      <w:start w:val="1"/>
      <w:numFmt w:val="bullet"/>
      <w:lvlText w:val="+"/>
      <w:lvlJc w:val="left"/>
      <w:pPr>
        <w:tabs>
          <w:tab w:val="num" w:pos="2160"/>
        </w:tabs>
        <w:ind w:left="2160" w:hanging="360"/>
      </w:pPr>
      <w:rPr>
        <w:rFonts w:ascii="System Font Regular" w:hAnsi="System Font Regular" w:hint="default"/>
      </w:rPr>
    </w:lvl>
    <w:lvl w:ilvl="3" w:tplc="E034BCEA" w:tentative="1">
      <w:start w:val="1"/>
      <w:numFmt w:val="bullet"/>
      <w:lvlText w:val="+"/>
      <w:lvlJc w:val="left"/>
      <w:pPr>
        <w:tabs>
          <w:tab w:val="num" w:pos="2880"/>
        </w:tabs>
        <w:ind w:left="2880" w:hanging="360"/>
      </w:pPr>
      <w:rPr>
        <w:rFonts w:ascii="System Font Regular" w:hAnsi="System Font Regular" w:hint="default"/>
      </w:rPr>
    </w:lvl>
    <w:lvl w:ilvl="4" w:tplc="06C87F4A" w:tentative="1">
      <w:start w:val="1"/>
      <w:numFmt w:val="bullet"/>
      <w:lvlText w:val="+"/>
      <w:lvlJc w:val="left"/>
      <w:pPr>
        <w:tabs>
          <w:tab w:val="num" w:pos="3600"/>
        </w:tabs>
        <w:ind w:left="3600" w:hanging="360"/>
      </w:pPr>
      <w:rPr>
        <w:rFonts w:ascii="System Font Regular" w:hAnsi="System Font Regular" w:hint="default"/>
      </w:rPr>
    </w:lvl>
    <w:lvl w:ilvl="5" w:tplc="A978E6E2" w:tentative="1">
      <w:start w:val="1"/>
      <w:numFmt w:val="bullet"/>
      <w:lvlText w:val="+"/>
      <w:lvlJc w:val="left"/>
      <w:pPr>
        <w:tabs>
          <w:tab w:val="num" w:pos="4320"/>
        </w:tabs>
        <w:ind w:left="4320" w:hanging="360"/>
      </w:pPr>
      <w:rPr>
        <w:rFonts w:ascii="System Font Regular" w:hAnsi="System Font Regular" w:hint="default"/>
      </w:rPr>
    </w:lvl>
    <w:lvl w:ilvl="6" w:tplc="23803F24" w:tentative="1">
      <w:start w:val="1"/>
      <w:numFmt w:val="bullet"/>
      <w:lvlText w:val="+"/>
      <w:lvlJc w:val="left"/>
      <w:pPr>
        <w:tabs>
          <w:tab w:val="num" w:pos="5040"/>
        </w:tabs>
        <w:ind w:left="5040" w:hanging="360"/>
      </w:pPr>
      <w:rPr>
        <w:rFonts w:ascii="System Font Regular" w:hAnsi="System Font Regular" w:hint="default"/>
      </w:rPr>
    </w:lvl>
    <w:lvl w:ilvl="7" w:tplc="D1E25B82" w:tentative="1">
      <w:start w:val="1"/>
      <w:numFmt w:val="bullet"/>
      <w:lvlText w:val="+"/>
      <w:lvlJc w:val="left"/>
      <w:pPr>
        <w:tabs>
          <w:tab w:val="num" w:pos="5760"/>
        </w:tabs>
        <w:ind w:left="5760" w:hanging="360"/>
      </w:pPr>
      <w:rPr>
        <w:rFonts w:ascii="System Font Regular" w:hAnsi="System Font Regular" w:hint="default"/>
      </w:rPr>
    </w:lvl>
    <w:lvl w:ilvl="8" w:tplc="04CE8C34" w:tentative="1">
      <w:start w:val="1"/>
      <w:numFmt w:val="bullet"/>
      <w:lvlText w:val="+"/>
      <w:lvlJc w:val="left"/>
      <w:pPr>
        <w:tabs>
          <w:tab w:val="num" w:pos="6480"/>
        </w:tabs>
        <w:ind w:left="6480" w:hanging="360"/>
      </w:pPr>
      <w:rPr>
        <w:rFonts w:ascii="System Font Regular" w:hAnsi="System Font Regular" w:hint="default"/>
      </w:rPr>
    </w:lvl>
  </w:abstractNum>
  <w:abstractNum w:abstractNumId="15" w15:restartNumberingAfterBreak="0">
    <w:nsid w:val="53E53276"/>
    <w:multiLevelType w:val="hybridMultilevel"/>
    <w:tmpl w:val="0E509366"/>
    <w:lvl w:ilvl="0" w:tplc="29EA5F10">
      <w:start w:val="1"/>
      <w:numFmt w:val="bullet"/>
      <w:lvlText w:val="»"/>
      <w:lvlJc w:val="left"/>
      <w:pPr>
        <w:ind w:left="720" w:hanging="360"/>
      </w:pPr>
      <w:rPr>
        <w:rFonts w:ascii="Arial" w:hAnsi="Arial" w:hint="default"/>
        <w:b/>
        <w:i w:val="0"/>
        <w:color w:val="FFFFFF" w:themeColor="background2"/>
        <w:sz w:val="26"/>
        <w:u w:val="none"/>
      </w:rPr>
    </w:lvl>
    <w:lvl w:ilvl="1" w:tplc="35FA2E46">
      <w:start w:val="1"/>
      <w:numFmt w:val="bullet"/>
      <w:lvlText w:val="›"/>
      <w:lvlJc w:val="left"/>
      <w:pPr>
        <w:ind w:left="1440" w:hanging="72"/>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6B54E1"/>
    <w:multiLevelType w:val="hybridMultilevel"/>
    <w:tmpl w:val="10F85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42782"/>
    <w:multiLevelType w:val="hybridMultilevel"/>
    <w:tmpl w:val="9AFE86F0"/>
    <w:lvl w:ilvl="0" w:tplc="29EA5F10">
      <w:start w:val="1"/>
      <w:numFmt w:val="bullet"/>
      <w:lvlText w:val="»"/>
      <w:lvlJc w:val="left"/>
      <w:pPr>
        <w:ind w:left="720" w:hanging="360"/>
      </w:pPr>
      <w:rPr>
        <w:rFonts w:ascii="Arial" w:hAnsi="Arial" w:hint="default"/>
        <w:b/>
        <w:i w:val="0"/>
        <w:color w:val="FFFFFF" w:themeColor="background2"/>
        <w:sz w:val="26"/>
        <w:u w:val="none"/>
      </w:rPr>
    </w:lvl>
    <w:lvl w:ilvl="1" w:tplc="EA1613A2">
      <w:start w:val="1"/>
      <w:numFmt w:val="bullet"/>
      <w:lvlText w:val="›"/>
      <w:lvlJc w:val="left"/>
      <w:pPr>
        <w:ind w:left="1440" w:hanging="1080"/>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5D2DEB"/>
    <w:multiLevelType w:val="hybridMultilevel"/>
    <w:tmpl w:val="BC00E756"/>
    <w:lvl w:ilvl="0" w:tplc="6602EE4C">
      <w:start w:val="1"/>
      <w:numFmt w:val="bullet"/>
      <w:lvlText w:val="+"/>
      <w:lvlJc w:val="left"/>
      <w:pPr>
        <w:tabs>
          <w:tab w:val="num" w:pos="720"/>
        </w:tabs>
        <w:ind w:left="720" w:hanging="360"/>
      </w:pPr>
      <w:rPr>
        <w:rFonts w:ascii="System Font Regular" w:hAnsi="System Font Regular" w:hint="default"/>
      </w:rPr>
    </w:lvl>
    <w:lvl w:ilvl="1" w:tplc="937C72A0" w:tentative="1">
      <w:start w:val="1"/>
      <w:numFmt w:val="bullet"/>
      <w:lvlText w:val="+"/>
      <w:lvlJc w:val="left"/>
      <w:pPr>
        <w:tabs>
          <w:tab w:val="num" w:pos="1440"/>
        </w:tabs>
        <w:ind w:left="1440" w:hanging="360"/>
      </w:pPr>
      <w:rPr>
        <w:rFonts w:ascii="System Font Regular" w:hAnsi="System Font Regular" w:hint="default"/>
      </w:rPr>
    </w:lvl>
    <w:lvl w:ilvl="2" w:tplc="078ABD0E" w:tentative="1">
      <w:start w:val="1"/>
      <w:numFmt w:val="bullet"/>
      <w:lvlText w:val="+"/>
      <w:lvlJc w:val="left"/>
      <w:pPr>
        <w:tabs>
          <w:tab w:val="num" w:pos="2160"/>
        </w:tabs>
        <w:ind w:left="2160" w:hanging="360"/>
      </w:pPr>
      <w:rPr>
        <w:rFonts w:ascii="System Font Regular" w:hAnsi="System Font Regular" w:hint="default"/>
      </w:rPr>
    </w:lvl>
    <w:lvl w:ilvl="3" w:tplc="3A38E510" w:tentative="1">
      <w:start w:val="1"/>
      <w:numFmt w:val="bullet"/>
      <w:lvlText w:val="+"/>
      <w:lvlJc w:val="left"/>
      <w:pPr>
        <w:tabs>
          <w:tab w:val="num" w:pos="2880"/>
        </w:tabs>
        <w:ind w:left="2880" w:hanging="360"/>
      </w:pPr>
      <w:rPr>
        <w:rFonts w:ascii="System Font Regular" w:hAnsi="System Font Regular" w:hint="default"/>
      </w:rPr>
    </w:lvl>
    <w:lvl w:ilvl="4" w:tplc="21701C44" w:tentative="1">
      <w:start w:val="1"/>
      <w:numFmt w:val="bullet"/>
      <w:lvlText w:val="+"/>
      <w:lvlJc w:val="left"/>
      <w:pPr>
        <w:tabs>
          <w:tab w:val="num" w:pos="3600"/>
        </w:tabs>
        <w:ind w:left="3600" w:hanging="360"/>
      </w:pPr>
      <w:rPr>
        <w:rFonts w:ascii="System Font Regular" w:hAnsi="System Font Regular" w:hint="default"/>
      </w:rPr>
    </w:lvl>
    <w:lvl w:ilvl="5" w:tplc="DCCAD97A" w:tentative="1">
      <w:start w:val="1"/>
      <w:numFmt w:val="bullet"/>
      <w:lvlText w:val="+"/>
      <w:lvlJc w:val="left"/>
      <w:pPr>
        <w:tabs>
          <w:tab w:val="num" w:pos="4320"/>
        </w:tabs>
        <w:ind w:left="4320" w:hanging="360"/>
      </w:pPr>
      <w:rPr>
        <w:rFonts w:ascii="System Font Regular" w:hAnsi="System Font Regular" w:hint="default"/>
      </w:rPr>
    </w:lvl>
    <w:lvl w:ilvl="6" w:tplc="9FF87AEA" w:tentative="1">
      <w:start w:val="1"/>
      <w:numFmt w:val="bullet"/>
      <w:lvlText w:val="+"/>
      <w:lvlJc w:val="left"/>
      <w:pPr>
        <w:tabs>
          <w:tab w:val="num" w:pos="5040"/>
        </w:tabs>
        <w:ind w:left="5040" w:hanging="360"/>
      </w:pPr>
      <w:rPr>
        <w:rFonts w:ascii="System Font Regular" w:hAnsi="System Font Regular" w:hint="default"/>
      </w:rPr>
    </w:lvl>
    <w:lvl w:ilvl="7" w:tplc="EC8C60D4" w:tentative="1">
      <w:start w:val="1"/>
      <w:numFmt w:val="bullet"/>
      <w:lvlText w:val="+"/>
      <w:lvlJc w:val="left"/>
      <w:pPr>
        <w:tabs>
          <w:tab w:val="num" w:pos="5760"/>
        </w:tabs>
        <w:ind w:left="5760" w:hanging="360"/>
      </w:pPr>
      <w:rPr>
        <w:rFonts w:ascii="System Font Regular" w:hAnsi="System Font Regular" w:hint="default"/>
      </w:rPr>
    </w:lvl>
    <w:lvl w:ilvl="8" w:tplc="3B1C34A6" w:tentative="1">
      <w:start w:val="1"/>
      <w:numFmt w:val="bullet"/>
      <w:lvlText w:val="+"/>
      <w:lvlJc w:val="left"/>
      <w:pPr>
        <w:tabs>
          <w:tab w:val="num" w:pos="6480"/>
        </w:tabs>
        <w:ind w:left="6480" w:hanging="360"/>
      </w:pPr>
      <w:rPr>
        <w:rFonts w:ascii="System Font Regular" w:hAnsi="System Font Regular" w:hint="default"/>
      </w:rPr>
    </w:lvl>
  </w:abstractNum>
  <w:abstractNum w:abstractNumId="19" w15:restartNumberingAfterBreak="0">
    <w:nsid w:val="61194770"/>
    <w:multiLevelType w:val="multilevel"/>
    <w:tmpl w:val="916A2184"/>
    <w:lvl w:ilvl="0">
      <w:start w:val="1"/>
      <w:numFmt w:val="decimal"/>
      <w:pStyle w:val="TCNumberedList1"/>
      <w:lvlText w:val="%1."/>
      <w:lvlJc w:val="left"/>
      <w:pPr>
        <w:ind w:left="360" w:hanging="360"/>
      </w:pPr>
    </w:lvl>
    <w:lvl w:ilvl="1">
      <w:start w:val="1"/>
      <w:numFmt w:val="decimal"/>
      <w:pStyle w:val="TCNumberedList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8625670"/>
    <w:multiLevelType w:val="hybridMultilevel"/>
    <w:tmpl w:val="7FBE06B4"/>
    <w:lvl w:ilvl="0" w:tplc="29EA5F10">
      <w:start w:val="1"/>
      <w:numFmt w:val="bullet"/>
      <w:lvlText w:val="»"/>
      <w:lvlJc w:val="left"/>
      <w:pPr>
        <w:ind w:left="720" w:hanging="360"/>
      </w:pPr>
      <w:rPr>
        <w:rFonts w:ascii="Arial" w:hAnsi="Arial" w:hint="default"/>
        <w:b/>
        <w:i w:val="0"/>
        <w:color w:val="FFFFFF" w:themeColor="background2"/>
        <w:sz w:val="26"/>
        <w:u w:val="none"/>
      </w:rPr>
    </w:lvl>
    <w:lvl w:ilvl="1" w:tplc="2C6C9AD8">
      <w:start w:val="1"/>
      <w:numFmt w:val="bullet"/>
      <w:lvlText w:val="›"/>
      <w:lvlJc w:val="left"/>
      <w:pPr>
        <w:ind w:left="1224" w:hanging="144"/>
      </w:pPr>
      <w:rPr>
        <w:rFonts w:ascii="Gibson" w:hAnsi="Gibson" w:hint="default"/>
        <w:color w:val="021A32" w:themeColor="text2"/>
        <w:sz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A2790"/>
    <w:multiLevelType w:val="hybridMultilevel"/>
    <w:tmpl w:val="FD00B046"/>
    <w:lvl w:ilvl="0" w:tplc="FCDAF628">
      <w:start w:val="1"/>
      <w:numFmt w:val="bullet"/>
      <w:lvlText w:val="+"/>
      <w:lvlJc w:val="left"/>
      <w:pPr>
        <w:tabs>
          <w:tab w:val="num" w:pos="720"/>
        </w:tabs>
        <w:ind w:left="720" w:hanging="360"/>
      </w:pPr>
      <w:rPr>
        <w:rFonts w:ascii="System Font Regular" w:hAnsi="System Font Regular" w:hint="default"/>
      </w:rPr>
    </w:lvl>
    <w:lvl w:ilvl="1" w:tplc="175215C6" w:tentative="1">
      <w:start w:val="1"/>
      <w:numFmt w:val="bullet"/>
      <w:lvlText w:val="+"/>
      <w:lvlJc w:val="left"/>
      <w:pPr>
        <w:tabs>
          <w:tab w:val="num" w:pos="1440"/>
        </w:tabs>
        <w:ind w:left="1440" w:hanging="360"/>
      </w:pPr>
      <w:rPr>
        <w:rFonts w:ascii="System Font Regular" w:hAnsi="System Font Regular" w:hint="default"/>
      </w:rPr>
    </w:lvl>
    <w:lvl w:ilvl="2" w:tplc="CE844DE2" w:tentative="1">
      <w:start w:val="1"/>
      <w:numFmt w:val="bullet"/>
      <w:lvlText w:val="+"/>
      <w:lvlJc w:val="left"/>
      <w:pPr>
        <w:tabs>
          <w:tab w:val="num" w:pos="2160"/>
        </w:tabs>
        <w:ind w:left="2160" w:hanging="360"/>
      </w:pPr>
      <w:rPr>
        <w:rFonts w:ascii="System Font Regular" w:hAnsi="System Font Regular" w:hint="default"/>
      </w:rPr>
    </w:lvl>
    <w:lvl w:ilvl="3" w:tplc="2E3AE5F8" w:tentative="1">
      <w:start w:val="1"/>
      <w:numFmt w:val="bullet"/>
      <w:lvlText w:val="+"/>
      <w:lvlJc w:val="left"/>
      <w:pPr>
        <w:tabs>
          <w:tab w:val="num" w:pos="2880"/>
        </w:tabs>
        <w:ind w:left="2880" w:hanging="360"/>
      </w:pPr>
      <w:rPr>
        <w:rFonts w:ascii="System Font Regular" w:hAnsi="System Font Regular" w:hint="default"/>
      </w:rPr>
    </w:lvl>
    <w:lvl w:ilvl="4" w:tplc="E320C140" w:tentative="1">
      <w:start w:val="1"/>
      <w:numFmt w:val="bullet"/>
      <w:lvlText w:val="+"/>
      <w:lvlJc w:val="left"/>
      <w:pPr>
        <w:tabs>
          <w:tab w:val="num" w:pos="3600"/>
        </w:tabs>
        <w:ind w:left="3600" w:hanging="360"/>
      </w:pPr>
      <w:rPr>
        <w:rFonts w:ascii="System Font Regular" w:hAnsi="System Font Regular" w:hint="default"/>
      </w:rPr>
    </w:lvl>
    <w:lvl w:ilvl="5" w:tplc="3E48C470" w:tentative="1">
      <w:start w:val="1"/>
      <w:numFmt w:val="bullet"/>
      <w:lvlText w:val="+"/>
      <w:lvlJc w:val="left"/>
      <w:pPr>
        <w:tabs>
          <w:tab w:val="num" w:pos="4320"/>
        </w:tabs>
        <w:ind w:left="4320" w:hanging="360"/>
      </w:pPr>
      <w:rPr>
        <w:rFonts w:ascii="System Font Regular" w:hAnsi="System Font Regular" w:hint="default"/>
      </w:rPr>
    </w:lvl>
    <w:lvl w:ilvl="6" w:tplc="73B8BC78" w:tentative="1">
      <w:start w:val="1"/>
      <w:numFmt w:val="bullet"/>
      <w:lvlText w:val="+"/>
      <w:lvlJc w:val="left"/>
      <w:pPr>
        <w:tabs>
          <w:tab w:val="num" w:pos="5040"/>
        </w:tabs>
        <w:ind w:left="5040" w:hanging="360"/>
      </w:pPr>
      <w:rPr>
        <w:rFonts w:ascii="System Font Regular" w:hAnsi="System Font Regular" w:hint="default"/>
      </w:rPr>
    </w:lvl>
    <w:lvl w:ilvl="7" w:tplc="F984F9B0" w:tentative="1">
      <w:start w:val="1"/>
      <w:numFmt w:val="bullet"/>
      <w:lvlText w:val="+"/>
      <w:lvlJc w:val="left"/>
      <w:pPr>
        <w:tabs>
          <w:tab w:val="num" w:pos="5760"/>
        </w:tabs>
        <w:ind w:left="5760" w:hanging="360"/>
      </w:pPr>
      <w:rPr>
        <w:rFonts w:ascii="System Font Regular" w:hAnsi="System Font Regular" w:hint="default"/>
      </w:rPr>
    </w:lvl>
    <w:lvl w:ilvl="8" w:tplc="93EE7430" w:tentative="1">
      <w:start w:val="1"/>
      <w:numFmt w:val="bullet"/>
      <w:lvlText w:val="+"/>
      <w:lvlJc w:val="left"/>
      <w:pPr>
        <w:tabs>
          <w:tab w:val="num" w:pos="6480"/>
        </w:tabs>
        <w:ind w:left="6480" w:hanging="360"/>
      </w:pPr>
      <w:rPr>
        <w:rFonts w:ascii="System Font Regular" w:hAnsi="System Font Regular" w:hint="default"/>
      </w:rPr>
    </w:lvl>
  </w:abstractNum>
  <w:abstractNum w:abstractNumId="22" w15:restartNumberingAfterBreak="0">
    <w:nsid w:val="6BC364DB"/>
    <w:multiLevelType w:val="hybridMultilevel"/>
    <w:tmpl w:val="D1380CBA"/>
    <w:lvl w:ilvl="0" w:tplc="9FA05AB6">
      <w:start w:val="1"/>
      <w:numFmt w:val="bullet"/>
      <w:lvlText w:val=""/>
      <w:lvlJc w:val="left"/>
      <w:pPr>
        <w:ind w:left="21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F3698F"/>
    <w:multiLevelType w:val="hybridMultilevel"/>
    <w:tmpl w:val="B860AB3A"/>
    <w:lvl w:ilvl="0" w:tplc="49FA53CA">
      <w:start w:val="1"/>
      <w:numFmt w:val="bullet"/>
      <w:lvlText w:val="+"/>
      <w:lvlJc w:val="left"/>
      <w:pPr>
        <w:tabs>
          <w:tab w:val="num" w:pos="720"/>
        </w:tabs>
        <w:ind w:left="720" w:hanging="360"/>
      </w:pPr>
      <w:rPr>
        <w:rFonts w:ascii="System Font Regular" w:hAnsi="System Font Regular" w:hint="default"/>
      </w:rPr>
    </w:lvl>
    <w:lvl w:ilvl="1" w:tplc="C40EC004" w:tentative="1">
      <w:start w:val="1"/>
      <w:numFmt w:val="bullet"/>
      <w:lvlText w:val="+"/>
      <w:lvlJc w:val="left"/>
      <w:pPr>
        <w:tabs>
          <w:tab w:val="num" w:pos="1440"/>
        </w:tabs>
        <w:ind w:left="1440" w:hanging="360"/>
      </w:pPr>
      <w:rPr>
        <w:rFonts w:ascii="System Font Regular" w:hAnsi="System Font Regular" w:hint="default"/>
      </w:rPr>
    </w:lvl>
    <w:lvl w:ilvl="2" w:tplc="D40687B2" w:tentative="1">
      <w:start w:val="1"/>
      <w:numFmt w:val="bullet"/>
      <w:lvlText w:val="+"/>
      <w:lvlJc w:val="left"/>
      <w:pPr>
        <w:tabs>
          <w:tab w:val="num" w:pos="2160"/>
        </w:tabs>
        <w:ind w:left="2160" w:hanging="360"/>
      </w:pPr>
      <w:rPr>
        <w:rFonts w:ascii="System Font Regular" w:hAnsi="System Font Regular" w:hint="default"/>
      </w:rPr>
    </w:lvl>
    <w:lvl w:ilvl="3" w:tplc="20AAA3B0" w:tentative="1">
      <w:start w:val="1"/>
      <w:numFmt w:val="bullet"/>
      <w:lvlText w:val="+"/>
      <w:lvlJc w:val="left"/>
      <w:pPr>
        <w:tabs>
          <w:tab w:val="num" w:pos="2880"/>
        </w:tabs>
        <w:ind w:left="2880" w:hanging="360"/>
      </w:pPr>
      <w:rPr>
        <w:rFonts w:ascii="System Font Regular" w:hAnsi="System Font Regular" w:hint="default"/>
      </w:rPr>
    </w:lvl>
    <w:lvl w:ilvl="4" w:tplc="4920E7E6" w:tentative="1">
      <w:start w:val="1"/>
      <w:numFmt w:val="bullet"/>
      <w:lvlText w:val="+"/>
      <w:lvlJc w:val="left"/>
      <w:pPr>
        <w:tabs>
          <w:tab w:val="num" w:pos="3600"/>
        </w:tabs>
        <w:ind w:left="3600" w:hanging="360"/>
      </w:pPr>
      <w:rPr>
        <w:rFonts w:ascii="System Font Regular" w:hAnsi="System Font Regular" w:hint="default"/>
      </w:rPr>
    </w:lvl>
    <w:lvl w:ilvl="5" w:tplc="E104E718" w:tentative="1">
      <w:start w:val="1"/>
      <w:numFmt w:val="bullet"/>
      <w:lvlText w:val="+"/>
      <w:lvlJc w:val="left"/>
      <w:pPr>
        <w:tabs>
          <w:tab w:val="num" w:pos="4320"/>
        </w:tabs>
        <w:ind w:left="4320" w:hanging="360"/>
      </w:pPr>
      <w:rPr>
        <w:rFonts w:ascii="System Font Regular" w:hAnsi="System Font Regular" w:hint="default"/>
      </w:rPr>
    </w:lvl>
    <w:lvl w:ilvl="6" w:tplc="38FEE6AE" w:tentative="1">
      <w:start w:val="1"/>
      <w:numFmt w:val="bullet"/>
      <w:lvlText w:val="+"/>
      <w:lvlJc w:val="left"/>
      <w:pPr>
        <w:tabs>
          <w:tab w:val="num" w:pos="5040"/>
        </w:tabs>
        <w:ind w:left="5040" w:hanging="360"/>
      </w:pPr>
      <w:rPr>
        <w:rFonts w:ascii="System Font Regular" w:hAnsi="System Font Regular" w:hint="default"/>
      </w:rPr>
    </w:lvl>
    <w:lvl w:ilvl="7" w:tplc="49385634" w:tentative="1">
      <w:start w:val="1"/>
      <w:numFmt w:val="bullet"/>
      <w:lvlText w:val="+"/>
      <w:lvlJc w:val="left"/>
      <w:pPr>
        <w:tabs>
          <w:tab w:val="num" w:pos="5760"/>
        </w:tabs>
        <w:ind w:left="5760" w:hanging="360"/>
      </w:pPr>
      <w:rPr>
        <w:rFonts w:ascii="System Font Regular" w:hAnsi="System Font Regular" w:hint="default"/>
      </w:rPr>
    </w:lvl>
    <w:lvl w:ilvl="8" w:tplc="78167FEA" w:tentative="1">
      <w:start w:val="1"/>
      <w:numFmt w:val="bullet"/>
      <w:lvlText w:val="+"/>
      <w:lvlJc w:val="left"/>
      <w:pPr>
        <w:tabs>
          <w:tab w:val="num" w:pos="6480"/>
        </w:tabs>
        <w:ind w:left="6480" w:hanging="360"/>
      </w:pPr>
      <w:rPr>
        <w:rFonts w:ascii="System Font Regular" w:hAnsi="System Font Regular" w:hint="default"/>
      </w:rPr>
    </w:lvl>
  </w:abstractNum>
  <w:abstractNum w:abstractNumId="24" w15:restartNumberingAfterBreak="0">
    <w:nsid w:val="6DE12DE1"/>
    <w:multiLevelType w:val="hybridMultilevel"/>
    <w:tmpl w:val="74928F3A"/>
    <w:lvl w:ilvl="0" w:tplc="71789836">
      <w:start w:val="1"/>
      <w:numFmt w:val="bullet"/>
      <w:lvlText w:val="»"/>
      <w:lvlJc w:val="left"/>
      <w:pPr>
        <w:ind w:left="720" w:hanging="360"/>
      </w:pPr>
      <w:rPr>
        <w:rFonts w:ascii="Arial" w:hAnsi="Arial" w:hint="default"/>
        <w:b/>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FA4D0E"/>
    <w:multiLevelType w:val="hybridMultilevel"/>
    <w:tmpl w:val="12DE2100"/>
    <w:lvl w:ilvl="0" w:tplc="45C63F44">
      <w:start w:val="1"/>
      <w:numFmt w:val="decimal"/>
      <w:pStyle w:val="Numbered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B123D4"/>
    <w:multiLevelType w:val="hybridMultilevel"/>
    <w:tmpl w:val="1752EB74"/>
    <w:lvl w:ilvl="0" w:tplc="5D08724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43F43"/>
    <w:multiLevelType w:val="hybridMultilevel"/>
    <w:tmpl w:val="9484F678"/>
    <w:lvl w:ilvl="0" w:tplc="0409000F">
      <w:start w:val="1"/>
      <w:numFmt w:val="decimal"/>
      <w:lvlText w:val="%1."/>
      <w:lvlJc w:val="left"/>
      <w:pPr>
        <w:ind w:left="720" w:hanging="360"/>
      </w:pPr>
    </w:lvl>
    <w:lvl w:ilvl="1" w:tplc="DFD48C9E">
      <w:start w:val="1"/>
      <w:numFmt w:val="lowerLetter"/>
      <w:pStyle w:val="NumberedList2"/>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D9686F"/>
    <w:multiLevelType w:val="hybridMultilevel"/>
    <w:tmpl w:val="54968096"/>
    <w:lvl w:ilvl="0" w:tplc="A2B8F8C2">
      <w:start w:val="1"/>
      <w:numFmt w:val="bullet"/>
      <w:pStyle w:val="ListParagraph"/>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631A2D"/>
    <w:multiLevelType w:val="hybridMultilevel"/>
    <w:tmpl w:val="B82AB15A"/>
    <w:lvl w:ilvl="0" w:tplc="29EA5F10">
      <w:start w:val="1"/>
      <w:numFmt w:val="bullet"/>
      <w:lvlText w:val="»"/>
      <w:lvlJc w:val="left"/>
      <w:pPr>
        <w:ind w:left="720" w:hanging="360"/>
      </w:pPr>
      <w:rPr>
        <w:rFonts w:ascii="Arial" w:hAnsi="Arial" w:hint="default"/>
        <w:b/>
        <w:i w:val="0"/>
        <w:color w:val="FFFFFF" w:themeColor="background2"/>
        <w:sz w:val="26"/>
        <w:u w:val="none"/>
      </w:rPr>
    </w:lvl>
    <w:lvl w:ilvl="1" w:tplc="8E920A1A">
      <w:start w:val="1"/>
      <w:numFmt w:val="bullet"/>
      <w:lvlText w:val="›"/>
      <w:lvlJc w:val="left"/>
      <w:pPr>
        <w:ind w:left="1368" w:hanging="288"/>
      </w:pPr>
      <w:rPr>
        <w:rFonts w:ascii="Gibson" w:hAnsi="Gibson" w:hint="default"/>
        <w:color w:val="021A32" w:themeColor="text2"/>
        <w:sz w:val="2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91390"/>
    <w:multiLevelType w:val="hybridMultilevel"/>
    <w:tmpl w:val="5E9ACAB8"/>
    <w:lvl w:ilvl="0" w:tplc="9020C968">
      <w:start w:val="1"/>
      <w:numFmt w:val="bullet"/>
      <w:lvlText w:val="+"/>
      <w:lvlJc w:val="left"/>
      <w:pPr>
        <w:tabs>
          <w:tab w:val="num" w:pos="720"/>
        </w:tabs>
        <w:ind w:left="720" w:hanging="360"/>
      </w:pPr>
      <w:rPr>
        <w:rFonts w:ascii="System Font Regular" w:hAnsi="System Font Regular" w:hint="default"/>
      </w:rPr>
    </w:lvl>
    <w:lvl w:ilvl="1" w:tplc="0EA8A550" w:tentative="1">
      <w:start w:val="1"/>
      <w:numFmt w:val="bullet"/>
      <w:lvlText w:val="+"/>
      <w:lvlJc w:val="left"/>
      <w:pPr>
        <w:tabs>
          <w:tab w:val="num" w:pos="1440"/>
        </w:tabs>
        <w:ind w:left="1440" w:hanging="360"/>
      </w:pPr>
      <w:rPr>
        <w:rFonts w:ascii="System Font Regular" w:hAnsi="System Font Regular" w:hint="default"/>
      </w:rPr>
    </w:lvl>
    <w:lvl w:ilvl="2" w:tplc="7E3AE380" w:tentative="1">
      <w:start w:val="1"/>
      <w:numFmt w:val="bullet"/>
      <w:lvlText w:val="+"/>
      <w:lvlJc w:val="left"/>
      <w:pPr>
        <w:tabs>
          <w:tab w:val="num" w:pos="2160"/>
        </w:tabs>
        <w:ind w:left="2160" w:hanging="360"/>
      </w:pPr>
      <w:rPr>
        <w:rFonts w:ascii="System Font Regular" w:hAnsi="System Font Regular" w:hint="default"/>
      </w:rPr>
    </w:lvl>
    <w:lvl w:ilvl="3" w:tplc="6ACCA5E4" w:tentative="1">
      <w:start w:val="1"/>
      <w:numFmt w:val="bullet"/>
      <w:lvlText w:val="+"/>
      <w:lvlJc w:val="left"/>
      <w:pPr>
        <w:tabs>
          <w:tab w:val="num" w:pos="2880"/>
        </w:tabs>
        <w:ind w:left="2880" w:hanging="360"/>
      </w:pPr>
      <w:rPr>
        <w:rFonts w:ascii="System Font Regular" w:hAnsi="System Font Regular" w:hint="default"/>
      </w:rPr>
    </w:lvl>
    <w:lvl w:ilvl="4" w:tplc="B45224AC" w:tentative="1">
      <w:start w:val="1"/>
      <w:numFmt w:val="bullet"/>
      <w:lvlText w:val="+"/>
      <w:lvlJc w:val="left"/>
      <w:pPr>
        <w:tabs>
          <w:tab w:val="num" w:pos="3600"/>
        </w:tabs>
        <w:ind w:left="3600" w:hanging="360"/>
      </w:pPr>
      <w:rPr>
        <w:rFonts w:ascii="System Font Regular" w:hAnsi="System Font Regular" w:hint="default"/>
      </w:rPr>
    </w:lvl>
    <w:lvl w:ilvl="5" w:tplc="3E4656D4" w:tentative="1">
      <w:start w:val="1"/>
      <w:numFmt w:val="bullet"/>
      <w:lvlText w:val="+"/>
      <w:lvlJc w:val="left"/>
      <w:pPr>
        <w:tabs>
          <w:tab w:val="num" w:pos="4320"/>
        </w:tabs>
        <w:ind w:left="4320" w:hanging="360"/>
      </w:pPr>
      <w:rPr>
        <w:rFonts w:ascii="System Font Regular" w:hAnsi="System Font Regular" w:hint="default"/>
      </w:rPr>
    </w:lvl>
    <w:lvl w:ilvl="6" w:tplc="6F70BDD4" w:tentative="1">
      <w:start w:val="1"/>
      <w:numFmt w:val="bullet"/>
      <w:lvlText w:val="+"/>
      <w:lvlJc w:val="left"/>
      <w:pPr>
        <w:tabs>
          <w:tab w:val="num" w:pos="5040"/>
        </w:tabs>
        <w:ind w:left="5040" w:hanging="360"/>
      </w:pPr>
      <w:rPr>
        <w:rFonts w:ascii="System Font Regular" w:hAnsi="System Font Regular" w:hint="default"/>
      </w:rPr>
    </w:lvl>
    <w:lvl w:ilvl="7" w:tplc="144621C6" w:tentative="1">
      <w:start w:val="1"/>
      <w:numFmt w:val="bullet"/>
      <w:lvlText w:val="+"/>
      <w:lvlJc w:val="left"/>
      <w:pPr>
        <w:tabs>
          <w:tab w:val="num" w:pos="5760"/>
        </w:tabs>
        <w:ind w:left="5760" w:hanging="360"/>
      </w:pPr>
      <w:rPr>
        <w:rFonts w:ascii="System Font Regular" w:hAnsi="System Font Regular" w:hint="default"/>
      </w:rPr>
    </w:lvl>
    <w:lvl w:ilvl="8" w:tplc="EA709282" w:tentative="1">
      <w:start w:val="1"/>
      <w:numFmt w:val="bullet"/>
      <w:lvlText w:val="+"/>
      <w:lvlJc w:val="left"/>
      <w:pPr>
        <w:tabs>
          <w:tab w:val="num" w:pos="6480"/>
        </w:tabs>
        <w:ind w:left="6480" w:hanging="360"/>
      </w:pPr>
      <w:rPr>
        <w:rFonts w:ascii="System Font Regular" w:hAnsi="System Font Regular" w:hint="default"/>
      </w:rPr>
    </w:lvl>
  </w:abstractNum>
  <w:abstractNum w:abstractNumId="31" w15:restartNumberingAfterBreak="0">
    <w:nsid w:val="798C5136"/>
    <w:multiLevelType w:val="hybridMultilevel"/>
    <w:tmpl w:val="E64688F4"/>
    <w:lvl w:ilvl="0" w:tplc="555AC0B2">
      <w:start w:val="1"/>
      <w:numFmt w:val="bullet"/>
      <w:lvlText w:val="+"/>
      <w:lvlJc w:val="left"/>
      <w:pPr>
        <w:ind w:left="720" w:hanging="360"/>
      </w:pPr>
      <w:rPr>
        <w:rFonts w:ascii="Arial" w:hAnsi="Arial" w:hint="default"/>
        <w:b/>
        <w:i w:val="0"/>
        <w:color w:val="C1D82F"/>
        <w:sz w:val="26"/>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93700">
    <w:abstractNumId w:val="16"/>
  </w:num>
  <w:num w:numId="2" w16cid:durableId="934483620">
    <w:abstractNumId w:val="24"/>
  </w:num>
  <w:num w:numId="3" w16cid:durableId="1658265017">
    <w:abstractNumId w:val="4"/>
  </w:num>
  <w:num w:numId="4" w16cid:durableId="2127500679">
    <w:abstractNumId w:val="11"/>
  </w:num>
  <w:num w:numId="5" w16cid:durableId="1204320093">
    <w:abstractNumId w:val="12"/>
  </w:num>
  <w:num w:numId="6" w16cid:durableId="630521884">
    <w:abstractNumId w:val="22"/>
  </w:num>
  <w:num w:numId="7" w16cid:durableId="1077626637">
    <w:abstractNumId w:val="26"/>
  </w:num>
  <w:num w:numId="8" w16cid:durableId="2042708637">
    <w:abstractNumId w:val="3"/>
  </w:num>
  <w:num w:numId="9" w16cid:durableId="23747372">
    <w:abstractNumId w:val="7"/>
  </w:num>
  <w:num w:numId="10" w16cid:durableId="546186031">
    <w:abstractNumId w:val="17"/>
  </w:num>
  <w:num w:numId="11" w16cid:durableId="1528179331">
    <w:abstractNumId w:val="15"/>
  </w:num>
  <w:num w:numId="12" w16cid:durableId="1101727234">
    <w:abstractNumId w:val="20"/>
  </w:num>
  <w:num w:numId="13" w16cid:durableId="1619099120">
    <w:abstractNumId w:val="8"/>
  </w:num>
  <w:num w:numId="14" w16cid:durableId="1446995740">
    <w:abstractNumId w:val="6"/>
  </w:num>
  <w:num w:numId="15" w16cid:durableId="1337146500">
    <w:abstractNumId w:val="29"/>
  </w:num>
  <w:num w:numId="16" w16cid:durableId="1527016547">
    <w:abstractNumId w:val="9"/>
  </w:num>
  <w:num w:numId="17" w16cid:durableId="1521776063">
    <w:abstractNumId w:val="12"/>
  </w:num>
  <w:num w:numId="18" w16cid:durableId="576673923">
    <w:abstractNumId w:val="12"/>
  </w:num>
  <w:num w:numId="19" w16cid:durableId="430977881">
    <w:abstractNumId w:val="31"/>
  </w:num>
  <w:num w:numId="20" w16cid:durableId="350568413">
    <w:abstractNumId w:val="31"/>
    <w:lvlOverride w:ilvl="0">
      <w:startOverride w:val="1"/>
    </w:lvlOverride>
  </w:num>
  <w:num w:numId="21" w16cid:durableId="1631548500">
    <w:abstractNumId w:val="31"/>
    <w:lvlOverride w:ilvl="0">
      <w:startOverride w:val="1"/>
    </w:lvlOverride>
  </w:num>
  <w:num w:numId="22" w16cid:durableId="1381514493">
    <w:abstractNumId w:val="28"/>
  </w:num>
  <w:num w:numId="23" w16cid:durableId="706636301">
    <w:abstractNumId w:val="10"/>
  </w:num>
  <w:num w:numId="24" w16cid:durableId="2079404350">
    <w:abstractNumId w:val="18"/>
  </w:num>
  <w:num w:numId="25" w16cid:durableId="1706641287">
    <w:abstractNumId w:val="13"/>
  </w:num>
  <w:num w:numId="26" w16cid:durableId="323708269">
    <w:abstractNumId w:val="14"/>
  </w:num>
  <w:num w:numId="27" w16cid:durableId="1436747389">
    <w:abstractNumId w:val="23"/>
  </w:num>
  <w:num w:numId="28" w16cid:durableId="1728145652">
    <w:abstractNumId w:val="30"/>
  </w:num>
  <w:num w:numId="29" w16cid:durableId="1320695078">
    <w:abstractNumId w:val="21"/>
  </w:num>
  <w:num w:numId="30" w16cid:durableId="10424932">
    <w:abstractNumId w:val="2"/>
  </w:num>
  <w:num w:numId="31" w16cid:durableId="65491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2115723">
    <w:abstractNumId w:val="5"/>
  </w:num>
  <w:num w:numId="33" w16cid:durableId="1207909583">
    <w:abstractNumId w:val="25"/>
  </w:num>
  <w:num w:numId="34" w16cid:durableId="1767461759">
    <w:abstractNumId w:val="27"/>
  </w:num>
  <w:num w:numId="35" w16cid:durableId="1959068363">
    <w:abstractNumId w:val="25"/>
    <w:lvlOverride w:ilvl="0">
      <w:startOverride w:val="1"/>
    </w:lvlOverride>
  </w:num>
  <w:num w:numId="36" w16cid:durableId="476654950">
    <w:abstractNumId w:val="25"/>
    <w:lvlOverride w:ilvl="0">
      <w:startOverride w:val="1"/>
    </w:lvlOverride>
  </w:num>
  <w:num w:numId="37" w16cid:durableId="593785888">
    <w:abstractNumId w:val="25"/>
    <w:lvlOverride w:ilvl="0">
      <w:startOverride w:val="1"/>
    </w:lvlOverride>
  </w:num>
  <w:num w:numId="38" w16cid:durableId="802816804">
    <w:abstractNumId w:val="19"/>
  </w:num>
  <w:num w:numId="39" w16cid:durableId="40834549">
    <w:abstractNumId w:val="1"/>
  </w:num>
  <w:num w:numId="40" w16cid:durableId="764226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U0sDAwNzWxMLa0MDZT0lEKTi0uzszPAykwtKgFAFmAXIwtAAAA"/>
  </w:docVars>
  <w:rsids>
    <w:rsidRoot w:val="002E2921"/>
    <w:rsid w:val="0000104A"/>
    <w:rsid w:val="00001300"/>
    <w:rsid w:val="0000186C"/>
    <w:rsid w:val="00007B49"/>
    <w:rsid w:val="00011B1E"/>
    <w:rsid w:val="0001233C"/>
    <w:rsid w:val="00012837"/>
    <w:rsid w:val="00022935"/>
    <w:rsid w:val="00023006"/>
    <w:rsid w:val="00024920"/>
    <w:rsid w:val="00030F08"/>
    <w:rsid w:val="000321BB"/>
    <w:rsid w:val="00036B01"/>
    <w:rsid w:val="0004436F"/>
    <w:rsid w:val="000454CB"/>
    <w:rsid w:val="00047168"/>
    <w:rsid w:val="000502C2"/>
    <w:rsid w:val="000504D4"/>
    <w:rsid w:val="00052B46"/>
    <w:rsid w:val="00053B9E"/>
    <w:rsid w:val="00054F7A"/>
    <w:rsid w:val="00061D34"/>
    <w:rsid w:val="000738B8"/>
    <w:rsid w:val="00083CA9"/>
    <w:rsid w:val="00085F0B"/>
    <w:rsid w:val="00093073"/>
    <w:rsid w:val="00097098"/>
    <w:rsid w:val="000A6C89"/>
    <w:rsid w:val="000C45C4"/>
    <w:rsid w:val="000C4E6F"/>
    <w:rsid w:val="000C52D6"/>
    <w:rsid w:val="000C7441"/>
    <w:rsid w:val="000C7C43"/>
    <w:rsid w:val="000D056C"/>
    <w:rsid w:val="000D2D90"/>
    <w:rsid w:val="000D5EDF"/>
    <w:rsid w:val="000D604C"/>
    <w:rsid w:val="000E2999"/>
    <w:rsid w:val="000E6A05"/>
    <w:rsid w:val="000E7981"/>
    <w:rsid w:val="000E7BDB"/>
    <w:rsid w:val="000F70F3"/>
    <w:rsid w:val="00103013"/>
    <w:rsid w:val="00106195"/>
    <w:rsid w:val="00106846"/>
    <w:rsid w:val="00106F94"/>
    <w:rsid w:val="00111A17"/>
    <w:rsid w:val="00114F95"/>
    <w:rsid w:val="001217D0"/>
    <w:rsid w:val="0013320C"/>
    <w:rsid w:val="00134504"/>
    <w:rsid w:val="00134FF9"/>
    <w:rsid w:val="0014223A"/>
    <w:rsid w:val="001429FF"/>
    <w:rsid w:val="001454AE"/>
    <w:rsid w:val="0014707B"/>
    <w:rsid w:val="00147CA1"/>
    <w:rsid w:val="0015116E"/>
    <w:rsid w:val="00151517"/>
    <w:rsid w:val="00153BCD"/>
    <w:rsid w:val="001550A8"/>
    <w:rsid w:val="0015517B"/>
    <w:rsid w:val="0016066C"/>
    <w:rsid w:val="001640F3"/>
    <w:rsid w:val="00167E2F"/>
    <w:rsid w:val="00172A45"/>
    <w:rsid w:val="00172F65"/>
    <w:rsid w:val="0017592D"/>
    <w:rsid w:val="00182076"/>
    <w:rsid w:val="0018554D"/>
    <w:rsid w:val="00187011"/>
    <w:rsid w:val="00190422"/>
    <w:rsid w:val="00193DDE"/>
    <w:rsid w:val="00195AC9"/>
    <w:rsid w:val="001A014E"/>
    <w:rsid w:val="001A041D"/>
    <w:rsid w:val="001A1925"/>
    <w:rsid w:val="001A35CF"/>
    <w:rsid w:val="001A37EF"/>
    <w:rsid w:val="001B15A9"/>
    <w:rsid w:val="001B2B81"/>
    <w:rsid w:val="001B2DE0"/>
    <w:rsid w:val="001B77F7"/>
    <w:rsid w:val="001C119D"/>
    <w:rsid w:val="001C2619"/>
    <w:rsid w:val="001C28F9"/>
    <w:rsid w:val="001C34F0"/>
    <w:rsid w:val="001C4FD4"/>
    <w:rsid w:val="001C79BE"/>
    <w:rsid w:val="001D00AD"/>
    <w:rsid w:val="001D2AEF"/>
    <w:rsid w:val="001D6A50"/>
    <w:rsid w:val="001D7AC2"/>
    <w:rsid w:val="001E14F5"/>
    <w:rsid w:val="001E4852"/>
    <w:rsid w:val="001F387F"/>
    <w:rsid w:val="001F38BC"/>
    <w:rsid w:val="001F4325"/>
    <w:rsid w:val="001F4C5A"/>
    <w:rsid w:val="001F74BE"/>
    <w:rsid w:val="0020226B"/>
    <w:rsid w:val="002031F1"/>
    <w:rsid w:val="0020482D"/>
    <w:rsid w:val="0020503A"/>
    <w:rsid w:val="00205606"/>
    <w:rsid w:val="00206381"/>
    <w:rsid w:val="00206E85"/>
    <w:rsid w:val="00210806"/>
    <w:rsid w:val="00210DED"/>
    <w:rsid w:val="00211675"/>
    <w:rsid w:val="00213DBE"/>
    <w:rsid w:val="00214A52"/>
    <w:rsid w:val="00220B4C"/>
    <w:rsid w:val="00220DC2"/>
    <w:rsid w:val="00230530"/>
    <w:rsid w:val="002331EA"/>
    <w:rsid w:val="002347BB"/>
    <w:rsid w:val="0023571C"/>
    <w:rsid w:val="002414B3"/>
    <w:rsid w:val="00241A23"/>
    <w:rsid w:val="00244C20"/>
    <w:rsid w:val="0025293A"/>
    <w:rsid w:val="00253553"/>
    <w:rsid w:val="00253B65"/>
    <w:rsid w:val="00264B01"/>
    <w:rsid w:val="0027633E"/>
    <w:rsid w:val="00277AEA"/>
    <w:rsid w:val="00281AD1"/>
    <w:rsid w:val="002842F2"/>
    <w:rsid w:val="0028514E"/>
    <w:rsid w:val="00286B73"/>
    <w:rsid w:val="00293C77"/>
    <w:rsid w:val="002945E7"/>
    <w:rsid w:val="00294E5A"/>
    <w:rsid w:val="00296EAE"/>
    <w:rsid w:val="002A19CE"/>
    <w:rsid w:val="002A1E3B"/>
    <w:rsid w:val="002A2714"/>
    <w:rsid w:val="002A3338"/>
    <w:rsid w:val="002A3CC1"/>
    <w:rsid w:val="002A6223"/>
    <w:rsid w:val="002A6926"/>
    <w:rsid w:val="002A6F23"/>
    <w:rsid w:val="002A7663"/>
    <w:rsid w:val="002B18BD"/>
    <w:rsid w:val="002B1C7D"/>
    <w:rsid w:val="002B2BC8"/>
    <w:rsid w:val="002B45C3"/>
    <w:rsid w:val="002B47B9"/>
    <w:rsid w:val="002B4E3D"/>
    <w:rsid w:val="002C3800"/>
    <w:rsid w:val="002D059F"/>
    <w:rsid w:val="002D0969"/>
    <w:rsid w:val="002D188A"/>
    <w:rsid w:val="002D3B63"/>
    <w:rsid w:val="002D42B4"/>
    <w:rsid w:val="002D4AC8"/>
    <w:rsid w:val="002D518D"/>
    <w:rsid w:val="002E0CCC"/>
    <w:rsid w:val="002E1403"/>
    <w:rsid w:val="002E2921"/>
    <w:rsid w:val="002E2B9A"/>
    <w:rsid w:val="002E7889"/>
    <w:rsid w:val="002F0AC9"/>
    <w:rsid w:val="002F254D"/>
    <w:rsid w:val="002F4A24"/>
    <w:rsid w:val="002F5FC0"/>
    <w:rsid w:val="00302171"/>
    <w:rsid w:val="00302A68"/>
    <w:rsid w:val="00302ECA"/>
    <w:rsid w:val="0030545F"/>
    <w:rsid w:val="00305A38"/>
    <w:rsid w:val="00307AB6"/>
    <w:rsid w:val="00310537"/>
    <w:rsid w:val="00311AA6"/>
    <w:rsid w:val="003120FD"/>
    <w:rsid w:val="00317ED5"/>
    <w:rsid w:val="00325CD9"/>
    <w:rsid w:val="003271A5"/>
    <w:rsid w:val="003368D0"/>
    <w:rsid w:val="00337103"/>
    <w:rsid w:val="00340E22"/>
    <w:rsid w:val="003416DE"/>
    <w:rsid w:val="0034289F"/>
    <w:rsid w:val="00351936"/>
    <w:rsid w:val="00351E3A"/>
    <w:rsid w:val="0035219A"/>
    <w:rsid w:val="00355B21"/>
    <w:rsid w:val="00356148"/>
    <w:rsid w:val="0035755C"/>
    <w:rsid w:val="003662E2"/>
    <w:rsid w:val="003667C5"/>
    <w:rsid w:val="00366D05"/>
    <w:rsid w:val="0037158A"/>
    <w:rsid w:val="00375E77"/>
    <w:rsid w:val="00391C2A"/>
    <w:rsid w:val="00394A97"/>
    <w:rsid w:val="003B30B6"/>
    <w:rsid w:val="003B3567"/>
    <w:rsid w:val="003B6A9D"/>
    <w:rsid w:val="003C0800"/>
    <w:rsid w:val="003C1BDD"/>
    <w:rsid w:val="003C1C33"/>
    <w:rsid w:val="003C4722"/>
    <w:rsid w:val="003D095F"/>
    <w:rsid w:val="003D09D3"/>
    <w:rsid w:val="003D147C"/>
    <w:rsid w:val="003D1A59"/>
    <w:rsid w:val="003D2077"/>
    <w:rsid w:val="003E1395"/>
    <w:rsid w:val="003E37ED"/>
    <w:rsid w:val="003E3C71"/>
    <w:rsid w:val="003F5757"/>
    <w:rsid w:val="004029E9"/>
    <w:rsid w:val="00405619"/>
    <w:rsid w:val="00410332"/>
    <w:rsid w:val="0041344F"/>
    <w:rsid w:val="00422AC9"/>
    <w:rsid w:val="00426713"/>
    <w:rsid w:val="00427CDF"/>
    <w:rsid w:val="004330D0"/>
    <w:rsid w:val="00436691"/>
    <w:rsid w:val="00436B28"/>
    <w:rsid w:val="00442C94"/>
    <w:rsid w:val="0045089A"/>
    <w:rsid w:val="00457F62"/>
    <w:rsid w:val="004605C3"/>
    <w:rsid w:val="00461E99"/>
    <w:rsid w:val="00462A16"/>
    <w:rsid w:val="0046498D"/>
    <w:rsid w:val="00470127"/>
    <w:rsid w:val="00474F9E"/>
    <w:rsid w:val="004765CA"/>
    <w:rsid w:val="004766A5"/>
    <w:rsid w:val="00477372"/>
    <w:rsid w:val="00483907"/>
    <w:rsid w:val="00484254"/>
    <w:rsid w:val="0048760D"/>
    <w:rsid w:val="004971DC"/>
    <w:rsid w:val="004A172D"/>
    <w:rsid w:val="004A3148"/>
    <w:rsid w:val="004A731D"/>
    <w:rsid w:val="004B09B6"/>
    <w:rsid w:val="004B5A3E"/>
    <w:rsid w:val="004C13DD"/>
    <w:rsid w:val="004C156B"/>
    <w:rsid w:val="004C4ED8"/>
    <w:rsid w:val="004C5A4C"/>
    <w:rsid w:val="004E3B81"/>
    <w:rsid w:val="004E7324"/>
    <w:rsid w:val="004F010B"/>
    <w:rsid w:val="004F33B5"/>
    <w:rsid w:val="004F72EF"/>
    <w:rsid w:val="00500646"/>
    <w:rsid w:val="005024F3"/>
    <w:rsid w:val="00505F3F"/>
    <w:rsid w:val="00506790"/>
    <w:rsid w:val="00513E5F"/>
    <w:rsid w:val="005157A7"/>
    <w:rsid w:val="0051587E"/>
    <w:rsid w:val="00515BE8"/>
    <w:rsid w:val="005168B2"/>
    <w:rsid w:val="00531316"/>
    <w:rsid w:val="0053148C"/>
    <w:rsid w:val="00534C6D"/>
    <w:rsid w:val="00535BC8"/>
    <w:rsid w:val="00535EAB"/>
    <w:rsid w:val="00537734"/>
    <w:rsid w:val="00537A86"/>
    <w:rsid w:val="00537CAB"/>
    <w:rsid w:val="005413C2"/>
    <w:rsid w:val="005460E5"/>
    <w:rsid w:val="0054755D"/>
    <w:rsid w:val="005511E2"/>
    <w:rsid w:val="005522DA"/>
    <w:rsid w:val="005528F8"/>
    <w:rsid w:val="00552E2F"/>
    <w:rsid w:val="0055336E"/>
    <w:rsid w:val="0056437D"/>
    <w:rsid w:val="00565ACF"/>
    <w:rsid w:val="0057084D"/>
    <w:rsid w:val="00570CB6"/>
    <w:rsid w:val="0057133B"/>
    <w:rsid w:val="00573AD8"/>
    <w:rsid w:val="00577C1A"/>
    <w:rsid w:val="005806B0"/>
    <w:rsid w:val="00582D53"/>
    <w:rsid w:val="00584EFF"/>
    <w:rsid w:val="00585D90"/>
    <w:rsid w:val="00586EEF"/>
    <w:rsid w:val="00596377"/>
    <w:rsid w:val="005A489C"/>
    <w:rsid w:val="005A6B12"/>
    <w:rsid w:val="005B0946"/>
    <w:rsid w:val="005B264C"/>
    <w:rsid w:val="005B33D7"/>
    <w:rsid w:val="005C06F3"/>
    <w:rsid w:val="005C4B79"/>
    <w:rsid w:val="005C7F26"/>
    <w:rsid w:val="005D1827"/>
    <w:rsid w:val="005D4EE5"/>
    <w:rsid w:val="005D6049"/>
    <w:rsid w:val="005E25FB"/>
    <w:rsid w:val="005E4AD7"/>
    <w:rsid w:val="005F2E8D"/>
    <w:rsid w:val="005F312D"/>
    <w:rsid w:val="005F6DD3"/>
    <w:rsid w:val="006030CB"/>
    <w:rsid w:val="00603D71"/>
    <w:rsid w:val="00612444"/>
    <w:rsid w:val="00616651"/>
    <w:rsid w:val="00620097"/>
    <w:rsid w:val="00623303"/>
    <w:rsid w:val="00624AC1"/>
    <w:rsid w:val="006316B4"/>
    <w:rsid w:val="006336DD"/>
    <w:rsid w:val="00637FD7"/>
    <w:rsid w:val="00651678"/>
    <w:rsid w:val="00652CE4"/>
    <w:rsid w:val="00653176"/>
    <w:rsid w:val="0066062E"/>
    <w:rsid w:val="006621CE"/>
    <w:rsid w:val="006628A9"/>
    <w:rsid w:val="00665D21"/>
    <w:rsid w:val="0066661D"/>
    <w:rsid w:val="00670236"/>
    <w:rsid w:val="00673CD0"/>
    <w:rsid w:val="00676510"/>
    <w:rsid w:val="00677D2A"/>
    <w:rsid w:val="00680A64"/>
    <w:rsid w:val="0068138C"/>
    <w:rsid w:val="00682A2D"/>
    <w:rsid w:val="006877C3"/>
    <w:rsid w:val="006910B7"/>
    <w:rsid w:val="006918E4"/>
    <w:rsid w:val="00692704"/>
    <w:rsid w:val="0069327A"/>
    <w:rsid w:val="00694083"/>
    <w:rsid w:val="006A1FC6"/>
    <w:rsid w:val="006A4CC9"/>
    <w:rsid w:val="006A5A1A"/>
    <w:rsid w:val="006A5D13"/>
    <w:rsid w:val="006B1178"/>
    <w:rsid w:val="006C0097"/>
    <w:rsid w:val="006C0DB3"/>
    <w:rsid w:val="006C3360"/>
    <w:rsid w:val="006C7FE2"/>
    <w:rsid w:val="006D15D5"/>
    <w:rsid w:val="006D367B"/>
    <w:rsid w:val="006E274B"/>
    <w:rsid w:val="006E42DE"/>
    <w:rsid w:val="006E7E7C"/>
    <w:rsid w:val="006F213F"/>
    <w:rsid w:val="006F295B"/>
    <w:rsid w:val="006F3554"/>
    <w:rsid w:val="006F47B2"/>
    <w:rsid w:val="006F60D2"/>
    <w:rsid w:val="006F61D1"/>
    <w:rsid w:val="006F6C8C"/>
    <w:rsid w:val="006F7F25"/>
    <w:rsid w:val="007024D8"/>
    <w:rsid w:val="00704A13"/>
    <w:rsid w:val="00710E71"/>
    <w:rsid w:val="00711B50"/>
    <w:rsid w:val="00717272"/>
    <w:rsid w:val="00722454"/>
    <w:rsid w:val="00723361"/>
    <w:rsid w:val="0073261C"/>
    <w:rsid w:val="0073388B"/>
    <w:rsid w:val="0073467E"/>
    <w:rsid w:val="00744A88"/>
    <w:rsid w:val="00745F84"/>
    <w:rsid w:val="00746F4E"/>
    <w:rsid w:val="0075121F"/>
    <w:rsid w:val="00752024"/>
    <w:rsid w:val="007556B5"/>
    <w:rsid w:val="0076175B"/>
    <w:rsid w:val="00763625"/>
    <w:rsid w:val="0076407F"/>
    <w:rsid w:val="00765069"/>
    <w:rsid w:val="00766A4E"/>
    <w:rsid w:val="00772221"/>
    <w:rsid w:val="00773775"/>
    <w:rsid w:val="00775C68"/>
    <w:rsid w:val="007833B6"/>
    <w:rsid w:val="00791310"/>
    <w:rsid w:val="00792D8F"/>
    <w:rsid w:val="00794998"/>
    <w:rsid w:val="00795EB9"/>
    <w:rsid w:val="007A014A"/>
    <w:rsid w:val="007A1D5D"/>
    <w:rsid w:val="007A3E69"/>
    <w:rsid w:val="007B0421"/>
    <w:rsid w:val="007B09EB"/>
    <w:rsid w:val="007B53C7"/>
    <w:rsid w:val="007C6735"/>
    <w:rsid w:val="007C6793"/>
    <w:rsid w:val="007D758E"/>
    <w:rsid w:val="007F1633"/>
    <w:rsid w:val="007F1F20"/>
    <w:rsid w:val="007F3CB6"/>
    <w:rsid w:val="007F40D9"/>
    <w:rsid w:val="007F7F2E"/>
    <w:rsid w:val="0080763D"/>
    <w:rsid w:val="00812B7D"/>
    <w:rsid w:val="00821A52"/>
    <w:rsid w:val="00833C5B"/>
    <w:rsid w:val="008362DA"/>
    <w:rsid w:val="0083780D"/>
    <w:rsid w:val="008452CD"/>
    <w:rsid w:val="00846538"/>
    <w:rsid w:val="00854D96"/>
    <w:rsid w:val="00857997"/>
    <w:rsid w:val="00860A30"/>
    <w:rsid w:val="00861A04"/>
    <w:rsid w:val="0086702A"/>
    <w:rsid w:val="00872339"/>
    <w:rsid w:val="008870C5"/>
    <w:rsid w:val="00892736"/>
    <w:rsid w:val="00892B18"/>
    <w:rsid w:val="008B37B5"/>
    <w:rsid w:val="008B74AA"/>
    <w:rsid w:val="008C249C"/>
    <w:rsid w:val="008C7F9D"/>
    <w:rsid w:val="008D183D"/>
    <w:rsid w:val="008E44AA"/>
    <w:rsid w:val="008E5EA9"/>
    <w:rsid w:val="008F13B8"/>
    <w:rsid w:val="008F489D"/>
    <w:rsid w:val="008F5E24"/>
    <w:rsid w:val="0090060F"/>
    <w:rsid w:val="00900E23"/>
    <w:rsid w:val="00901DF0"/>
    <w:rsid w:val="0090344B"/>
    <w:rsid w:val="00917E45"/>
    <w:rsid w:val="00924168"/>
    <w:rsid w:val="00925FBD"/>
    <w:rsid w:val="00932199"/>
    <w:rsid w:val="00933C1F"/>
    <w:rsid w:val="00936754"/>
    <w:rsid w:val="00947584"/>
    <w:rsid w:val="00947DA7"/>
    <w:rsid w:val="00950262"/>
    <w:rsid w:val="00954F21"/>
    <w:rsid w:val="00955835"/>
    <w:rsid w:val="009618A1"/>
    <w:rsid w:val="00962538"/>
    <w:rsid w:val="00963CB5"/>
    <w:rsid w:val="00964569"/>
    <w:rsid w:val="00966520"/>
    <w:rsid w:val="00966991"/>
    <w:rsid w:val="00983DA7"/>
    <w:rsid w:val="0099115F"/>
    <w:rsid w:val="009919E8"/>
    <w:rsid w:val="00994564"/>
    <w:rsid w:val="0099547E"/>
    <w:rsid w:val="009A5AFE"/>
    <w:rsid w:val="009A6791"/>
    <w:rsid w:val="009B3AE0"/>
    <w:rsid w:val="009C13DD"/>
    <w:rsid w:val="009C261B"/>
    <w:rsid w:val="009C768F"/>
    <w:rsid w:val="009E28B6"/>
    <w:rsid w:val="009E4F9D"/>
    <w:rsid w:val="009F07CB"/>
    <w:rsid w:val="009F0C2A"/>
    <w:rsid w:val="009F0D9E"/>
    <w:rsid w:val="009F6756"/>
    <w:rsid w:val="00A02543"/>
    <w:rsid w:val="00A03036"/>
    <w:rsid w:val="00A0365A"/>
    <w:rsid w:val="00A10510"/>
    <w:rsid w:val="00A1399E"/>
    <w:rsid w:val="00A13C07"/>
    <w:rsid w:val="00A17750"/>
    <w:rsid w:val="00A2082A"/>
    <w:rsid w:val="00A31971"/>
    <w:rsid w:val="00A3451C"/>
    <w:rsid w:val="00A35547"/>
    <w:rsid w:val="00A455B3"/>
    <w:rsid w:val="00A4636F"/>
    <w:rsid w:val="00A463E3"/>
    <w:rsid w:val="00A5111E"/>
    <w:rsid w:val="00A530DA"/>
    <w:rsid w:val="00A54934"/>
    <w:rsid w:val="00A56371"/>
    <w:rsid w:val="00A6126B"/>
    <w:rsid w:val="00A6166D"/>
    <w:rsid w:val="00A617D0"/>
    <w:rsid w:val="00A64107"/>
    <w:rsid w:val="00A701D8"/>
    <w:rsid w:val="00A73182"/>
    <w:rsid w:val="00A74CA6"/>
    <w:rsid w:val="00A817F0"/>
    <w:rsid w:val="00A84780"/>
    <w:rsid w:val="00A87157"/>
    <w:rsid w:val="00A8716D"/>
    <w:rsid w:val="00A9313C"/>
    <w:rsid w:val="00AA13CE"/>
    <w:rsid w:val="00AA4C9B"/>
    <w:rsid w:val="00AA5B4E"/>
    <w:rsid w:val="00AA7D3F"/>
    <w:rsid w:val="00AB0621"/>
    <w:rsid w:val="00AB0BF3"/>
    <w:rsid w:val="00AC7E70"/>
    <w:rsid w:val="00AD0A25"/>
    <w:rsid w:val="00AD4B1E"/>
    <w:rsid w:val="00AD6756"/>
    <w:rsid w:val="00AE4957"/>
    <w:rsid w:val="00B00E8D"/>
    <w:rsid w:val="00B03142"/>
    <w:rsid w:val="00B054FC"/>
    <w:rsid w:val="00B109BE"/>
    <w:rsid w:val="00B154D1"/>
    <w:rsid w:val="00B20085"/>
    <w:rsid w:val="00B24D9A"/>
    <w:rsid w:val="00B27670"/>
    <w:rsid w:val="00B34C31"/>
    <w:rsid w:val="00B35973"/>
    <w:rsid w:val="00B37835"/>
    <w:rsid w:val="00B42E4C"/>
    <w:rsid w:val="00B43B59"/>
    <w:rsid w:val="00B45D9D"/>
    <w:rsid w:val="00B47710"/>
    <w:rsid w:val="00B51615"/>
    <w:rsid w:val="00B52268"/>
    <w:rsid w:val="00B5549D"/>
    <w:rsid w:val="00B62B32"/>
    <w:rsid w:val="00B671CF"/>
    <w:rsid w:val="00B704E1"/>
    <w:rsid w:val="00B74B55"/>
    <w:rsid w:val="00B769AA"/>
    <w:rsid w:val="00B80169"/>
    <w:rsid w:val="00B808FE"/>
    <w:rsid w:val="00B819A5"/>
    <w:rsid w:val="00B83C9E"/>
    <w:rsid w:val="00B8537A"/>
    <w:rsid w:val="00B92951"/>
    <w:rsid w:val="00B93BAB"/>
    <w:rsid w:val="00BA12BD"/>
    <w:rsid w:val="00BA4855"/>
    <w:rsid w:val="00BA5B13"/>
    <w:rsid w:val="00BA77A6"/>
    <w:rsid w:val="00BB73C2"/>
    <w:rsid w:val="00BB73DA"/>
    <w:rsid w:val="00BB7F52"/>
    <w:rsid w:val="00BC0ADD"/>
    <w:rsid w:val="00BC6031"/>
    <w:rsid w:val="00BC65A9"/>
    <w:rsid w:val="00BC75A6"/>
    <w:rsid w:val="00BC7733"/>
    <w:rsid w:val="00BD3448"/>
    <w:rsid w:val="00BE36DE"/>
    <w:rsid w:val="00BF3E97"/>
    <w:rsid w:val="00BF5AC7"/>
    <w:rsid w:val="00BF7E06"/>
    <w:rsid w:val="00C0126C"/>
    <w:rsid w:val="00C06F3A"/>
    <w:rsid w:val="00C101FF"/>
    <w:rsid w:val="00C119D3"/>
    <w:rsid w:val="00C12CC8"/>
    <w:rsid w:val="00C14BF3"/>
    <w:rsid w:val="00C15E2B"/>
    <w:rsid w:val="00C200CF"/>
    <w:rsid w:val="00C22379"/>
    <w:rsid w:val="00C23890"/>
    <w:rsid w:val="00C24AC1"/>
    <w:rsid w:val="00C2512B"/>
    <w:rsid w:val="00C27E7B"/>
    <w:rsid w:val="00C30574"/>
    <w:rsid w:val="00C32378"/>
    <w:rsid w:val="00C359CE"/>
    <w:rsid w:val="00C36062"/>
    <w:rsid w:val="00C36EA9"/>
    <w:rsid w:val="00C37216"/>
    <w:rsid w:val="00C4484A"/>
    <w:rsid w:val="00C520B5"/>
    <w:rsid w:val="00C52234"/>
    <w:rsid w:val="00C545B5"/>
    <w:rsid w:val="00C563FF"/>
    <w:rsid w:val="00C60B4E"/>
    <w:rsid w:val="00C60E51"/>
    <w:rsid w:val="00C61AA3"/>
    <w:rsid w:val="00C6267C"/>
    <w:rsid w:val="00C65584"/>
    <w:rsid w:val="00C70BC1"/>
    <w:rsid w:val="00C70D70"/>
    <w:rsid w:val="00C73908"/>
    <w:rsid w:val="00C75A87"/>
    <w:rsid w:val="00C76941"/>
    <w:rsid w:val="00C81930"/>
    <w:rsid w:val="00C81D12"/>
    <w:rsid w:val="00C84709"/>
    <w:rsid w:val="00C84C44"/>
    <w:rsid w:val="00C85973"/>
    <w:rsid w:val="00C93E28"/>
    <w:rsid w:val="00C9483B"/>
    <w:rsid w:val="00C97812"/>
    <w:rsid w:val="00CA01C4"/>
    <w:rsid w:val="00CA506A"/>
    <w:rsid w:val="00CA588C"/>
    <w:rsid w:val="00CA603E"/>
    <w:rsid w:val="00CA7FFA"/>
    <w:rsid w:val="00CB6FCC"/>
    <w:rsid w:val="00CC603C"/>
    <w:rsid w:val="00CD1F4E"/>
    <w:rsid w:val="00CD7472"/>
    <w:rsid w:val="00CE1239"/>
    <w:rsid w:val="00CF2AFD"/>
    <w:rsid w:val="00CF38AE"/>
    <w:rsid w:val="00CF6201"/>
    <w:rsid w:val="00CF719E"/>
    <w:rsid w:val="00CF7F4D"/>
    <w:rsid w:val="00D00B39"/>
    <w:rsid w:val="00D02893"/>
    <w:rsid w:val="00D050C4"/>
    <w:rsid w:val="00D05C96"/>
    <w:rsid w:val="00D1002E"/>
    <w:rsid w:val="00D12850"/>
    <w:rsid w:val="00D14583"/>
    <w:rsid w:val="00D1496D"/>
    <w:rsid w:val="00D17341"/>
    <w:rsid w:val="00D177B7"/>
    <w:rsid w:val="00D2055B"/>
    <w:rsid w:val="00D21C68"/>
    <w:rsid w:val="00D24169"/>
    <w:rsid w:val="00D24B38"/>
    <w:rsid w:val="00D30475"/>
    <w:rsid w:val="00D32486"/>
    <w:rsid w:val="00D325BC"/>
    <w:rsid w:val="00D35273"/>
    <w:rsid w:val="00D400D1"/>
    <w:rsid w:val="00D422BF"/>
    <w:rsid w:val="00D437B9"/>
    <w:rsid w:val="00D45895"/>
    <w:rsid w:val="00D51482"/>
    <w:rsid w:val="00D710AA"/>
    <w:rsid w:val="00D7180B"/>
    <w:rsid w:val="00D81AC3"/>
    <w:rsid w:val="00D8225E"/>
    <w:rsid w:val="00D862A2"/>
    <w:rsid w:val="00D9023D"/>
    <w:rsid w:val="00D91968"/>
    <w:rsid w:val="00DA00AC"/>
    <w:rsid w:val="00DA24AA"/>
    <w:rsid w:val="00DA3ED8"/>
    <w:rsid w:val="00DA679F"/>
    <w:rsid w:val="00DA6C81"/>
    <w:rsid w:val="00DB246A"/>
    <w:rsid w:val="00DB47EF"/>
    <w:rsid w:val="00DB7A47"/>
    <w:rsid w:val="00DC26D3"/>
    <w:rsid w:val="00DC52F8"/>
    <w:rsid w:val="00DC55E2"/>
    <w:rsid w:val="00DD1163"/>
    <w:rsid w:val="00DE27B7"/>
    <w:rsid w:val="00DE407A"/>
    <w:rsid w:val="00DF0F12"/>
    <w:rsid w:val="00DF4332"/>
    <w:rsid w:val="00DF52E9"/>
    <w:rsid w:val="00DF637E"/>
    <w:rsid w:val="00DF6A34"/>
    <w:rsid w:val="00E0461D"/>
    <w:rsid w:val="00E0564F"/>
    <w:rsid w:val="00E072B2"/>
    <w:rsid w:val="00E117F8"/>
    <w:rsid w:val="00E123D8"/>
    <w:rsid w:val="00E254A3"/>
    <w:rsid w:val="00E25547"/>
    <w:rsid w:val="00E31284"/>
    <w:rsid w:val="00E34763"/>
    <w:rsid w:val="00E34AC5"/>
    <w:rsid w:val="00E3683A"/>
    <w:rsid w:val="00E376F6"/>
    <w:rsid w:val="00E4192E"/>
    <w:rsid w:val="00E44AC4"/>
    <w:rsid w:val="00E479D6"/>
    <w:rsid w:val="00E508A0"/>
    <w:rsid w:val="00E51758"/>
    <w:rsid w:val="00E60D72"/>
    <w:rsid w:val="00E62058"/>
    <w:rsid w:val="00E64E51"/>
    <w:rsid w:val="00E65FA6"/>
    <w:rsid w:val="00E711E8"/>
    <w:rsid w:val="00E73F69"/>
    <w:rsid w:val="00E75D65"/>
    <w:rsid w:val="00E82B4E"/>
    <w:rsid w:val="00E83439"/>
    <w:rsid w:val="00E8475D"/>
    <w:rsid w:val="00E84AF4"/>
    <w:rsid w:val="00E8743C"/>
    <w:rsid w:val="00E90AA9"/>
    <w:rsid w:val="00E96AC9"/>
    <w:rsid w:val="00EB048E"/>
    <w:rsid w:val="00EB13DE"/>
    <w:rsid w:val="00EB2C83"/>
    <w:rsid w:val="00EB6145"/>
    <w:rsid w:val="00EB638E"/>
    <w:rsid w:val="00EB6E9B"/>
    <w:rsid w:val="00EC5616"/>
    <w:rsid w:val="00EC61A5"/>
    <w:rsid w:val="00ED29D8"/>
    <w:rsid w:val="00ED6D58"/>
    <w:rsid w:val="00EE1D45"/>
    <w:rsid w:val="00EE2B0A"/>
    <w:rsid w:val="00EE4301"/>
    <w:rsid w:val="00EE66A2"/>
    <w:rsid w:val="00EF33FC"/>
    <w:rsid w:val="00EF604E"/>
    <w:rsid w:val="00F00D3C"/>
    <w:rsid w:val="00F058CE"/>
    <w:rsid w:val="00F134FC"/>
    <w:rsid w:val="00F1514F"/>
    <w:rsid w:val="00F16A61"/>
    <w:rsid w:val="00F17E63"/>
    <w:rsid w:val="00F30C2E"/>
    <w:rsid w:val="00F325E6"/>
    <w:rsid w:val="00F33CC7"/>
    <w:rsid w:val="00F44484"/>
    <w:rsid w:val="00F51B3D"/>
    <w:rsid w:val="00F54CDD"/>
    <w:rsid w:val="00F55F03"/>
    <w:rsid w:val="00F6004E"/>
    <w:rsid w:val="00F61ECE"/>
    <w:rsid w:val="00F63427"/>
    <w:rsid w:val="00F63B7B"/>
    <w:rsid w:val="00F6558B"/>
    <w:rsid w:val="00F67214"/>
    <w:rsid w:val="00F70E0B"/>
    <w:rsid w:val="00F7139A"/>
    <w:rsid w:val="00F74A1C"/>
    <w:rsid w:val="00F825B9"/>
    <w:rsid w:val="00F82FD6"/>
    <w:rsid w:val="00F83031"/>
    <w:rsid w:val="00F8597B"/>
    <w:rsid w:val="00F86AFB"/>
    <w:rsid w:val="00F91BAC"/>
    <w:rsid w:val="00F929C3"/>
    <w:rsid w:val="00F931E4"/>
    <w:rsid w:val="00F93597"/>
    <w:rsid w:val="00F9634F"/>
    <w:rsid w:val="00F9775D"/>
    <w:rsid w:val="00FA219F"/>
    <w:rsid w:val="00FA27F9"/>
    <w:rsid w:val="00FA346A"/>
    <w:rsid w:val="00FA6EC8"/>
    <w:rsid w:val="00FA7C78"/>
    <w:rsid w:val="00FB1226"/>
    <w:rsid w:val="00FB1AA4"/>
    <w:rsid w:val="00FB588F"/>
    <w:rsid w:val="00FC0A15"/>
    <w:rsid w:val="00FC10CE"/>
    <w:rsid w:val="00FC1164"/>
    <w:rsid w:val="00FC485C"/>
    <w:rsid w:val="00FC583D"/>
    <w:rsid w:val="00FC78AB"/>
    <w:rsid w:val="00FD0F34"/>
    <w:rsid w:val="00FD137D"/>
    <w:rsid w:val="00FD5B09"/>
    <w:rsid w:val="00FE306E"/>
    <w:rsid w:val="00FE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647D7"/>
  <w15:chartTrackingRefBased/>
  <w15:docId w15:val="{190E697D-180A-4021-9B18-7D39C0F1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6E"/>
    <w:pPr>
      <w:spacing w:after="0"/>
    </w:pPr>
    <w:rPr>
      <w:rFonts w:ascii="Verdana" w:hAnsi="Verdana" w:cs="Arial"/>
      <w:bCs/>
      <w:color w:val="46535E" w:themeColor="accent6"/>
    </w:rPr>
  </w:style>
  <w:style w:type="paragraph" w:styleId="Heading1">
    <w:name w:val="heading 1"/>
    <w:basedOn w:val="Normal"/>
    <w:next w:val="Normal"/>
    <w:link w:val="Heading1Char"/>
    <w:uiPriority w:val="9"/>
    <w:qFormat/>
    <w:rsid w:val="00BE36DE"/>
    <w:pPr>
      <w:numPr>
        <w:numId w:val="32"/>
      </w:numPr>
      <w:spacing w:before="240" w:after="240"/>
      <w:ind w:left="1008" w:hanging="1008"/>
      <w:outlineLvl w:val="0"/>
    </w:pPr>
    <w:rPr>
      <w:b/>
      <w:bCs w:val="0"/>
      <w:color w:val="021A32" w:themeColor="text2"/>
      <w:sz w:val="32"/>
      <w:szCs w:val="32"/>
    </w:rPr>
  </w:style>
  <w:style w:type="paragraph" w:styleId="Heading2">
    <w:name w:val="heading 2"/>
    <w:basedOn w:val="Normal"/>
    <w:next w:val="Normal"/>
    <w:link w:val="Heading2Char"/>
    <w:uiPriority w:val="9"/>
    <w:unhideWhenUsed/>
    <w:qFormat/>
    <w:rsid w:val="00BE36DE"/>
    <w:pPr>
      <w:numPr>
        <w:ilvl w:val="1"/>
        <w:numId w:val="32"/>
      </w:numPr>
      <w:spacing w:after="60"/>
      <w:ind w:left="1008" w:hanging="1008"/>
      <w:outlineLvl w:val="1"/>
    </w:pPr>
    <w:rPr>
      <w:b/>
      <w:bCs w:val="0"/>
      <w:color w:val="43627D" w:themeColor="accent3"/>
      <w:sz w:val="26"/>
      <w:szCs w:val="26"/>
    </w:rPr>
  </w:style>
  <w:style w:type="paragraph" w:styleId="Heading3">
    <w:name w:val="heading 3"/>
    <w:next w:val="Normal"/>
    <w:link w:val="Heading3Char"/>
    <w:uiPriority w:val="9"/>
    <w:unhideWhenUsed/>
    <w:rsid w:val="00BE36DE"/>
    <w:pPr>
      <w:numPr>
        <w:ilvl w:val="2"/>
        <w:numId w:val="32"/>
      </w:numPr>
      <w:spacing w:after="60"/>
      <w:ind w:left="1008" w:hanging="1008"/>
      <w:outlineLvl w:val="2"/>
    </w:pPr>
    <w:rPr>
      <w:rFonts w:ascii="Verdana" w:eastAsiaTheme="minorEastAsia" w:hAnsi="Verdana" w:cs="Times New Roman (Body CS)"/>
      <w:b/>
      <w:bCs/>
      <w:color w:val="63572A" w:themeColor="accent5"/>
      <w:spacing w:val="15"/>
      <w:lang w:bidi="en-US"/>
    </w:rPr>
  </w:style>
  <w:style w:type="paragraph" w:styleId="Heading4">
    <w:name w:val="heading 4"/>
    <w:basedOn w:val="Normal"/>
    <w:next w:val="Normal"/>
    <w:link w:val="Heading4Char"/>
    <w:uiPriority w:val="9"/>
    <w:unhideWhenUsed/>
    <w:rsid w:val="00B24D9A"/>
    <w:pPr>
      <w:keepNext/>
      <w:keepLines/>
      <w:numPr>
        <w:ilvl w:val="3"/>
        <w:numId w:val="32"/>
      </w:numPr>
      <w:spacing w:before="40"/>
      <w:ind w:left="1008" w:hanging="1008"/>
      <w:outlineLvl w:val="3"/>
    </w:pPr>
    <w:rPr>
      <w:rFonts w:eastAsiaTheme="majorEastAsia" w:cstheme="majorBidi"/>
      <w:b/>
      <w:iCs/>
      <w:color w:val="021A32" w:themeColor="text2"/>
    </w:rPr>
  </w:style>
  <w:style w:type="paragraph" w:styleId="Heading5">
    <w:name w:val="heading 5"/>
    <w:basedOn w:val="Normal"/>
    <w:next w:val="Normal"/>
    <w:link w:val="Heading5Char"/>
    <w:uiPriority w:val="9"/>
    <w:semiHidden/>
    <w:unhideWhenUsed/>
    <w:qFormat/>
    <w:rsid w:val="00EB13DE"/>
    <w:pPr>
      <w:keepNext/>
      <w:keepLines/>
      <w:numPr>
        <w:ilvl w:val="4"/>
        <w:numId w:val="32"/>
      </w:numPr>
      <w:spacing w:before="40"/>
      <w:outlineLvl w:val="4"/>
    </w:pPr>
    <w:rPr>
      <w:rFonts w:asciiTheme="majorHAnsi" w:eastAsiaTheme="majorEastAsia" w:hAnsiTheme="majorHAnsi" w:cstheme="majorBidi"/>
      <w:color w:val="011325" w:themeColor="accent1" w:themeShade="BF"/>
    </w:rPr>
  </w:style>
  <w:style w:type="paragraph" w:styleId="Heading6">
    <w:name w:val="heading 6"/>
    <w:basedOn w:val="Normal"/>
    <w:next w:val="Normal"/>
    <w:link w:val="Heading6Char"/>
    <w:uiPriority w:val="9"/>
    <w:semiHidden/>
    <w:unhideWhenUsed/>
    <w:qFormat/>
    <w:rsid w:val="00EB13DE"/>
    <w:pPr>
      <w:keepNext/>
      <w:keepLines/>
      <w:numPr>
        <w:ilvl w:val="5"/>
        <w:numId w:val="32"/>
      </w:numPr>
      <w:spacing w:before="40"/>
      <w:outlineLvl w:val="5"/>
    </w:pPr>
    <w:rPr>
      <w:rFonts w:asciiTheme="majorHAnsi" w:eastAsiaTheme="majorEastAsia" w:hAnsiTheme="majorHAnsi" w:cstheme="majorBidi"/>
      <w:color w:val="010C18" w:themeColor="accent1" w:themeShade="7F"/>
    </w:rPr>
  </w:style>
  <w:style w:type="paragraph" w:styleId="Heading7">
    <w:name w:val="heading 7"/>
    <w:basedOn w:val="Normal"/>
    <w:next w:val="Normal"/>
    <w:link w:val="Heading7Char"/>
    <w:uiPriority w:val="9"/>
    <w:semiHidden/>
    <w:unhideWhenUsed/>
    <w:qFormat/>
    <w:rsid w:val="00EB13DE"/>
    <w:pPr>
      <w:keepNext/>
      <w:keepLines/>
      <w:numPr>
        <w:ilvl w:val="6"/>
        <w:numId w:val="32"/>
      </w:numPr>
      <w:spacing w:before="40"/>
      <w:outlineLvl w:val="6"/>
    </w:pPr>
    <w:rPr>
      <w:rFonts w:asciiTheme="majorHAnsi" w:eastAsiaTheme="majorEastAsia" w:hAnsiTheme="majorHAnsi" w:cstheme="majorBidi"/>
      <w:i/>
      <w:iCs/>
      <w:color w:val="010C18" w:themeColor="accent1" w:themeShade="7F"/>
    </w:rPr>
  </w:style>
  <w:style w:type="paragraph" w:styleId="Heading8">
    <w:name w:val="heading 8"/>
    <w:basedOn w:val="Normal"/>
    <w:next w:val="Normal"/>
    <w:link w:val="Heading8Char"/>
    <w:uiPriority w:val="9"/>
    <w:semiHidden/>
    <w:unhideWhenUsed/>
    <w:qFormat/>
    <w:rsid w:val="00EB13DE"/>
    <w:pPr>
      <w:keepNext/>
      <w:keepLines/>
      <w:numPr>
        <w:ilvl w:val="7"/>
        <w:numId w:val="32"/>
      </w:numPr>
      <w:spacing w:before="40"/>
      <w:outlineLvl w:val="7"/>
    </w:pPr>
    <w:rPr>
      <w:rFonts w:asciiTheme="majorHAnsi" w:eastAsiaTheme="majorEastAsia" w:hAnsiTheme="majorHAnsi" w:cstheme="majorBidi"/>
      <w:color w:val="043C75" w:themeColor="text1" w:themeTint="D8"/>
      <w:sz w:val="21"/>
      <w:szCs w:val="21"/>
    </w:rPr>
  </w:style>
  <w:style w:type="paragraph" w:styleId="Heading9">
    <w:name w:val="heading 9"/>
    <w:basedOn w:val="Normal"/>
    <w:next w:val="Normal"/>
    <w:link w:val="Heading9Char"/>
    <w:uiPriority w:val="9"/>
    <w:semiHidden/>
    <w:unhideWhenUsed/>
    <w:qFormat/>
    <w:rsid w:val="00EB13DE"/>
    <w:pPr>
      <w:keepNext/>
      <w:keepLines/>
      <w:numPr>
        <w:ilvl w:val="8"/>
        <w:numId w:val="32"/>
      </w:numPr>
      <w:spacing w:before="40"/>
      <w:outlineLvl w:val="8"/>
    </w:pPr>
    <w:rPr>
      <w:rFonts w:asciiTheme="majorHAnsi" w:eastAsiaTheme="majorEastAsia" w:hAnsiTheme="majorHAnsi" w:cstheme="majorBidi"/>
      <w:i/>
      <w:iCs/>
      <w:color w:val="043C75"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6DE"/>
    <w:rPr>
      <w:rFonts w:ascii="Verdana" w:hAnsi="Verdana" w:cs="Arial"/>
      <w:b/>
      <w:color w:val="021A32" w:themeColor="text2"/>
      <w:sz w:val="32"/>
      <w:szCs w:val="32"/>
    </w:rPr>
  </w:style>
  <w:style w:type="character" w:customStyle="1" w:styleId="Heading2Char">
    <w:name w:val="Heading 2 Char"/>
    <w:basedOn w:val="DefaultParagraphFont"/>
    <w:link w:val="Heading2"/>
    <w:uiPriority w:val="9"/>
    <w:rsid w:val="00BE36DE"/>
    <w:rPr>
      <w:rFonts w:ascii="Verdana" w:hAnsi="Verdana" w:cs="Arial"/>
      <w:b/>
      <w:color w:val="43627D" w:themeColor="accent3"/>
      <w:sz w:val="26"/>
      <w:szCs w:val="26"/>
    </w:rPr>
  </w:style>
  <w:style w:type="paragraph" w:styleId="Title">
    <w:name w:val="Title"/>
    <w:basedOn w:val="Normal"/>
    <w:next w:val="Normal"/>
    <w:link w:val="TitleChar"/>
    <w:uiPriority w:val="10"/>
    <w:qFormat/>
    <w:rsid w:val="002A2714"/>
    <w:rPr>
      <w:rFonts w:asciiTheme="majorHAnsi" w:hAnsiTheme="majorHAnsi"/>
      <w:b/>
      <w:bCs w:val="0"/>
      <w:color w:val="021A32"/>
      <w:sz w:val="52"/>
      <w:szCs w:val="64"/>
    </w:rPr>
  </w:style>
  <w:style w:type="character" w:customStyle="1" w:styleId="TitleChar">
    <w:name w:val="Title Char"/>
    <w:basedOn w:val="DefaultParagraphFont"/>
    <w:link w:val="Title"/>
    <w:uiPriority w:val="10"/>
    <w:rsid w:val="002A2714"/>
    <w:rPr>
      <w:rFonts w:asciiTheme="majorHAnsi" w:hAnsiTheme="majorHAnsi" w:cs="Arial"/>
      <w:b/>
      <w:color w:val="021A32"/>
      <w:sz w:val="52"/>
      <w:szCs w:val="64"/>
    </w:rPr>
  </w:style>
  <w:style w:type="paragraph" w:styleId="Header">
    <w:name w:val="header"/>
    <w:basedOn w:val="Normal"/>
    <w:link w:val="HeaderChar"/>
    <w:uiPriority w:val="99"/>
    <w:unhideWhenUsed/>
    <w:rsid w:val="004C4ED8"/>
    <w:pPr>
      <w:tabs>
        <w:tab w:val="center" w:pos="4680"/>
        <w:tab w:val="right" w:pos="9360"/>
      </w:tabs>
    </w:pPr>
  </w:style>
  <w:style w:type="character" w:customStyle="1" w:styleId="HeaderChar">
    <w:name w:val="Header Char"/>
    <w:basedOn w:val="DefaultParagraphFont"/>
    <w:link w:val="Header"/>
    <w:uiPriority w:val="99"/>
    <w:rsid w:val="004C4ED8"/>
    <w:rPr>
      <w:rFonts w:ascii="Verdana" w:hAnsi="Verdana" w:cs="Arial"/>
      <w:bCs/>
      <w:color w:val="46535E" w:themeColor="accent6"/>
    </w:rPr>
  </w:style>
  <w:style w:type="paragraph" w:styleId="Footer">
    <w:name w:val="footer"/>
    <w:basedOn w:val="Normal"/>
    <w:link w:val="FooterChar"/>
    <w:uiPriority w:val="99"/>
    <w:unhideWhenUsed/>
    <w:rsid w:val="004C4ED8"/>
    <w:pPr>
      <w:tabs>
        <w:tab w:val="center" w:pos="4680"/>
        <w:tab w:val="right" w:pos="9360"/>
      </w:tabs>
    </w:pPr>
  </w:style>
  <w:style w:type="character" w:customStyle="1" w:styleId="FooterChar">
    <w:name w:val="Footer Char"/>
    <w:basedOn w:val="DefaultParagraphFont"/>
    <w:link w:val="Footer"/>
    <w:uiPriority w:val="99"/>
    <w:rsid w:val="004C4ED8"/>
    <w:rPr>
      <w:rFonts w:ascii="Verdana" w:hAnsi="Verdana" w:cs="Arial"/>
      <w:bCs/>
      <w:color w:val="46535E" w:themeColor="accent6"/>
    </w:rPr>
  </w:style>
  <w:style w:type="paragraph" w:customStyle="1" w:styleId="ContactInfo">
    <w:name w:val="ContactInfo"/>
    <w:basedOn w:val="Footer"/>
    <w:link w:val="ContactInfoChar"/>
    <w:rsid w:val="003B3567"/>
    <w:rPr>
      <w:sz w:val="16"/>
      <w:szCs w:val="16"/>
    </w:rPr>
  </w:style>
  <w:style w:type="character" w:customStyle="1" w:styleId="ContactInfoChar">
    <w:name w:val="ContactInfo Char"/>
    <w:basedOn w:val="FooterChar"/>
    <w:link w:val="ContactInfo"/>
    <w:rsid w:val="003B3567"/>
    <w:rPr>
      <w:rFonts w:ascii="Verdana" w:hAnsi="Verdana" w:cs="Arial"/>
      <w:bCs/>
      <w:color w:val="46535E" w:themeColor="accent6"/>
      <w:sz w:val="16"/>
      <w:szCs w:val="16"/>
    </w:rPr>
  </w:style>
  <w:style w:type="paragraph" w:styleId="NoSpacing">
    <w:name w:val="No Spacing"/>
    <w:aliases w:val="Table subHeader 2"/>
    <w:basedOn w:val="Normal"/>
    <w:link w:val="NoSpacingChar"/>
    <w:uiPriority w:val="1"/>
    <w:qFormat/>
    <w:rsid w:val="00134504"/>
    <w:rPr>
      <w:color w:val="43627D" w:themeColor="accent3"/>
    </w:rPr>
  </w:style>
  <w:style w:type="paragraph" w:styleId="Subtitle">
    <w:name w:val="Subtitle"/>
    <w:basedOn w:val="Normal"/>
    <w:next w:val="Normal"/>
    <w:link w:val="SubtitleChar"/>
    <w:uiPriority w:val="11"/>
    <w:qFormat/>
    <w:rsid w:val="004C4ED8"/>
    <w:pPr>
      <w:spacing w:after="200"/>
    </w:pPr>
    <w:rPr>
      <w:rFonts w:asciiTheme="minorHAnsi" w:hAnsiTheme="minorHAnsi"/>
      <w:b/>
      <w:bCs w:val="0"/>
      <w:color w:val="43627D" w:themeColor="accent3"/>
      <w:sz w:val="40"/>
      <w:szCs w:val="30"/>
    </w:rPr>
  </w:style>
  <w:style w:type="character" w:customStyle="1" w:styleId="SubtitleChar">
    <w:name w:val="Subtitle Char"/>
    <w:basedOn w:val="DefaultParagraphFont"/>
    <w:link w:val="Subtitle"/>
    <w:uiPriority w:val="11"/>
    <w:rsid w:val="004C4ED8"/>
    <w:rPr>
      <w:rFonts w:cs="Arial"/>
      <w:b/>
      <w:color w:val="43627D" w:themeColor="accent3"/>
      <w:sz w:val="40"/>
      <w:szCs w:val="30"/>
    </w:rPr>
  </w:style>
  <w:style w:type="character" w:customStyle="1" w:styleId="Heading3Char">
    <w:name w:val="Heading 3 Char"/>
    <w:basedOn w:val="DefaultParagraphFont"/>
    <w:link w:val="Heading3"/>
    <w:uiPriority w:val="9"/>
    <w:rsid w:val="00BE36DE"/>
    <w:rPr>
      <w:rFonts w:ascii="Verdana" w:eastAsiaTheme="minorEastAsia" w:hAnsi="Verdana" w:cs="Times New Roman (Body CS)"/>
      <w:b/>
      <w:bCs/>
      <w:color w:val="63572A" w:themeColor="accent5"/>
      <w:spacing w:val="15"/>
      <w:lang w:bidi="en-US"/>
    </w:rPr>
  </w:style>
  <w:style w:type="character" w:customStyle="1" w:styleId="Heading4Char">
    <w:name w:val="Heading 4 Char"/>
    <w:basedOn w:val="DefaultParagraphFont"/>
    <w:link w:val="Heading4"/>
    <w:uiPriority w:val="9"/>
    <w:rsid w:val="00B24D9A"/>
    <w:rPr>
      <w:rFonts w:ascii="Verdana" w:eastAsiaTheme="majorEastAsia" w:hAnsi="Verdana" w:cstheme="majorBidi"/>
      <w:b/>
      <w:bCs/>
      <w:iCs/>
      <w:color w:val="021A32" w:themeColor="text2"/>
    </w:rPr>
  </w:style>
  <w:style w:type="character" w:styleId="SubtleEmphasis">
    <w:name w:val="Subtle Emphasis"/>
    <w:basedOn w:val="DefaultParagraphFont"/>
    <w:uiPriority w:val="19"/>
    <w:rsid w:val="00134504"/>
    <w:rPr>
      <w:rFonts w:ascii="Verdana" w:hAnsi="Verdana"/>
      <w:b w:val="0"/>
      <w:i/>
      <w:iCs/>
      <w:noProof w:val="0"/>
      <w:color w:val="43627D" w:themeColor="accent3"/>
      <w:lang w:val="en-US"/>
    </w:rPr>
  </w:style>
  <w:style w:type="paragraph" w:styleId="IntenseQuote">
    <w:name w:val="Intense Quote"/>
    <w:basedOn w:val="Normal"/>
    <w:next w:val="Normal"/>
    <w:link w:val="IntenseQuoteChar"/>
    <w:uiPriority w:val="30"/>
    <w:rsid w:val="004C4ED8"/>
    <w:pPr>
      <w:pBdr>
        <w:top w:val="single" w:sz="4" w:space="10" w:color="021A32" w:themeColor="accent1"/>
        <w:bottom w:val="single" w:sz="4" w:space="10" w:color="021A32" w:themeColor="accent1"/>
      </w:pBdr>
      <w:spacing w:before="360" w:after="360"/>
      <w:ind w:left="864" w:right="864"/>
      <w:jc w:val="center"/>
    </w:pPr>
    <w:rPr>
      <w:i/>
      <w:iCs/>
      <w:color w:val="021A32" w:themeColor="accent1"/>
    </w:rPr>
  </w:style>
  <w:style w:type="character" w:styleId="Strong">
    <w:name w:val="Strong"/>
    <w:basedOn w:val="DefaultParagraphFont"/>
    <w:uiPriority w:val="22"/>
    <w:rsid w:val="004C4ED8"/>
    <w:rPr>
      <w:b/>
      <w:noProof w:val="0"/>
      <w:color w:val="021A32" w:themeColor="text2"/>
      <w:sz w:val="24"/>
      <w:szCs w:val="24"/>
      <w:lang w:val="en-US"/>
    </w:rPr>
  </w:style>
  <w:style w:type="paragraph" w:customStyle="1" w:styleId="Callout">
    <w:name w:val="Call out"/>
    <w:basedOn w:val="Normal"/>
    <w:qFormat/>
    <w:rsid w:val="00134504"/>
    <w:pPr>
      <w:pBdr>
        <w:left w:val="single" w:sz="12" w:space="4" w:color="ED4E33" w:themeColor="accent4"/>
      </w:pBdr>
      <w:spacing w:after="200" w:line="240" w:lineRule="auto"/>
      <w:ind w:right="-20"/>
    </w:pPr>
    <w:rPr>
      <w:rFonts w:eastAsia="Times New Roman" w:cs="Times New Roman"/>
      <w:bCs w:val="0"/>
      <w:color w:val="63572A" w:themeColor="accent5"/>
      <w:sz w:val="32"/>
      <w:lang w:bidi="en-US"/>
    </w:rPr>
  </w:style>
  <w:style w:type="paragraph" w:styleId="ListParagraph">
    <w:name w:val="List Paragraph"/>
    <w:aliases w:val="Bulleted List"/>
    <w:basedOn w:val="Normal"/>
    <w:link w:val="ListParagraphChar"/>
    <w:uiPriority w:val="34"/>
    <w:qFormat/>
    <w:rsid w:val="004C4ED8"/>
    <w:pPr>
      <w:numPr>
        <w:numId w:val="22"/>
      </w:numPr>
      <w:spacing w:line="360" w:lineRule="auto"/>
      <w:contextualSpacing/>
    </w:pPr>
    <w:rPr>
      <w:sz w:val="20"/>
      <w:szCs w:val="20"/>
    </w:rPr>
  </w:style>
  <w:style w:type="character" w:customStyle="1" w:styleId="ListParagraphChar">
    <w:name w:val="List Paragraph Char"/>
    <w:aliases w:val="Bulleted List Char"/>
    <w:basedOn w:val="DefaultParagraphFont"/>
    <w:link w:val="ListParagraph"/>
    <w:uiPriority w:val="34"/>
    <w:rsid w:val="004C4ED8"/>
    <w:rPr>
      <w:rFonts w:ascii="Verdana" w:hAnsi="Verdana" w:cs="Arial"/>
      <w:bCs/>
      <w:color w:val="46535E" w:themeColor="accent6"/>
      <w:sz w:val="20"/>
      <w:szCs w:val="20"/>
    </w:rPr>
  </w:style>
  <w:style w:type="table" w:customStyle="1" w:styleId="MaintableStyle">
    <w:name w:val="Main table Style"/>
    <w:basedOn w:val="TableNormal"/>
    <w:uiPriority w:val="99"/>
    <w:rsid w:val="009618A1"/>
    <w:pPr>
      <w:spacing w:after="0" w:line="240" w:lineRule="auto"/>
    </w:pPr>
    <w:rPr>
      <w:rFonts w:ascii="Arial" w:hAnsi="Arial"/>
      <w:color w:val="FFFFFF" w:themeColor="background1"/>
      <w:sz w:val="16"/>
    </w:rPr>
    <w:tblPr>
      <w:tblBorders>
        <w:top w:val="single" w:sz="4" w:space="0" w:color="9A9B9C"/>
        <w:left w:val="single" w:sz="4" w:space="0" w:color="9A9B9C"/>
        <w:bottom w:val="single" w:sz="4" w:space="0" w:color="9A9B9C"/>
        <w:right w:val="single" w:sz="4" w:space="0" w:color="9A9B9C"/>
        <w:insideH w:val="single" w:sz="4" w:space="0" w:color="9A9B9C"/>
        <w:insideV w:val="single" w:sz="4" w:space="0" w:color="9A9B9C"/>
      </w:tblBorders>
    </w:tblPr>
    <w:tcPr>
      <w:tcMar>
        <w:top w:w="115" w:type="dxa"/>
        <w:left w:w="115" w:type="dxa"/>
        <w:bottom w:w="115" w:type="dxa"/>
        <w:right w:w="115" w:type="dxa"/>
      </w:tcMar>
    </w:tcPr>
    <w:tblStylePr w:type="firstRow">
      <w:rPr>
        <w:rFonts w:ascii="Arial" w:hAnsi="Arial"/>
        <w:b/>
        <w:color w:val="FFFFFF" w:themeColor="background2"/>
        <w:sz w:val="36"/>
      </w:rPr>
      <w:tblPr/>
      <w:tcPr>
        <w:shd w:val="clear" w:color="auto" w:fill="035797"/>
      </w:tcPr>
    </w:tblStylePr>
  </w:style>
  <w:style w:type="paragraph" w:customStyle="1" w:styleId="TableSubheaders">
    <w:name w:val="Table Subheaders"/>
    <w:basedOn w:val="Normal"/>
    <w:qFormat/>
    <w:rsid w:val="00134504"/>
    <w:pPr>
      <w:spacing w:line="240" w:lineRule="auto"/>
    </w:pPr>
    <w:rPr>
      <w:rFonts w:eastAsia="Times New Roman" w:cs="Times New Roman"/>
      <w:b/>
      <w:bCs w:val="0"/>
      <w:color w:val="43627D" w:themeColor="accent3"/>
      <w:sz w:val="20"/>
      <w:szCs w:val="20"/>
      <w:lang w:bidi="en-US"/>
    </w:rPr>
  </w:style>
  <w:style w:type="paragraph" w:customStyle="1" w:styleId="TableBulletedList">
    <w:name w:val="Table Bulleted List"/>
    <w:basedOn w:val="ListParagraph"/>
    <w:qFormat/>
    <w:rsid w:val="00134504"/>
    <w:pPr>
      <w:spacing w:line="240" w:lineRule="auto"/>
    </w:pPr>
  </w:style>
  <w:style w:type="paragraph" w:customStyle="1" w:styleId="TableNormalText">
    <w:name w:val="Table Normal Text"/>
    <w:basedOn w:val="Normal"/>
    <w:qFormat/>
    <w:rsid w:val="002842F2"/>
    <w:pPr>
      <w:spacing w:before="40" w:after="40" w:line="240" w:lineRule="auto"/>
    </w:pPr>
    <w:rPr>
      <w:sz w:val="20"/>
      <w:szCs w:val="20"/>
    </w:rPr>
  </w:style>
  <w:style w:type="paragraph" w:customStyle="1" w:styleId="TableHeader">
    <w:name w:val="Table Header"/>
    <w:qFormat/>
    <w:rsid w:val="00586EEF"/>
    <w:pPr>
      <w:spacing w:after="0" w:line="240" w:lineRule="auto"/>
      <w:jc w:val="center"/>
    </w:pPr>
    <w:rPr>
      <w:rFonts w:ascii="Verdana" w:hAnsi="Verdana" w:cs="Arial"/>
      <w:b/>
      <w:bCs/>
      <w:color w:val="FFFFFF" w:themeColor="background1"/>
      <w:szCs w:val="26"/>
    </w:rPr>
  </w:style>
  <w:style w:type="character" w:customStyle="1" w:styleId="NoSpacingChar">
    <w:name w:val="No Spacing Char"/>
    <w:aliases w:val="Table subHeader 2 Char"/>
    <w:basedOn w:val="DefaultParagraphFont"/>
    <w:link w:val="NoSpacing"/>
    <w:uiPriority w:val="1"/>
    <w:rsid w:val="00134504"/>
    <w:rPr>
      <w:rFonts w:ascii="Verdana" w:hAnsi="Verdana" w:cs="Arial"/>
      <w:bCs/>
      <w:color w:val="43627D" w:themeColor="accent3"/>
    </w:rPr>
  </w:style>
  <w:style w:type="paragraph" w:customStyle="1" w:styleId="TableSubheader2">
    <w:name w:val="Table Subheader 2"/>
    <w:qFormat/>
    <w:rsid w:val="00134504"/>
    <w:pPr>
      <w:spacing w:line="240" w:lineRule="auto"/>
    </w:pPr>
    <w:rPr>
      <w:rFonts w:ascii="Verdana" w:hAnsi="Verdana" w:cs="Arial"/>
      <w:b/>
      <w:color w:val="43627D" w:themeColor="accent3"/>
      <w:sz w:val="16"/>
      <w:szCs w:val="18"/>
    </w:rPr>
  </w:style>
  <w:style w:type="character" w:customStyle="1" w:styleId="IntenseQuoteChar">
    <w:name w:val="Intense Quote Char"/>
    <w:basedOn w:val="DefaultParagraphFont"/>
    <w:link w:val="IntenseQuote"/>
    <w:uiPriority w:val="30"/>
    <w:rsid w:val="004C4ED8"/>
    <w:rPr>
      <w:rFonts w:ascii="Verdana" w:hAnsi="Verdana" w:cs="Arial"/>
      <w:bCs/>
      <w:i/>
      <w:iCs/>
      <w:color w:val="021A32" w:themeColor="accent1"/>
    </w:rPr>
  </w:style>
  <w:style w:type="table" w:styleId="MediumList1-Accent1">
    <w:name w:val="Medium List 1 Accent 1"/>
    <w:basedOn w:val="TableNormal"/>
    <w:uiPriority w:val="65"/>
    <w:rsid w:val="0075121F"/>
    <w:pPr>
      <w:spacing w:after="0" w:line="240" w:lineRule="auto"/>
    </w:pPr>
    <w:rPr>
      <w:rFonts w:ascii="Cambria" w:eastAsia="Times New Roman" w:hAnsi="Cambria" w:cs="Times New Roman"/>
      <w:color w:val="021A32" w:themeColor="text1"/>
      <w:sz w:val="20"/>
      <w:szCs w:val="20"/>
    </w:rPr>
    <w:tblPr>
      <w:tblStyleRowBandSize w:val="1"/>
      <w:tblStyleColBandSize w:val="1"/>
      <w:tblBorders>
        <w:top w:val="single" w:sz="8" w:space="0" w:color="021A32" w:themeColor="accent1"/>
        <w:bottom w:val="single" w:sz="8" w:space="0" w:color="021A32" w:themeColor="accent1"/>
      </w:tblBorders>
    </w:tblPr>
    <w:tblStylePr w:type="firstRow">
      <w:rPr>
        <w:rFonts w:asciiTheme="majorHAnsi" w:eastAsiaTheme="majorEastAsia" w:hAnsiTheme="majorHAnsi" w:cstheme="majorBidi"/>
      </w:rPr>
      <w:tblPr/>
      <w:tcPr>
        <w:tcBorders>
          <w:top w:val="nil"/>
          <w:bottom w:val="single" w:sz="8" w:space="0" w:color="021A32" w:themeColor="accent1"/>
        </w:tcBorders>
      </w:tcPr>
    </w:tblStylePr>
    <w:tblStylePr w:type="lastRow">
      <w:rPr>
        <w:b/>
        <w:bCs/>
        <w:color w:val="021A32" w:themeColor="text2"/>
      </w:rPr>
      <w:tblPr/>
      <w:tcPr>
        <w:tcBorders>
          <w:top w:val="single" w:sz="8" w:space="0" w:color="021A32" w:themeColor="accent1"/>
          <w:bottom w:val="single" w:sz="8" w:space="0" w:color="021A32" w:themeColor="accent1"/>
        </w:tcBorders>
      </w:tcPr>
    </w:tblStylePr>
    <w:tblStylePr w:type="firstCol">
      <w:rPr>
        <w:b/>
        <w:bCs/>
      </w:rPr>
    </w:tblStylePr>
    <w:tblStylePr w:type="lastCol">
      <w:rPr>
        <w:b/>
        <w:bCs/>
      </w:rPr>
      <w:tblPr/>
      <w:tcPr>
        <w:tcBorders>
          <w:top w:val="single" w:sz="8" w:space="0" w:color="021A32" w:themeColor="accent1"/>
          <w:bottom w:val="single" w:sz="8" w:space="0" w:color="021A32" w:themeColor="accent1"/>
        </w:tcBorders>
      </w:tcPr>
    </w:tblStylePr>
    <w:tblStylePr w:type="band1Vert">
      <w:tblPr/>
      <w:tcPr>
        <w:shd w:val="clear" w:color="auto" w:fill="92C6FA" w:themeFill="accent1" w:themeFillTint="3F"/>
      </w:tcPr>
    </w:tblStylePr>
    <w:tblStylePr w:type="band1Horz">
      <w:tblPr/>
      <w:tcPr>
        <w:shd w:val="clear" w:color="auto" w:fill="92C6FA" w:themeFill="accent1" w:themeFillTint="3F"/>
      </w:tcPr>
    </w:tblStylePr>
  </w:style>
  <w:style w:type="table" w:styleId="TableGrid">
    <w:name w:val="Table Grid"/>
    <w:basedOn w:val="TableNormal"/>
    <w:uiPriority w:val="39"/>
    <w:rsid w:val="00F65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sition">
    <w:name w:val="Position"/>
    <w:basedOn w:val="Normal"/>
    <w:qFormat/>
    <w:rsid w:val="00134504"/>
    <w:pPr>
      <w:spacing w:after="200"/>
    </w:pPr>
    <w:rPr>
      <w:b/>
      <w:sz w:val="30"/>
      <w:szCs w:val="30"/>
    </w:rPr>
  </w:style>
  <w:style w:type="character" w:styleId="Hyperlink">
    <w:name w:val="Hyperlink"/>
    <w:basedOn w:val="DefaultParagraphFont"/>
    <w:uiPriority w:val="99"/>
    <w:unhideWhenUsed/>
    <w:rsid w:val="004C4ED8"/>
    <w:rPr>
      <w:noProof w:val="0"/>
      <w:color w:val="ED4E33" w:themeColor="hyperlink"/>
      <w:u w:val="single"/>
      <w:lang w:val="en-US"/>
    </w:rPr>
  </w:style>
  <w:style w:type="character" w:styleId="UnresolvedMention">
    <w:name w:val="Unresolved Mention"/>
    <w:basedOn w:val="DefaultParagraphFont"/>
    <w:uiPriority w:val="99"/>
    <w:semiHidden/>
    <w:unhideWhenUsed/>
    <w:rsid w:val="00A701D8"/>
    <w:rPr>
      <w:color w:val="605E5C"/>
      <w:shd w:val="clear" w:color="auto" w:fill="E1DFDD"/>
    </w:rPr>
  </w:style>
  <w:style w:type="character" w:styleId="Emphasis">
    <w:name w:val="Emphasis"/>
    <w:basedOn w:val="DefaultParagraphFont"/>
    <w:uiPriority w:val="20"/>
    <w:qFormat/>
    <w:rsid w:val="004C4ED8"/>
    <w:rPr>
      <w:i/>
      <w:iCs/>
      <w:noProof w:val="0"/>
      <w:lang w:val="en-US"/>
    </w:rPr>
  </w:style>
  <w:style w:type="character" w:styleId="IntenseEmphasis">
    <w:name w:val="Intense Emphasis"/>
    <w:basedOn w:val="DefaultParagraphFont"/>
    <w:uiPriority w:val="21"/>
    <w:rsid w:val="004C4ED8"/>
    <w:rPr>
      <w:i/>
      <w:iCs/>
      <w:noProof w:val="0"/>
      <w:color w:val="021A32" w:themeColor="accent1"/>
      <w:lang w:val="en-US"/>
    </w:rPr>
  </w:style>
  <w:style w:type="paragraph" w:styleId="Quote">
    <w:name w:val="Quote"/>
    <w:basedOn w:val="Normal"/>
    <w:next w:val="Normal"/>
    <w:link w:val="QuoteChar"/>
    <w:uiPriority w:val="29"/>
    <w:rsid w:val="004C4ED8"/>
    <w:pPr>
      <w:spacing w:before="200" w:after="160"/>
      <w:ind w:left="864" w:right="864"/>
      <w:jc w:val="center"/>
    </w:pPr>
    <w:rPr>
      <w:i/>
      <w:iCs/>
      <w:color w:val="0653A0" w:themeColor="text1" w:themeTint="BF"/>
    </w:rPr>
  </w:style>
  <w:style w:type="character" w:customStyle="1" w:styleId="QuoteChar">
    <w:name w:val="Quote Char"/>
    <w:basedOn w:val="DefaultParagraphFont"/>
    <w:link w:val="Quote"/>
    <w:uiPriority w:val="29"/>
    <w:rsid w:val="004C4ED8"/>
    <w:rPr>
      <w:rFonts w:ascii="Verdana" w:hAnsi="Verdana" w:cs="Arial"/>
      <w:bCs/>
      <w:i/>
      <w:iCs/>
      <w:color w:val="0653A0" w:themeColor="text1" w:themeTint="BF"/>
    </w:rPr>
  </w:style>
  <w:style w:type="character" w:styleId="SubtleReference">
    <w:name w:val="Subtle Reference"/>
    <w:basedOn w:val="DefaultParagraphFont"/>
    <w:uiPriority w:val="31"/>
    <w:rsid w:val="004C4ED8"/>
    <w:rPr>
      <w:smallCaps/>
      <w:noProof w:val="0"/>
      <w:color w:val="086ACD" w:themeColor="text1" w:themeTint="A5"/>
      <w:lang w:val="en-US"/>
    </w:rPr>
  </w:style>
  <w:style w:type="character" w:styleId="IntenseReference">
    <w:name w:val="Intense Reference"/>
    <w:basedOn w:val="DefaultParagraphFont"/>
    <w:uiPriority w:val="32"/>
    <w:rsid w:val="004C4ED8"/>
    <w:rPr>
      <w:b/>
      <w:bCs/>
      <w:smallCaps/>
      <w:noProof w:val="0"/>
      <w:color w:val="021A32" w:themeColor="accent1"/>
      <w:spacing w:val="5"/>
      <w:lang w:val="en-US"/>
    </w:rPr>
  </w:style>
  <w:style w:type="character" w:styleId="BookTitle">
    <w:name w:val="Book Title"/>
    <w:basedOn w:val="DefaultParagraphFont"/>
    <w:uiPriority w:val="33"/>
    <w:rsid w:val="004C4ED8"/>
    <w:rPr>
      <w:b/>
      <w:bCs/>
      <w:i/>
      <w:iCs/>
      <w:noProof w:val="0"/>
      <w:spacing w:val="5"/>
      <w:lang w:val="en-US"/>
    </w:rPr>
  </w:style>
  <w:style w:type="paragraph" w:styleId="TOCHeading">
    <w:name w:val="TOC Heading"/>
    <w:basedOn w:val="Heading1"/>
    <w:next w:val="Normal"/>
    <w:uiPriority w:val="39"/>
    <w:unhideWhenUsed/>
    <w:qFormat/>
    <w:rsid w:val="00DE27B7"/>
    <w:pPr>
      <w:keepNext/>
      <w:keepLines/>
      <w:numPr>
        <w:numId w:val="0"/>
      </w:numPr>
      <w:spacing w:after="0" w:line="259" w:lineRule="auto"/>
      <w:outlineLvl w:val="9"/>
    </w:pPr>
    <w:rPr>
      <w:rFonts w:asciiTheme="majorHAnsi" w:eastAsiaTheme="majorEastAsia" w:hAnsiTheme="majorHAnsi" w:cstheme="majorBidi"/>
      <w:color w:val="011325" w:themeColor="accent1" w:themeShade="BF"/>
    </w:rPr>
  </w:style>
  <w:style w:type="paragraph" w:styleId="TOC1">
    <w:name w:val="toc 1"/>
    <w:basedOn w:val="Normal"/>
    <w:next w:val="Normal"/>
    <w:autoRedefine/>
    <w:uiPriority w:val="39"/>
    <w:unhideWhenUsed/>
    <w:rsid w:val="000D056C"/>
    <w:pPr>
      <w:spacing w:after="100"/>
    </w:pPr>
  </w:style>
  <w:style w:type="paragraph" w:styleId="TOC2">
    <w:name w:val="toc 2"/>
    <w:basedOn w:val="Normal"/>
    <w:next w:val="Normal"/>
    <w:autoRedefine/>
    <w:uiPriority w:val="39"/>
    <w:unhideWhenUsed/>
    <w:rsid w:val="000D056C"/>
    <w:pPr>
      <w:spacing w:after="100"/>
      <w:ind w:left="220"/>
    </w:pPr>
  </w:style>
  <w:style w:type="paragraph" w:styleId="TOC3">
    <w:name w:val="toc 3"/>
    <w:basedOn w:val="Normal"/>
    <w:next w:val="Normal"/>
    <w:autoRedefine/>
    <w:uiPriority w:val="39"/>
    <w:unhideWhenUsed/>
    <w:rsid w:val="000D056C"/>
    <w:pPr>
      <w:spacing w:after="100"/>
      <w:ind w:left="440"/>
    </w:pPr>
  </w:style>
  <w:style w:type="character" w:customStyle="1" w:styleId="Heading5Char">
    <w:name w:val="Heading 5 Char"/>
    <w:basedOn w:val="DefaultParagraphFont"/>
    <w:link w:val="Heading5"/>
    <w:uiPriority w:val="9"/>
    <w:semiHidden/>
    <w:rsid w:val="00EB13DE"/>
    <w:rPr>
      <w:rFonts w:asciiTheme="majorHAnsi" w:eastAsiaTheme="majorEastAsia" w:hAnsiTheme="majorHAnsi" w:cstheme="majorBidi"/>
      <w:bCs/>
      <w:color w:val="011325" w:themeColor="accent1" w:themeShade="BF"/>
    </w:rPr>
  </w:style>
  <w:style w:type="character" w:customStyle="1" w:styleId="Heading6Char">
    <w:name w:val="Heading 6 Char"/>
    <w:basedOn w:val="DefaultParagraphFont"/>
    <w:link w:val="Heading6"/>
    <w:uiPriority w:val="9"/>
    <w:semiHidden/>
    <w:rsid w:val="00EB13DE"/>
    <w:rPr>
      <w:rFonts w:asciiTheme="majorHAnsi" w:eastAsiaTheme="majorEastAsia" w:hAnsiTheme="majorHAnsi" w:cstheme="majorBidi"/>
      <w:bCs/>
      <w:color w:val="010C18" w:themeColor="accent1" w:themeShade="7F"/>
    </w:rPr>
  </w:style>
  <w:style w:type="character" w:customStyle="1" w:styleId="Heading7Char">
    <w:name w:val="Heading 7 Char"/>
    <w:basedOn w:val="DefaultParagraphFont"/>
    <w:link w:val="Heading7"/>
    <w:uiPriority w:val="9"/>
    <w:semiHidden/>
    <w:rsid w:val="00EB13DE"/>
    <w:rPr>
      <w:rFonts w:asciiTheme="majorHAnsi" w:eastAsiaTheme="majorEastAsia" w:hAnsiTheme="majorHAnsi" w:cstheme="majorBidi"/>
      <w:bCs/>
      <w:i/>
      <w:iCs/>
      <w:color w:val="010C18" w:themeColor="accent1" w:themeShade="7F"/>
    </w:rPr>
  </w:style>
  <w:style w:type="character" w:customStyle="1" w:styleId="Heading8Char">
    <w:name w:val="Heading 8 Char"/>
    <w:basedOn w:val="DefaultParagraphFont"/>
    <w:link w:val="Heading8"/>
    <w:uiPriority w:val="9"/>
    <w:semiHidden/>
    <w:rsid w:val="00EB13DE"/>
    <w:rPr>
      <w:rFonts w:asciiTheme="majorHAnsi" w:eastAsiaTheme="majorEastAsia" w:hAnsiTheme="majorHAnsi" w:cstheme="majorBidi"/>
      <w:bCs/>
      <w:color w:val="043C75" w:themeColor="text1" w:themeTint="D8"/>
      <w:sz w:val="21"/>
      <w:szCs w:val="21"/>
    </w:rPr>
  </w:style>
  <w:style w:type="character" w:customStyle="1" w:styleId="Heading9Char">
    <w:name w:val="Heading 9 Char"/>
    <w:basedOn w:val="DefaultParagraphFont"/>
    <w:link w:val="Heading9"/>
    <w:uiPriority w:val="9"/>
    <w:semiHidden/>
    <w:rsid w:val="00EB13DE"/>
    <w:rPr>
      <w:rFonts w:asciiTheme="majorHAnsi" w:eastAsiaTheme="majorEastAsia" w:hAnsiTheme="majorHAnsi" w:cstheme="majorBidi"/>
      <w:bCs/>
      <w:i/>
      <w:iCs/>
      <w:color w:val="043C75" w:themeColor="text1" w:themeTint="D8"/>
      <w:sz w:val="21"/>
      <w:szCs w:val="21"/>
    </w:rPr>
  </w:style>
  <w:style w:type="paragraph" w:customStyle="1" w:styleId="NumberedList1">
    <w:name w:val="Numbered List 1"/>
    <w:basedOn w:val="Normal"/>
    <w:qFormat/>
    <w:rsid w:val="00030F08"/>
    <w:pPr>
      <w:numPr>
        <w:numId w:val="33"/>
      </w:numPr>
    </w:pPr>
  </w:style>
  <w:style w:type="paragraph" w:customStyle="1" w:styleId="NumberedList2">
    <w:name w:val="Numbered List 2"/>
    <w:basedOn w:val="Normal"/>
    <w:qFormat/>
    <w:rsid w:val="00030F08"/>
    <w:pPr>
      <w:numPr>
        <w:ilvl w:val="1"/>
        <w:numId w:val="34"/>
      </w:numPr>
    </w:pPr>
  </w:style>
  <w:style w:type="table" w:customStyle="1" w:styleId="TableGrid1">
    <w:name w:val="Table Grid1"/>
    <w:basedOn w:val="TableNormal"/>
    <w:next w:val="TableGrid"/>
    <w:uiPriority w:val="39"/>
    <w:rsid w:val="00164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800"/>
    <w:rPr>
      <w:sz w:val="16"/>
      <w:szCs w:val="16"/>
    </w:rPr>
  </w:style>
  <w:style w:type="paragraph" w:styleId="CommentText">
    <w:name w:val="annotation text"/>
    <w:basedOn w:val="Normal"/>
    <w:link w:val="CommentTextChar"/>
    <w:uiPriority w:val="99"/>
    <w:semiHidden/>
    <w:unhideWhenUsed/>
    <w:rsid w:val="002C3800"/>
    <w:pPr>
      <w:spacing w:line="240" w:lineRule="auto"/>
    </w:pPr>
    <w:rPr>
      <w:sz w:val="20"/>
      <w:szCs w:val="20"/>
    </w:rPr>
  </w:style>
  <w:style w:type="character" w:customStyle="1" w:styleId="CommentTextChar">
    <w:name w:val="Comment Text Char"/>
    <w:basedOn w:val="DefaultParagraphFont"/>
    <w:link w:val="CommentText"/>
    <w:uiPriority w:val="99"/>
    <w:semiHidden/>
    <w:rsid w:val="002C3800"/>
    <w:rPr>
      <w:rFonts w:ascii="Verdana" w:hAnsi="Verdana" w:cs="Arial"/>
      <w:bCs/>
      <w:color w:val="46535E" w:themeColor="accent6"/>
      <w:sz w:val="20"/>
      <w:szCs w:val="20"/>
    </w:rPr>
  </w:style>
  <w:style w:type="paragraph" w:styleId="CommentSubject">
    <w:name w:val="annotation subject"/>
    <w:basedOn w:val="CommentText"/>
    <w:next w:val="CommentText"/>
    <w:link w:val="CommentSubjectChar"/>
    <w:uiPriority w:val="99"/>
    <w:semiHidden/>
    <w:unhideWhenUsed/>
    <w:rsid w:val="002C3800"/>
    <w:rPr>
      <w:b/>
    </w:rPr>
  </w:style>
  <w:style w:type="character" w:customStyle="1" w:styleId="CommentSubjectChar">
    <w:name w:val="Comment Subject Char"/>
    <w:basedOn w:val="CommentTextChar"/>
    <w:link w:val="CommentSubject"/>
    <w:uiPriority w:val="99"/>
    <w:semiHidden/>
    <w:rsid w:val="002C3800"/>
    <w:rPr>
      <w:rFonts w:ascii="Verdana" w:hAnsi="Verdana" w:cs="Arial"/>
      <w:b/>
      <w:bCs/>
      <w:color w:val="46535E" w:themeColor="accent6"/>
      <w:sz w:val="20"/>
      <w:szCs w:val="20"/>
    </w:rPr>
  </w:style>
  <w:style w:type="paragraph" w:customStyle="1" w:styleId="Exhibit">
    <w:name w:val="Exhibit"/>
    <w:basedOn w:val="Normal"/>
    <w:next w:val="Normal"/>
    <w:qFormat/>
    <w:rsid w:val="00BF3E97"/>
    <w:pPr>
      <w:keepNext/>
      <w:keepLines/>
      <w:spacing w:before="240" w:line="259" w:lineRule="auto"/>
    </w:pPr>
    <w:rPr>
      <w:rFonts w:asciiTheme="majorHAnsi" w:eastAsiaTheme="majorEastAsia" w:hAnsiTheme="majorHAnsi" w:cstheme="majorBidi"/>
      <w:b/>
      <w:bCs w:val="0"/>
      <w:color w:val="011325" w:themeColor="accent1" w:themeShade="BF"/>
      <w:sz w:val="32"/>
      <w:szCs w:val="32"/>
    </w:rPr>
  </w:style>
  <w:style w:type="paragraph" w:customStyle="1" w:styleId="TCNumberedList1">
    <w:name w:val="T&amp;C Numbered List 1"/>
    <w:basedOn w:val="Normal"/>
    <w:qFormat/>
    <w:rsid w:val="00653176"/>
    <w:pPr>
      <w:numPr>
        <w:numId w:val="38"/>
      </w:numPr>
      <w:ind w:left="540" w:hanging="540"/>
    </w:pPr>
  </w:style>
  <w:style w:type="paragraph" w:customStyle="1" w:styleId="TCNumberedList2">
    <w:name w:val="T&amp;C Numbered List 2"/>
    <w:basedOn w:val="TCNumberedList1"/>
    <w:qFormat/>
    <w:rsid w:val="00653176"/>
    <w:pPr>
      <w:numPr>
        <w:ilvl w:val="1"/>
      </w:numPr>
      <w:ind w:left="1350" w:hanging="810"/>
    </w:pPr>
  </w:style>
  <w:style w:type="paragraph" w:customStyle="1" w:styleId="TCNumberedList3">
    <w:name w:val="T&amp;C Numbered List 3"/>
    <w:basedOn w:val="Normal"/>
    <w:qFormat/>
    <w:rsid w:val="00653176"/>
    <w:pPr>
      <w:ind w:left="1080" w:hanging="540"/>
    </w:pPr>
  </w:style>
  <w:style w:type="paragraph" w:styleId="ListBullet">
    <w:name w:val="List Bullet"/>
    <w:basedOn w:val="Normal"/>
    <w:uiPriority w:val="99"/>
    <w:unhideWhenUsed/>
    <w:rsid w:val="0055336E"/>
    <w:pPr>
      <w:numPr>
        <w:numId w:val="39"/>
      </w:numPr>
      <w:contextualSpacing/>
    </w:pPr>
  </w:style>
  <w:style w:type="paragraph" w:styleId="ListNumber">
    <w:name w:val="List Number"/>
    <w:basedOn w:val="Normal"/>
    <w:uiPriority w:val="99"/>
    <w:semiHidden/>
    <w:unhideWhenUsed/>
    <w:rsid w:val="0055336E"/>
    <w:pPr>
      <w:numPr>
        <w:numId w:val="4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496">
      <w:bodyDiv w:val="1"/>
      <w:marLeft w:val="0"/>
      <w:marRight w:val="0"/>
      <w:marTop w:val="0"/>
      <w:marBottom w:val="0"/>
      <w:divBdr>
        <w:top w:val="none" w:sz="0" w:space="0" w:color="auto"/>
        <w:left w:val="none" w:sz="0" w:space="0" w:color="auto"/>
        <w:bottom w:val="none" w:sz="0" w:space="0" w:color="auto"/>
        <w:right w:val="none" w:sz="0" w:space="0" w:color="auto"/>
      </w:divBdr>
      <w:divsChild>
        <w:div w:id="1856846630">
          <w:marLeft w:val="360"/>
          <w:marRight w:val="0"/>
          <w:marTop w:val="200"/>
          <w:marBottom w:val="0"/>
          <w:divBdr>
            <w:top w:val="none" w:sz="0" w:space="0" w:color="auto"/>
            <w:left w:val="none" w:sz="0" w:space="0" w:color="auto"/>
            <w:bottom w:val="none" w:sz="0" w:space="0" w:color="auto"/>
            <w:right w:val="none" w:sz="0" w:space="0" w:color="auto"/>
          </w:divBdr>
        </w:div>
        <w:div w:id="139613900">
          <w:marLeft w:val="360"/>
          <w:marRight w:val="0"/>
          <w:marTop w:val="200"/>
          <w:marBottom w:val="0"/>
          <w:divBdr>
            <w:top w:val="none" w:sz="0" w:space="0" w:color="auto"/>
            <w:left w:val="none" w:sz="0" w:space="0" w:color="auto"/>
            <w:bottom w:val="none" w:sz="0" w:space="0" w:color="auto"/>
            <w:right w:val="none" w:sz="0" w:space="0" w:color="auto"/>
          </w:divBdr>
        </w:div>
      </w:divsChild>
    </w:div>
    <w:div w:id="190074478">
      <w:bodyDiv w:val="1"/>
      <w:marLeft w:val="0"/>
      <w:marRight w:val="0"/>
      <w:marTop w:val="0"/>
      <w:marBottom w:val="0"/>
      <w:divBdr>
        <w:top w:val="none" w:sz="0" w:space="0" w:color="auto"/>
        <w:left w:val="none" w:sz="0" w:space="0" w:color="auto"/>
        <w:bottom w:val="none" w:sz="0" w:space="0" w:color="auto"/>
        <w:right w:val="none" w:sz="0" w:space="0" w:color="auto"/>
      </w:divBdr>
      <w:divsChild>
        <w:div w:id="860975155">
          <w:marLeft w:val="360"/>
          <w:marRight w:val="0"/>
          <w:marTop w:val="200"/>
          <w:marBottom w:val="0"/>
          <w:divBdr>
            <w:top w:val="none" w:sz="0" w:space="0" w:color="auto"/>
            <w:left w:val="none" w:sz="0" w:space="0" w:color="auto"/>
            <w:bottom w:val="none" w:sz="0" w:space="0" w:color="auto"/>
            <w:right w:val="none" w:sz="0" w:space="0" w:color="auto"/>
          </w:divBdr>
        </w:div>
      </w:divsChild>
    </w:div>
    <w:div w:id="239100142">
      <w:bodyDiv w:val="1"/>
      <w:marLeft w:val="0"/>
      <w:marRight w:val="0"/>
      <w:marTop w:val="0"/>
      <w:marBottom w:val="0"/>
      <w:divBdr>
        <w:top w:val="none" w:sz="0" w:space="0" w:color="auto"/>
        <w:left w:val="none" w:sz="0" w:space="0" w:color="auto"/>
        <w:bottom w:val="none" w:sz="0" w:space="0" w:color="auto"/>
        <w:right w:val="none" w:sz="0" w:space="0" w:color="auto"/>
      </w:divBdr>
      <w:divsChild>
        <w:div w:id="656038095">
          <w:marLeft w:val="360"/>
          <w:marRight w:val="0"/>
          <w:marTop w:val="200"/>
          <w:marBottom w:val="0"/>
          <w:divBdr>
            <w:top w:val="none" w:sz="0" w:space="0" w:color="auto"/>
            <w:left w:val="none" w:sz="0" w:space="0" w:color="auto"/>
            <w:bottom w:val="none" w:sz="0" w:space="0" w:color="auto"/>
            <w:right w:val="none" w:sz="0" w:space="0" w:color="auto"/>
          </w:divBdr>
        </w:div>
      </w:divsChild>
    </w:div>
    <w:div w:id="582028007">
      <w:bodyDiv w:val="1"/>
      <w:marLeft w:val="0"/>
      <w:marRight w:val="0"/>
      <w:marTop w:val="0"/>
      <w:marBottom w:val="0"/>
      <w:divBdr>
        <w:top w:val="none" w:sz="0" w:space="0" w:color="auto"/>
        <w:left w:val="none" w:sz="0" w:space="0" w:color="auto"/>
        <w:bottom w:val="none" w:sz="0" w:space="0" w:color="auto"/>
        <w:right w:val="none" w:sz="0" w:space="0" w:color="auto"/>
      </w:divBdr>
      <w:divsChild>
        <w:div w:id="23675175">
          <w:marLeft w:val="360"/>
          <w:marRight w:val="0"/>
          <w:marTop w:val="200"/>
          <w:marBottom w:val="0"/>
          <w:divBdr>
            <w:top w:val="none" w:sz="0" w:space="0" w:color="auto"/>
            <w:left w:val="none" w:sz="0" w:space="0" w:color="auto"/>
            <w:bottom w:val="none" w:sz="0" w:space="0" w:color="auto"/>
            <w:right w:val="none" w:sz="0" w:space="0" w:color="auto"/>
          </w:divBdr>
        </w:div>
      </w:divsChild>
    </w:div>
    <w:div w:id="718699959">
      <w:bodyDiv w:val="1"/>
      <w:marLeft w:val="0"/>
      <w:marRight w:val="0"/>
      <w:marTop w:val="0"/>
      <w:marBottom w:val="0"/>
      <w:divBdr>
        <w:top w:val="none" w:sz="0" w:space="0" w:color="auto"/>
        <w:left w:val="none" w:sz="0" w:space="0" w:color="auto"/>
        <w:bottom w:val="none" w:sz="0" w:space="0" w:color="auto"/>
        <w:right w:val="none" w:sz="0" w:space="0" w:color="auto"/>
      </w:divBdr>
      <w:divsChild>
        <w:div w:id="964774351">
          <w:marLeft w:val="360"/>
          <w:marRight w:val="0"/>
          <w:marTop w:val="200"/>
          <w:marBottom w:val="0"/>
          <w:divBdr>
            <w:top w:val="none" w:sz="0" w:space="0" w:color="auto"/>
            <w:left w:val="none" w:sz="0" w:space="0" w:color="auto"/>
            <w:bottom w:val="none" w:sz="0" w:space="0" w:color="auto"/>
            <w:right w:val="none" w:sz="0" w:space="0" w:color="auto"/>
          </w:divBdr>
        </w:div>
        <w:div w:id="1872843463">
          <w:marLeft w:val="360"/>
          <w:marRight w:val="0"/>
          <w:marTop w:val="200"/>
          <w:marBottom w:val="0"/>
          <w:divBdr>
            <w:top w:val="none" w:sz="0" w:space="0" w:color="auto"/>
            <w:left w:val="none" w:sz="0" w:space="0" w:color="auto"/>
            <w:bottom w:val="none" w:sz="0" w:space="0" w:color="auto"/>
            <w:right w:val="none" w:sz="0" w:space="0" w:color="auto"/>
          </w:divBdr>
        </w:div>
      </w:divsChild>
    </w:div>
    <w:div w:id="938487266">
      <w:bodyDiv w:val="1"/>
      <w:marLeft w:val="0"/>
      <w:marRight w:val="0"/>
      <w:marTop w:val="0"/>
      <w:marBottom w:val="0"/>
      <w:divBdr>
        <w:top w:val="none" w:sz="0" w:space="0" w:color="auto"/>
        <w:left w:val="none" w:sz="0" w:space="0" w:color="auto"/>
        <w:bottom w:val="none" w:sz="0" w:space="0" w:color="auto"/>
        <w:right w:val="none" w:sz="0" w:space="0" w:color="auto"/>
      </w:divBdr>
      <w:divsChild>
        <w:div w:id="1439787714">
          <w:marLeft w:val="360"/>
          <w:marRight w:val="0"/>
          <w:marTop w:val="200"/>
          <w:marBottom w:val="0"/>
          <w:divBdr>
            <w:top w:val="none" w:sz="0" w:space="0" w:color="auto"/>
            <w:left w:val="none" w:sz="0" w:space="0" w:color="auto"/>
            <w:bottom w:val="none" w:sz="0" w:space="0" w:color="auto"/>
            <w:right w:val="none" w:sz="0" w:space="0" w:color="auto"/>
          </w:divBdr>
        </w:div>
      </w:divsChild>
    </w:div>
    <w:div w:id="1192576259">
      <w:bodyDiv w:val="1"/>
      <w:marLeft w:val="0"/>
      <w:marRight w:val="0"/>
      <w:marTop w:val="0"/>
      <w:marBottom w:val="0"/>
      <w:divBdr>
        <w:top w:val="none" w:sz="0" w:space="0" w:color="auto"/>
        <w:left w:val="none" w:sz="0" w:space="0" w:color="auto"/>
        <w:bottom w:val="none" w:sz="0" w:space="0" w:color="auto"/>
        <w:right w:val="none" w:sz="0" w:space="0" w:color="auto"/>
      </w:divBdr>
      <w:divsChild>
        <w:div w:id="1381779620">
          <w:marLeft w:val="360"/>
          <w:marRight w:val="0"/>
          <w:marTop w:val="200"/>
          <w:marBottom w:val="0"/>
          <w:divBdr>
            <w:top w:val="none" w:sz="0" w:space="0" w:color="auto"/>
            <w:left w:val="none" w:sz="0" w:space="0" w:color="auto"/>
            <w:bottom w:val="none" w:sz="0" w:space="0" w:color="auto"/>
            <w:right w:val="none" w:sz="0" w:space="0" w:color="auto"/>
          </w:divBdr>
        </w:div>
      </w:divsChild>
    </w:div>
    <w:div w:id="1413891330">
      <w:bodyDiv w:val="1"/>
      <w:marLeft w:val="0"/>
      <w:marRight w:val="0"/>
      <w:marTop w:val="0"/>
      <w:marBottom w:val="0"/>
      <w:divBdr>
        <w:top w:val="none" w:sz="0" w:space="0" w:color="auto"/>
        <w:left w:val="none" w:sz="0" w:space="0" w:color="auto"/>
        <w:bottom w:val="none" w:sz="0" w:space="0" w:color="auto"/>
        <w:right w:val="none" w:sz="0" w:space="0" w:color="auto"/>
      </w:divBdr>
      <w:divsChild>
        <w:div w:id="303974711">
          <w:marLeft w:val="360"/>
          <w:marRight w:val="0"/>
          <w:marTop w:val="200"/>
          <w:marBottom w:val="0"/>
          <w:divBdr>
            <w:top w:val="none" w:sz="0" w:space="0" w:color="auto"/>
            <w:left w:val="none" w:sz="0" w:space="0" w:color="auto"/>
            <w:bottom w:val="none" w:sz="0" w:space="0" w:color="auto"/>
            <w:right w:val="none" w:sz="0" w:space="0" w:color="auto"/>
          </w:divBdr>
        </w:div>
      </w:divsChild>
    </w:div>
    <w:div w:id="1641422249">
      <w:bodyDiv w:val="1"/>
      <w:marLeft w:val="0"/>
      <w:marRight w:val="0"/>
      <w:marTop w:val="0"/>
      <w:marBottom w:val="0"/>
      <w:divBdr>
        <w:top w:val="none" w:sz="0" w:space="0" w:color="auto"/>
        <w:left w:val="none" w:sz="0" w:space="0" w:color="auto"/>
        <w:bottom w:val="none" w:sz="0" w:space="0" w:color="auto"/>
        <w:right w:val="none" w:sz="0" w:space="0" w:color="auto"/>
      </w:divBdr>
      <w:divsChild>
        <w:div w:id="1836526594">
          <w:marLeft w:val="360"/>
          <w:marRight w:val="0"/>
          <w:marTop w:val="200"/>
          <w:marBottom w:val="0"/>
          <w:divBdr>
            <w:top w:val="none" w:sz="0" w:space="0" w:color="auto"/>
            <w:left w:val="none" w:sz="0" w:space="0" w:color="auto"/>
            <w:bottom w:val="none" w:sz="0" w:space="0" w:color="auto"/>
            <w:right w:val="none" w:sz="0" w:space="0" w:color="auto"/>
          </w:divBdr>
        </w:div>
      </w:divsChild>
    </w:div>
    <w:div w:id="1718893524">
      <w:bodyDiv w:val="1"/>
      <w:marLeft w:val="0"/>
      <w:marRight w:val="0"/>
      <w:marTop w:val="0"/>
      <w:marBottom w:val="0"/>
      <w:divBdr>
        <w:top w:val="none" w:sz="0" w:space="0" w:color="auto"/>
        <w:left w:val="none" w:sz="0" w:space="0" w:color="auto"/>
        <w:bottom w:val="none" w:sz="0" w:space="0" w:color="auto"/>
        <w:right w:val="none" w:sz="0" w:space="0" w:color="auto"/>
      </w:divBdr>
      <w:divsChild>
        <w:div w:id="730738934">
          <w:marLeft w:val="360"/>
          <w:marRight w:val="0"/>
          <w:marTop w:val="200"/>
          <w:marBottom w:val="0"/>
          <w:divBdr>
            <w:top w:val="none" w:sz="0" w:space="0" w:color="auto"/>
            <w:left w:val="none" w:sz="0" w:space="0" w:color="auto"/>
            <w:bottom w:val="none" w:sz="0" w:space="0" w:color="auto"/>
            <w:right w:val="none" w:sz="0" w:space="0" w:color="auto"/>
          </w:divBdr>
        </w:div>
      </w:divsChild>
    </w:div>
    <w:div w:id="1872452177">
      <w:bodyDiv w:val="1"/>
      <w:marLeft w:val="0"/>
      <w:marRight w:val="0"/>
      <w:marTop w:val="0"/>
      <w:marBottom w:val="0"/>
      <w:divBdr>
        <w:top w:val="none" w:sz="0" w:space="0" w:color="auto"/>
        <w:left w:val="none" w:sz="0" w:space="0" w:color="auto"/>
        <w:bottom w:val="none" w:sz="0" w:space="0" w:color="auto"/>
        <w:right w:val="none" w:sz="0" w:space="0" w:color="auto"/>
      </w:divBdr>
      <w:divsChild>
        <w:div w:id="633830558">
          <w:marLeft w:val="360"/>
          <w:marRight w:val="0"/>
          <w:marTop w:val="200"/>
          <w:marBottom w:val="0"/>
          <w:divBdr>
            <w:top w:val="none" w:sz="0" w:space="0" w:color="auto"/>
            <w:left w:val="none" w:sz="0" w:space="0" w:color="auto"/>
            <w:bottom w:val="none" w:sz="0" w:space="0" w:color="auto"/>
            <w:right w:val="none" w:sz="0" w:space="0" w:color="auto"/>
          </w:divBdr>
        </w:div>
      </w:divsChild>
    </w:div>
    <w:div w:id="1915435823">
      <w:bodyDiv w:val="1"/>
      <w:marLeft w:val="0"/>
      <w:marRight w:val="0"/>
      <w:marTop w:val="0"/>
      <w:marBottom w:val="0"/>
      <w:divBdr>
        <w:top w:val="none" w:sz="0" w:space="0" w:color="auto"/>
        <w:left w:val="none" w:sz="0" w:space="0" w:color="auto"/>
        <w:bottom w:val="none" w:sz="0" w:space="0" w:color="auto"/>
        <w:right w:val="none" w:sz="0" w:space="0" w:color="auto"/>
      </w:divBdr>
      <w:divsChild>
        <w:div w:id="184034631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skrynecki\Downloads\Mktg_AC_WordTemplate_CoverPage_Option2.dotx" TargetMode="External"/></Relationships>
</file>

<file path=word/theme/theme1.xml><?xml version="1.0" encoding="utf-8"?>
<a:theme xmlns:a="http://schemas.openxmlformats.org/drawingml/2006/main" name="Office Theme">
  <a:themeElements>
    <a:clrScheme name="Actalent">
      <a:dk1>
        <a:srgbClr val="021A32"/>
      </a:dk1>
      <a:lt1>
        <a:srgbClr val="FFFFFF"/>
      </a:lt1>
      <a:dk2>
        <a:srgbClr val="021A32"/>
      </a:dk2>
      <a:lt2>
        <a:srgbClr val="FFFFFF"/>
      </a:lt2>
      <a:accent1>
        <a:srgbClr val="021A32"/>
      </a:accent1>
      <a:accent2>
        <a:srgbClr val="C1D82F"/>
      </a:accent2>
      <a:accent3>
        <a:srgbClr val="43627D"/>
      </a:accent3>
      <a:accent4>
        <a:srgbClr val="ED4E33"/>
      </a:accent4>
      <a:accent5>
        <a:srgbClr val="63572A"/>
      </a:accent5>
      <a:accent6>
        <a:srgbClr val="46535E"/>
      </a:accent6>
      <a:hlink>
        <a:srgbClr val="ED4E33"/>
      </a:hlink>
      <a:folHlink>
        <a:srgbClr val="43627D"/>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QMS Document" ma:contentTypeID="0x0101008E8B3B176BF2DD41ADC579C9E4064E8D00706D3E2621FF2C4EB3954488F7490B23" ma:contentTypeVersion="29" ma:contentTypeDescription="" ma:contentTypeScope="" ma:versionID="9ebd72c04e12b0e4bc02a7aa6566140c">
  <xsd:schema xmlns:xsd="http://www.w3.org/2001/XMLSchema" xmlns:xs="http://www.w3.org/2001/XMLSchema" xmlns:p="http://schemas.microsoft.com/office/2006/metadata/properties" xmlns:ns2="408fa087-3027-4783-8a33-6f3e86306bd3" targetNamespace="http://schemas.microsoft.com/office/2006/metadata/properties" ma:root="true" ma:fieldsID="8b747c21f5652c023b35c6ae035e6b29" ns2:_="">
    <xsd:import namespace="408fa087-3027-4783-8a33-6f3e86306bd3"/>
    <xsd:element name="properties">
      <xsd:complexType>
        <xsd:sequence>
          <xsd:element name="documentManagement">
            <xsd:complexType>
              <xsd:all>
                <xsd:element ref="ns2:Move_x0020_To_x0020_Archive" minOccurs="0"/>
                <xsd:element ref="ns2:UpdatedDocNumber" minOccurs="0"/>
                <xsd:element ref="ns2:Updated" minOccurs="0"/>
                <xsd:element ref="ns2:Country_x0020_Designator" minOccurs="0"/>
                <xsd:element ref="ns2:Document_x0020_Type_x0020_Designator" minOccurs="0"/>
                <xsd:element ref="ns2:Document_x0020_Type_x0020_Designator_x003a_Description" minOccurs="0"/>
                <xsd:element ref="ns2:Source_x0020_Designator" minOccurs="0"/>
                <xsd:element ref="ns2:Source_x0020_Designator_x003a_Description" minOccurs="0"/>
                <xsd:element ref="ns2:EASi_x002d_QMS_x0020_Number" minOccurs="0"/>
                <xsd:element ref="ns2:Response_x0020_Summary_x003a__x0020_Group" minOccurs="0"/>
                <xsd:element ref="ns2:Response_x0020_Summary_x003a__x0020_QTeam" minOccurs="0"/>
                <xsd:element ref="ns2:Status_x0020_of_x0020_Review" minOccurs="0"/>
                <xsd:element ref="ns2:Comment" minOccurs="0"/>
                <xsd:element ref="ns2:Revision" minOccurs="0"/>
                <xsd:element ref="ns2:MediaServiceSearchProperties" minOccurs="0"/>
                <xsd:element ref="ns2:ApprovedBy" minOccurs="0"/>
                <xsd:element ref="ns2:Practices_x0020_Classification" minOccurs="0"/>
                <xsd:element ref="ns2:MediaServiceObjectDetectorVersions" minOccurs="0"/>
                <xsd:element ref="ns2:Revised_x002f_Reviewed_x0020_Date" minOccurs="0"/>
                <xsd:element ref="ns2:Document_x0020_Owner" minOccurs="0"/>
                <xsd:element ref="ns2:Approval_x0020_Status_x0020_N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fa087-3027-4783-8a33-6f3e86306bd3" elementFormDefault="qualified">
    <xsd:import namespace="http://schemas.microsoft.com/office/2006/documentManagement/types"/>
    <xsd:import namespace="http://schemas.microsoft.com/office/infopath/2007/PartnerControls"/>
    <xsd:element name="Move_x0020_To_x0020_Archive" ma:index="8" nillable="true" ma:displayName="Move To Archive" ma:format="Dropdown" ma:indexed="true" ma:internalName="Move_x0020_To_x0020_Archive">
      <xsd:simpleType>
        <xsd:restriction base="dms:Choice">
          <xsd:enumeration value="Yes, Move to Archive"/>
        </xsd:restriction>
      </xsd:simpleType>
    </xsd:element>
    <xsd:element name="UpdatedDocNumber" ma:index="9" nillable="true" ma:displayName="UpdatedDocNumber" ma:default="1" ma:format="Dropdown" ma:internalName="UpdatedDocNumber">
      <xsd:simpleType>
        <xsd:restriction base="dms:Boolean"/>
      </xsd:simpleType>
    </xsd:element>
    <xsd:element name="Updated" ma:index="10" nillable="true" ma:displayName="Updated" ma:hidden="true" ma:internalName="Updated" ma:readOnly="false">
      <xsd:simpleType>
        <xsd:restriction base="dms:Text">
          <xsd:maxLength value="255"/>
        </xsd:restriction>
      </xsd:simpleType>
    </xsd:element>
    <xsd:element name="Country_x0020_Designator" ma:index="11" nillable="true" ma:displayName="Country Designator" ma:indexed="true" ma:list="{c56a1c40-804d-448c-9ab0-d90ab81c3a20}" ma:internalName="Country_x0020_Designator" ma:showField="Title">
      <xsd:simpleType>
        <xsd:restriction base="dms:Lookup"/>
      </xsd:simpleType>
    </xsd:element>
    <xsd:element name="Document_x0020_Type_x0020_Designator" ma:index="12" nillable="true" ma:displayName="Document Type Designator" ma:indexed="true" ma:list="{3e5965eb-7315-4485-a011-b7798eeab962}" ma:internalName="Document_x0020_Type_x0020_Designator" ma:showField="Title">
      <xsd:simpleType>
        <xsd:restriction base="dms:Lookup"/>
      </xsd:simpleType>
    </xsd:element>
    <xsd:element name="Document_x0020_Type_x0020_Designator_x003a_Description" ma:index="13" nillable="true" ma:displayName="Document Type Designator:Description" ma:list="{3e5965eb-7315-4485-a011-b7798eeab962}" ma:internalName="Document_x0020_Type_x0020_Designator_x003a_Description" ma:readOnly="true" ma:showField="Description" ma:web="f1f9a30a-4d44-4d71-8fc0-57ca00f482b9">
      <xsd:simpleType>
        <xsd:restriction base="dms:Lookup"/>
      </xsd:simpleType>
    </xsd:element>
    <xsd:element name="Source_x0020_Designator" ma:index="14" nillable="true" ma:displayName="Source Designator" ma:indexed="true" ma:list="{9ab78fc6-62d8-4c0b-bf78-37144beef573}" ma:internalName="Source_x0020_Designator" ma:showField="Title">
      <xsd:simpleType>
        <xsd:restriction base="dms:Lookup"/>
      </xsd:simpleType>
    </xsd:element>
    <xsd:element name="Source_x0020_Designator_x003a_Description" ma:index="15" nillable="true" ma:displayName="Source Designator:Description" ma:list="{9ab78fc6-62d8-4c0b-bf78-37144beef573}" ma:internalName="Source_x0020_Designator_x003a_Description" ma:readOnly="true" ma:showField="Description" ma:web="f1f9a30a-4d44-4d71-8fc0-57ca00f482b9">
      <xsd:simpleType>
        <xsd:restriction base="dms:Lookup"/>
      </xsd:simpleType>
    </xsd:element>
    <xsd:element name="EASi_x002d_QMS_x0020_Number" ma:index="16" nillable="true" ma:displayName="EASi-QMS Number" ma:indexed="true" ma:internalName="EASi_x002d_QMS_x0020_Number">
      <xsd:simpleType>
        <xsd:restriction base="dms:Text">
          <xsd:maxLength value="255"/>
        </xsd:restriction>
      </xsd:simpleType>
    </xsd:element>
    <xsd:element name="Response_x0020_Summary_x003a__x0020_Group" ma:index="17" nillable="true" ma:displayName="Response Summary: Group" ma:internalName="Response_x0020_Summary_x003a__x0020_Group">
      <xsd:simpleType>
        <xsd:restriction base="dms:Text">
          <xsd:maxLength value="255"/>
        </xsd:restriction>
      </xsd:simpleType>
    </xsd:element>
    <xsd:element name="Response_x0020_Summary_x003a__x0020_QTeam" ma:index="18" nillable="true" ma:displayName="Response Summary: QTeam" ma:internalName="Response_x0020_Summary_x003a__x0020_QTeam">
      <xsd:simpleType>
        <xsd:restriction base="dms:Text">
          <xsd:maxLength value="255"/>
        </xsd:restriction>
      </xsd:simpleType>
    </xsd:element>
    <xsd:element name="Status_x0020_of_x0020_Review" ma:index="19" nillable="true" ma:displayName="Status of Review" ma:format="Dropdown" ma:internalName="Status_x0020_of_x0020_Review">
      <xsd:simpleType>
        <xsd:restriction base="dms:Choice">
          <xsd:enumeration value="Edited"/>
          <xsd:enumeration value="Reviewed"/>
          <xsd:enumeration value="QA Verification"/>
          <xsd:enumeration value="Needs Screenshot Updates"/>
        </xsd:restriction>
      </xsd:simpleType>
    </xsd:element>
    <xsd:element name="Comment" ma:index="20" nillable="true" ma:displayName="Comment" ma:internalName="Comment">
      <xsd:simpleType>
        <xsd:restriction base="dms:Note">
          <xsd:maxLength value="255"/>
        </xsd:restriction>
      </xsd:simpleType>
    </xsd:element>
    <xsd:element name="Revision" ma:index="21" nillable="true" ma:displayName="Revision" ma:decimals="0" ma:internalName="Revision" ma:readOnly="false">
      <xsd:simpleType>
        <xsd:restriction base="dms:Number"/>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ApprovedBy" ma:index="23" nillable="true" ma:displayName="Approved By" ma:format="Dropdown" ma:internalName="ApprovedBy">
      <xsd:simpleType>
        <xsd:restriction base="dms:Text">
          <xsd:maxLength value="255"/>
        </xsd:restriction>
      </xsd:simpleType>
    </xsd:element>
    <xsd:element name="Practices_x0020_Classification" ma:index="24" nillable="true" ma:displayName="Practices Classification" ma:format="Dropdown" ma:internalName="Practices_x0020_Classification">
      <xsd:simpleType>
        <xsd:restriction base="dms:Choice">
          <xsd:enumeration value="Utilities-All LOBs"/>
          <xsd:enumeration value="Utilities-Distribution"/>
          <xsd:enumeration value="Utilities-GIS"/>
          <xsd:enumeration value="Utilities-IPM - Distribution"/>
          <xsd:enumeration value="Utilities-IPM- Transmission"/>
          <xsd:enumeration value="Utilities-IPM- Transmission (P6)"/>
          <xsd:enumeration value="Utilities-Protection &amp; Control"/>
          <xsd:enumeration value="Utilities-Right of Way"/>
          <xsd:enumeration value="Utilities-Station"/>
          <xsd:enumeration value="Utilities-Telecom"/>
          <xsd:enumeration value="Utilities-TFS"/>
          <xsd:enumeration value="Utilities-T-Line"/>
          <xsd:enumeration value="Utilities-TOPS"/>
          <xsd:enumeration value="TDP-All LOBs"/>
          <xsd:enumeration value="TDP-Distribution"/>
          <xsd:enumeration value="TDP-GIS"/>
          <xsd:enumeration value="TDP-IPM - Distribution"/>
          <xsd:enumeration value="TDP-IPM- Transmission"/>
          <xsd:enumeration value="TDP-IPM- Transmission (P6)"/>
          <xsd:enumeration value="TDP-Protection &amp; Control"/>
          <xsd:enumeration value="TDP-Right of Way"/>
          <xsd:enumeration value="TDP-Station"/>
          <xsd:enumeration value="TDP-Telecom"/>
          <xsd:enumeration value="TDP-TFS"/>
          <xsd:enumeration value="TDP-T-Line"/>
          <xsd:enumeration value="TDP-TOPS"/>
          <xsd:enumeration value="EHS-Safety"/>
          <xsd:enumeration value="TDP-Substations"/>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Revised_x002f_Reviewed_x0020_Date" ma:index="26" nillable="true" ma:displayName="Revised/Reviewed Date" ma:format="DateOnly" ma:internalName="Revised_x002f_Reviewed_x0020_Date">
      <xsd:simpleType>
        <xsd:restriction base="dms:DateTime"/>
      </xsd:simpleType>
    </xsd:element>
    <xsd:element name="Document_x0020_Owner" ma:index="28" nillable="true" ma:displayName="Document Owner" ma:list="UserInfo" ma:SharePointGroup="0" ma:internalName="Document_x0020_Owner" ma:showField="Tit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al_x0020_Status_x0020_New" ma:index="29" nillable="true" ma:displayName="Approval Status New" ma:internalName="Approval_x0020_Status_x0020_New">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sponse_x0020_Summary_x003a__x0020_Group xmlns="408fa087-3027-4783-8a33-6f3e86306bd3" xsi:nil="true"/>
    <Status_x0020_of_x0020_Review xmlns="408fa087-3027-4783-8a33-6f3e86306bd3" xsi:nil="true"/>
    <Updated xmlns="408fa087-3027-4783-8a33-6f3e86306bd3" xsi:nil="true"/>
    <Revision xmlns="408fa087-3027-4783-8a33-6f3e86306bd3" xsi:nil="true"/>
    <EASi_x002d_QMS_x0020_Number xmlns="408fa087-3027-4783-8a33-6f3e86306bd3">USA-FIN-TMP-0008</EASi_x002d_QMS_x0020_Number>
    <Comment xmlns="408fa087-3027-4783-8a33-6f3e86306bd3" xsi:nil="true"/>
    <Source_x0020_Designator xmlns="408fa087-3027-4783-8a33-6f3e86306bd3">6</Source_x0020_Designator>
    <Country_x0020_Designator xmlns="408fa087-3027-4783-8a33-6f3e86306bd3">1</Country_x0020_Designator>
    <Move_x0020_To_x0020_Archive xmlns="408fa087-3027-4783-8a33-6f3e86306bd3" xsi:nil="true"/>
    <UpdatedDocNumber xmlns="408fa087-3027-4783-8a33-6f3e86306bd3">true</UpdatedDocNumber>
    <Response_x0020_Summary_x003a__x0020_QTeam xmlns="408fa087-3027-4783-8a33-6f3e86306bd3" xsi:nil="true"/>
    <Document_x0020_Type_x0020_Designator xmlns="408fa087-3027-4783-8a33-6f3e86306bd3">29</Document_x0020_Type_x0020_Designator>
    <ApprovedBy xmlns="408fa087-3027-4783-8a33-6f3e86306bd3" xsi:nil="true"/>
    <Practices_x0020_Classification xmlns="408fa087-3027-4783-8a33-6f3e86306bd3" xsi:nil="true"/>
    <Document_x0020_Owner xmlns="408fa087-3027-4783-8a33-6f3e86306bd3">
      <UserInfo>
        <DisplayName>Suller, Lindsay</DisplayName>
        <AccountId>109</AccountId>
        <AccountType/>
      </UserInfo>
    </Document_x0020_Owner>
    <Revised_x002f_Reviewed_x0020_Date xmlns="408fa087-3027-4783-8a33-6f3e86306bd3">2024-05-10T04:00:00+00:00</Revised_x002f_Reviewed_x0020_Date>
    <Approval_x0020_Status_x0020_New xmlns="408fa087-3027-4783-8a33-6f3e86306bd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4AD5F-B7E2-429A-9A94-AE3038F169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fa087-3027-4783-8a33-6f3e86306b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E347B0-F1FE-4760-B928-FF3210DFD627}">
  <ds:schemaRefs>
    <ds:schemaRef ds:uri="http://schemas.microsoft.com/office/2006/metadata/properties"/>
    <ds:schemaRef ds:uri="http://schemas.microsoft.com/office/infopath/2007/PartnerControls"/>
    <ds:schemaRef ds:uri="408fa087-3027-4783-8a33-6f3e86306bd3"/>
  </ds:schemaRefs>
</ds:datastoreItem>
</file>

<file path=customXml/itemProps3.xml><?xml version="1.0" encoding="utf-8"?>
<ds:datastoreItem xmlns:ds="http://schemas.openxmlformats.org/officeDocument/2006/customXml" ds:itemID="{2C7A8341-1A48-489A-BD8A-0DD682B89F4A}">
  <ds:schemaRefs>
    <ds:schemaRef ds:uri="http://schemas.microsoft.com/sharepoint/v3/contenttype/forms"/>
  </ds:schemaRefs>
</ds:datastoreItem>
</file>

<file path=customXml/itemProps4.xml><?xml version="1.0" encoding="utf-8"?>
<ds:datastoreItem xmlns:ds="http://schemas.openxmlformats.org/officeDocument/2006/customXml" ds:itemID="{04F39C5A-7EF7-46C8-8370-38B624FF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Mktg_AC_WordTemplate_CoverPage_Option2</Template>
  <TotalTime>14</TotalTime>
  <Pages>4</Pages>
  <Words>53</Words>
  <Characters>306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Skrynecki, Rebecca</dc:creator>
  <cp:keywords/>
  <dc:description/>
  <cp:lastModifiedBy>Akash Pandey</cp:lastModifiedBy>
  <cp:revision>3</cp:revision>
  <dcterms:created xsi:type="dcterms:W3CDTF">2025-06-30T05:31:00Z</dcterms:created>
  <dcterms:modified xsi:type="dcterms:W3CDTF">2025-06-30T06:03:00Z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0x0101008E8B3B176BF2DD41ADC579C9E4064E8D00706D3E2621FF2C4EB3954488F7490B23</vt:lpwstr>
  </property>
  <property fmtid="{D5CDD505-2E9C-101B-9397-08002B2CF9AE}" pid="3" name="DocStringNoNum">
    <vt:lpwstr>USA-FIN-TMP</vt:lpwstr>
  </property>
  <property fmtid="{D5CDD505-2E9C-101B-9397-08002B2CF9AE}" pid="4" name="DocNumberInt">
    <vt:lpwstr>0015</vt:lpwstr>
  </property>
  <property fmtid="{D5CDD505-2E9C-101B-9397-08002B2CF9AE}" pid="5" name="GrammarlyDocumentId">
    <vt:lpwstr>42c53d20-1f14-46e7-b90a-58457124f8ba</vt:lpwstr>
  </property>
</Properties>
</file>