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92C7" w14:textId="342CDB2E"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7FC0931A" w14:textId="4C0CCFE0"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4B5B3AEA" w14:textId="77777777" w:rsidR="003D1A59" w:rsidRPr="0068138C" w:rsidRDefault="003D1A59" w:rsidP="002A1E3B"/>
    <w:p w14:paraId="101B7499" w14:textId="39E2B8E7" w:rsidR="0035755C" w:rsidRDefault="0035755C" w:rsidP="0035755C">
      <w:pPr>
        <w:pStyle w:val="Position"/>
      </w:pPr>
      <w:r>
        <w:t>16/Jul/2025</w:t>
      </w:r>
      <w:r w:rsidR="002D0969"/>
      <w:r w:rsidR="00B8537A"/>
      <w:r w:rsidR="002D0969"/>
    </w:p>
    <w:p w14:paraId="36102E05" w14:textId="27ED591C" w:rsidR="0035755C" w:rsidRDefault="0035755C" w:rsidP="002A1E3B"/>
    <w:p w14:paraId="27E3047B" w14:textId="0CE5585F" w:rsidR="00577C1A" w:rsidRDefault="001C119D" w:rsidP="001C119D">
      <w:r>
        <w:t>Presented By:</w:t>
      </w:r>
    </w:p>
    <w:p w14:paraId="557BE271" w14:textId="0CAAF028" w:rsidR="001C119D" w:rsidRDefault="001C119D" w:rsidP="001C119D"/>
    <w:p w14:paraId="14CBDF9D" w14:textId="7F20D334" w:rsidR="001C119D" w:rsidRDefault="001C119D" w:rsidP="001C119D">
      <w:r>
        <w:t>Praveen, Manager</w:t>
      </w:r>
    </w:p>
    <w:p w14:paraId="29537158" w14:textId="730B81CF" w:rsidR="001C119D" w:rsidRDefault="001C119D" w:rsidP="001C119D">
      <w:r>
        <w:t>Technical Manager</w:t>
      </w:r>
    </w:p>
    <w:p w14:paraId="1B7FC927" w14:textId="1054A6D3" w:rsidR="00351936" w:rsidRDefault="00351936" w:rsidP="001C119D"/>
    <w:p w14:paraId="1A90B556" w14:textId="4C7B8A6F" w:rsidR="00351936" w:rsidRPr="003B3567" w:rsidRDefault="00351936" w:rsidP="003B3567">
      <w:pPr>
        <w:pStyle w:val="ContactInfo"/>
      </w:pPr>
      <w:r w:rsidRPr="003B3567">
        <w:t>7301 Parkway Drive, Hanover, MD 21076</w:t>
      </w:r>
    </w:p>
    <w:p w14:paraId="20F107F2" w14:textId="370E514E" w:rsidR="00351936" w:rsidRPr="003B3567" w:rsidRDefault="00351936" w:rsidP="003B3567">
      <w:pPr>
        <w:pStyle w:val="ContactInfo"/>
      </w:pPr>
      <w:r w:rsidRPr="003B3567">
        <w:t>+1 9234567892</w:t>
      </w:r>
    </w:p>
    <w:p w14:paraId="3B51F035" w14:textId="1B0AA055" w:rsidR="00351936" w:rsidRDefault="00351936" w:rsidP="003B3567">
      <w:pPr>
        <w:pStyle w:val="ContactInfo"/>
      </w:pPr>
      <w:r w:rsidRPr="003B3567">
        <w:t>pravenn@cfeynman.com</w:t>
      </w:r>
    </w:p>
    <w:p w14:paraId="01B59544" w14:textId="77777777" w:rsidR="00BC0ADD" w:rsidRPr="003B3567" w:rsidRDefault="00BC0ADD" w:rsidP="003B3567">
      <w:pPr>
        <w:pStyle w:val="ContactInfo"/>
      </w:pPr>
    </w:p>
    <w:p w14:paraId="5A197E11" w14:textId="7C27F556"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1B2E6624" w14:textId="79008D0E" w:rsidR="00A2082A" w:rsidRDefault="00A2082A" w:rsidP="000D056C"/>
    <w:p w14:paraId="25304FF8" w14:textId="59E6B969"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2A39261F" w14:textId="77777777" w:rsidTr="002B1C7D">
        <w:tc>
          <w:tcPr>
            <w:tcW w:w="2065" w:type="dxa"/>
            <w:shd w:val="clear" w:color="auto" w:fill="021A32" w:themeFill="text1"/>
          </w:tcPr>
          <w:p w14:paraId="721E83F1" w14:textId="4FBBB1A7" w:rsidR="00892736" w:rsidRPr="002B1C7D" w:rsidRDefault="00537CAB" w:rsidP="0041344F">
            <w:pPr>
              <w:pStyle w:val="TableHeader"/>
            </w:pPr>
            <w:r w:rsidRPr="0041344F">
              <w:t>Revision</w:t>
            </w:r>
          </w:p>
        </w:tc>
        <w:tc>
          <w:tcPr>
            <w:tcW w:w="1440" w:type="dxa"/>
            <w:shd w:val="clear" w:color="auto" w:fill="021A32" w:themeFill="text1"/>
          </w:tcPr>
          <w:p w14:paraId="17B8974F" w14:textId="3945CB29" w:rsidR="00892736" w:rsidRPr="002B1C7D" w:rsidRDefault="003667C5" w:rsidP="0041344F">
            <w:pPr>
              <w:pStyle w:val="TableHeader"/>
            </w:pPr>
            <w:r w:rsidRPr="002B1C7D">
              <w:t>Date</w:t>
            </w:r>
          </w:p>
        </w:tc>
        <w:tc>
          <w:tcPr>
            <w:tcW w:w="6565" w:type="dxa"/>
            <w:shd w:val="clear" w:color="auto" w:fill="021A32" w:themeFill="text1"/>
          </w:tcPr>
          <w:p w14:paraId="1F9174C3" w14:textId="54833676" w:rsidR="00892736" w:rsidRPr="002B1C7D" w:rsidRDefault="003667C5" w:rsidP="0041344F">
            <w:pPr>
              <w:pStyle w:val="TableHeader"/>
            </w:pPr>
            <w:r w:rsidRPr="002B1C7D">
              <w:t>Description of Change</w:t>
            </w:r>
          </w:p>
        </w:tc>
      </w:tr>
      <w:tr w:rsidR="00892736" w14:paraId="61F00834" w14:textId="77777777" w:rsidTr="002B1C7D">
        <w:tc>
          <w:tcPr>
            <w:tcW w:w="2065" w:type="dxa"/>
          </w:tcPr>
          <w:p w14:paraId="6D783F76" w14:textId="77645EC2" w:rsidR="00892736" w:rsidRDefault="00596377" w:rsidP="002842F2">
            <w:pPr>
              <w:pStyle w:val="TableNormalText"/>
            </w:pPr>
            <w:r>
              <w:t>1.0</w:t>
            </w:r>
          </w:p>
        </w:tc>
        <w:tc>
          <w:tcPr>
            <w:tcW w:w="1440" w:type="dxa"/>
          </w:tcPr>
          <w:p w14:paraId="392787A8" w14:textId="08AC0CFA" w:rsidR="00892736" w:rsidRDefault="001A37EF" w:rsidP="002842F2">
            <w:pPr>
              <w:pStyle w:val="TableNormalText"/>
            </w:pPr>
            <w:r>
              <w:t>XXXXX</w:t>
            </w:r>
          </w:p>
        </w:tc>
        <w:tc>
          <w:tcPr>
            <w:tcW w:w="6565" w:type="dxa"/>
          </w:tcPr>
          <w:p w14:paraId="3C8C0030" w14:textId="7975FBB7" w:rsidR="00892736" w:rsidRDefault="00596377" w:rsidP="002842F2">
            <w:pPr>
              <w:pStyle w:val="TableNormalText"/>
            </w:pPr>
            <w:r>
              <w:t>Initial Release</w:t>
            </w:r>
          </w:p>
        </w:tc>
      </w:tr>
    </w:tbl>
    <w:p w14:paraId="6FC24569" w14:textId="0AEDD19F" w:rsidR="00901DF0" w:rsidRDefault="00901DF0" w:rsidP="000D056C"/>
    <w:p w14:paraId="608F79A1" w14:textId="7B3A1084" w:rsidR="00901DF0" w:rsidRDefault="00901DF0" w:rsidP="000D056C"/>
    <w:p w14:paraId="7D98A1E5" w14:textId="43C06CD9" w:rsidR="00901DF0" w:rsidRDefault="00901DF0" w:rsidP="000D056C"/>
    <w:p w14:paraId="564E013C" w14:textId="481C9341" w:rsidR="00A2082A" w:rsidRDefault="003E3C71" w:rsidP="000D056C">
      <w:r>
        <w:rPr>
          <w:noProof/>
        </w:rPr>
        <mc:AlternateContent>
          <mc:Choice Requires="wps">
            <w:drawing>
              <wp:anchor distT="45720" distB="45720" distL="114300" distR="114300" simplePos="0" relativeHeight="251659264" behindDoc="0" locked="0" layoutInCell="1" allowOverlap="1" wp14:anchorId="23B727D0" wp14:editId="05FBE976">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B727D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B842B46"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4B5007FD" w14:textId="087CD58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37A12DAD" w14:textId="536B43CE" w:rsidR="000D056C" w:rsidRDefault="000D056C" w:rsidP="007D758E">
          <w:pPr>
            <w:pStyle w:val="TOCHeading"/>
          </w:pPr>
          <w:r>
            <w:t xml:space="preserve">Table of </w:t>
          </w:r>
          <w:r w:rsidRPr="00DE27B7">
            <w:t>Contents</w:t>
          </w:r>
        </w:p>
        <w:p w14:paraId="3D621BA4" w14:textId="20B16E46" w:rsidR="000D056C" w:rsidRDefault="00D8225E">
          <w:r>
            <w:fldChar w:fldCharType="begin"/>
          </w:r>
          <w:r>
            <w:instrText xml:space="preserve"> TOC \o "1-3" \h \z \u </w:instrText>
          </w:r>
          <w:r>
            <w:fldChar w:fldCharType="separate"/>
          </w:r>
          <w:r>
            <w:rPr>
              <w:b/>
              <w:bCs w:val="0"/>
              <w:noProof/>
            </w:rPr>
            <w:t>No table of contents entries found.</w:t>
          </w:r>
          <w:r>
            <w:rPr>
              <w:b/>
              <w:bCs w:val="0"/>
              <w:noProof/>
            </w:rPr>
            <w:fldChar w:fldCharType="end"/>
          </w:r>
        </w:p>
      </w:sdtContent>
    </w:sdt>
    <w:p w14:paraId="2C29784F" w14:textId="12481C1F" w:rsidR="00B054FC" w:rsidRDefault="00BF3E97" w:rsidP="00BF3E97">
      <w:pPr>
        <w:pStyle w:val="TOCHeading"/>
      </w:pPr>
      <w:r>
        <w:t>Table of Exhibits</w:t>
      </w:r>
    </w:p>
    <w:p w14:paraId="66761CB8" w14:textId="6426ACD3"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21C19B27" w14:textId="5C38A33F" w:rsidR="00BF3E97" w:rsidRDefault="00BF3E97" w:rsidP="0014223A">
      <w:r>
        <w:fldChar w:fldCharType="end"/>
      </w:r>
    </w:p>
    <w:p w14:paraId="4BD5457C" w14:textId="77777777" w:rsidR="00BF3E97" w:rsidRDefault="00BF3E97" w:rsidP="0014223A"/>
    <w:p w14:paraId="1B2204F8" w14:textId="1B69FB2A"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393DFD45" w14:textId="65298CD8" w:rsidR="002F254D" w:rsidRPr="00184932" w:rsidRDefault="002F254D" w:rsidP="00184932">
      <w:pPr>
        <w:pStyle w:val="ListNumber"/>
        <w:numPr>
          <w:ilvl w:val="0"/>
          <w:numId w:val="0"/>
        </w:numPr>
      </w:pPr>
    </w:p>
    <w:p>
      <w:pPr>
        <w:pStyle w:val="Heading1"/>
        <w:spacing w:before="360" w:after="120"/>
      </w:pPr>
      <w:r>
        <w:rPr>
          <w:rFonts w:ascii="Verdana" w:hAnsi="Verdana"/>
          <w:b/>
          <w:color w:val="374351"/>
          <w:sz w:val="32"/>
        </w:rPr>
        <w:t>Introduction</w:t>
      </w:r>
    </w:p>
    <w:p>
      <w:pPr>
        <w:spacing w:line="276" w:lineRule="auto" w:after="160"/>
        <w:jc w:val="both"/>
      </w:pPr>
      <w:r>
        <w:rPr>
          <w:rFonts w:ascii="Verdana" w:hAnsi="Verdana"/>
          <w:color w:val="46535E"/>
          <w:sz w:val="22"/>
        </w:rPr>
        <w:t>This Statement of Work (SOW) dated the 16th day of July, 2025 (the "Effective Date") is made and entered into by and between Danfoss, a global leader in engineering solutions corporation, having a place of business at New Jersey (the "Client") and CFeynmanCompany Services, LLC, a Maryland limited liability company, having its principal place of business at 7301 Parkway Drive, Hanover, MD 21076 ("CFeynmanCompany"); individually referenced hereafter as "Party" and collectively referenced hereafter as the "Parties".</w:t>
      </w:r>
    </w:p>
    <w:p>
      <w:pPr>
        <w:pStyle w:val="Heading1"/>
        <w:spacing w:before="360" w:after="120"/>
      </w:pPr>
      <w:r>
        <w:rPr>
          <w:rFonts w:ascii="Verdana" w:hAnsi="Verdana"/>
          <w:b/>
          <w:color w:val="374351"/>
          <w:sz w:val="32"/>
        </w:rPr>
        <w:t>Executive Summary</w:t>
      </w:r>
    </w:p>
    <w:p>
      <w:pPr>
        <w:spacing w:line="276" w:lineRule="auto" w:after="160"/>
        <w:jc w:val="both"/>
      </w:pPr>
      <w:r>
        <w:rPr>
          <w:rFonts w:ascii="Verdana" w:hAnsi="Verdana"/>
          <w:color w:val="46535E"/>
          <w:sz w:val="22"/>
        </w:rPr>
        <w:t>Danfoss is currently developing advanced firmware for a new inverter module that requires strict adherence to ISO 26262 functional safety standards. The client faces two critical challenges: completing approximately 110 safety software requirements with rigorous verification and validation (V&amp;V), and resolving CAN database (DBC) file issues that are blocking their DYNO test environment data acquisition. This project requires expertise in embedded systems, functional safety compliance, and automotive testing environments.</w:t>
      </w:r>
    </w:p>
    <w:p>
      <w:pPr>
        <w:spacing w:line="276" w:lineRule="auto" w:after="160"/>
        <w:jc w:val="both"/>
      </w:pPr>
      <w:r>
        <w:rPr>
          <w:rFonts w:ascii="Verdana" w:hAnsi="Verdana"/>
          <w:color w:val="46535E"/>
          <w:sz w:val="22"/>
        </w:rPr>
        <w:t>CFeynmanCompany proposes a three-phase approach utilizing our blended-shore delivery model. Phase 1 will be a paid discovery phase to analyze the client's code, define the actual scope of work, and deliver an initial DBC fix as a quick win. This Time &amp; Materials approach provides flexibility for a project with evolving requirements. Our India Design Center will handle the bulk V&amp;V work while our US-based consultants provide high-value functional safety guidance, ensuring optimal cost-effectiveness and expertise distribution.</w:t>
      </w:r>
    </w:p>
    <w:p>
      <w:pPr>
        <w:spacing w:line="276" w:lineRule="auto" w:after="160"/>
        <w:jc w:val="both"/>
      </w:pPr>
      <w:r>
        <w:rPr>
          <w:rFonts w:ascii="Verdana" w:hAnsi="Verdana"/>
          <w:color w:val="46535E"/>
          <w:sz w:val="22"/>
        </w:rPr>
        <w:t>The engagement will be managed through a collaborative extended-team model with clearly defined governance processes and escalation procedures. Our US team will provide functional safety oversight and coordinate with client stakeholders, while the India team executes the detailed implementation and V&amp;V activities. This structure ensures seamless project coordination while maintaining the highest quality standards for safety-critical software development.</w:t>
      </w:r>
    </w:p>
    <w:p>
      <w:pPr>
        <w:pStyle w:val="Heading1"/>
        <w:spacing w:before="360" w:after="120"/>
      </w:pPr>
      <w:r>
        <w:rPr>
          <w:rFonts w:ascii="Verdana" w:hAnsi="Verdana"/>
          <w:b/>
          <w:color w:val="374351"/>
          <w:sz w:val="32"/>
        </w:rPr>
        <w:t>Scope of Work</w:t>
      </w:r>
    </w:p>
    <w:p>
      <w:pPr>
        <w:spacing w:line="276" w:lineRule="auto" w:after="160"/>
        <w:jc w:val="both"/>
      </w:pPr>
      <w:r>
        <w:rPr>
          <w:rFonts w:ascii="Verdana" w:hAnsi="Verdana"/>
          <w:color w:val="46535E"/>
          <w:sz w:val="22"/>
        </w:rPr>
        <w:t>This section lists the project requirements that must be met and describes these requirements as CFeynmanCompany understands them. The project is structured as a three-phase approach with Phase 1 serving as a paid discovery phase to de-risk the engagement and define the complete scope for subsequent phases.</w:t>
      </w:r>
    </w:p>
    <w:p>
      <w:pPr>
        <w:pStyle w:val="Heading2"/>
        <w:spacing w:before="240" w:after="120"/>
      </w:pPr>
      <w:r>
        <w:rPr>
          <w:rFonts w:ascii="Verdana" w:hAnsi="Verdana"/>
          <w:b/>
          <w:color w:val="43627D"/>
          <w:sz w:val="27"/>
        </w:rPr>
        <w:t>Project Requirements</w:t>
      </w:r>
    </w:p>
    <w:p>
      <w:pPr>
        <w:spacing w:line="276" w:lineRule="auto" w:after="160"/>
        <w:jc w:val="both"/>
      </w:pPr>
      <w:r>
        <w:rPr>
          <w:rFonts w:ascii="Verdana" w:hAnsi="Verdana"/>
          <w:color w:val="46535E"/>
          <w:sz w:val="22"/>
        </w:rPr>
        <w:t>This subsection lists all the Client project requirements as understood by CFeynmanCompany:</w:t>
      </w:r>
    </w:p>
    <w:p>
      <w:pPr>
        <w:pStyle w:val="ListNumber"/>
        <w:spacing w:before="160"/>
        <w:jc w:val="left"/>
        <w:numPr>
          <w:numId w:val="4824"/>
          <w:ilvl w:val="0"/>
          <w:numRestart w:val="1"/>
        </w:numPr>
      </w:pPr>
      <w:r>
        <w:rPr>
          <w:rFonts w:ascii="Verdana" w:hAnsi="Verdana"/>
          <w:sz w:val="22"/>
        </w:rPr>
        <w:t>Implement approximately 110 remaining safety software requirements in compliance with ISO 26262-6 standard</w:t>
      </w:r>
    </w:p>
    <w:p>
      <w:pPr>
        <w:pStyle w:val="ListNumber"/>
        <w:jc w:val="left"/>
        <w:numPr>
          <w:numId w:val="4824"/>
          <w:ilvl w:val="0"/>
        </w:numPr>
      </w:pPr>
      <w:r>
        <w:rPr>
          <w:rFonts w:ascii="Verdana" w:hAnsi="Verdana"/>
          <w:sz w:val="22"/>
        </w:rPr>
        <w:t>Refactor existing codebase to align with Danfoss specified TSC (Technical Safety Concept) Architecture</w:t>
      </w:r>
    </w:p>
    <w:p>
      <w:pPr>
        <w:pStyle w:val="ListNumber"/>
        <w:jc w:val="left"/>
        <w:numPr>
          <w:numId w:val="4824"/>
          <w:ilvl w:val="0"/>
        </w:numPr>
      </w:pPr>
      <w:r>
        <w:rPr>
          <w:rFonts w:ascii="Verdana" w:hAnsi="Verdana"/>
          <w:sz w:val="22"/>
        </w:rPr>
        <w:t>Create comprehensive architectural and detailed design documents serving as evidence for the safety lifecycle</w:t>
      </w:r>
    </w:p>
    <w:p>
      <w:pPr>
        <w:pStyle w:val="ListNumber"/>
        <w:jc w:val="left"/>
        <w:numPr>
          <w:numId w:val="4824"/>
          <w:ilvl w:val="0"/>
        </w:numPr>
      </w:pPr>
      <w:r>
        <w:rPr>
          <w:rFonts w:ascii="Verdana" w:hAnsi="Verdana"/>
          <w:sz w:val="22"/>
        </w:rPr>
        <w:t>Develop and execute unit tests to achieve required code coverage metrics (Statement, Branch, MC/DC)</w:t>
      </w:r>
    </w:p>
    <w:p>
      <w:pPr>
        <w:pStyle w:val="ListNumber"/>
        <w:jc w:val="left"/>
        <w:numPr>
          <w:numId w:val="4824"/>
          <w:ilvl w:val="0"/>
        </w:numPr>
      </w:pPr>
      <w:r>
        <w:rPr>
          <w:rFonts w:ascii="Verdana" w:hAnsi="Verdana"/>
          <w:sz w:val="22"/>
        </w:rPr>
        <w:t>Perform bench-level integration and requirement-based testing on physical bench setup</w:t>
      </w:r>
    </w:p>
    <w:p>
      <w:pPr>
        <w:pStyle w:val="ListNumber"/>
        <w:jc w:val="left"/>
        <w:numPr>
          <w:numId w:val="4824"/>
          <w:ilvl w:val="0"/>
        </w:numPr>
      </w:pPr>
      <w:r>
        <w:rPr>
          <w:rFonts w:ascii="Verdana" w:hAnsi="Verdana"/>
          <w:sz w:val="22"/>
        </w:rPr>
        <w:t>Conduct remote HIL testing including fault insertion tests to validate safety mechanism effectiveness</w:t>
      </w:r>
    </w:p>
    <w:p>
      <w:pPr>
        <w:pStyle w:val="ListNumber"/>
        <w:jc w:val="left"/>
        <w:numPr>
          <w:numId w:val="4824"/>
          <w:ilvl w:val="0"/>
        </w:numPr>
      </w:pPr>
      <w:r>
        <w:rPr>
          <w:rFonts w:ascii="Verdana" w:hAnsi="Verdana"/>
          <w:sz w:val="22"/>
        </w:rPr>
        <w:t>Investigate and resolve CAN database (DBC) file issues causing DYNO test environment data acquisition failures</w:t>
      </w:r>
    </w:p>
    <w:p>
      <w:pPr>
        <w:pStyle w:val="ListNumber"/>
        <w:jc w:val="left"/>
        <w:numPr>
          <w:numId w:val="4824"/>
          <w:ilvl w:val="0"/>
        </w:numPr>
      </w:pPr>
      <w:r>
        <w:rPr>
          <w:rFonts w:ascii="Verdana" w:hAnsi="Verdana"/>
          <w:sz w:val="22"/>
        </w:rPr>
        <w:t>Consolidate, update, and rationalize multiple existing DBC files into master DBCs compatible with DYNO data acquisition module</w:t>
      </w:r>
    </w:p>
    <w:p>
      <w:pPr>
        <w:pStyle w:val="Heading2"/>
        <w:spacing w:before="240" w:after="120"/>
      </w:pPr>
      <w:r>
        <w:rPr>
          <w:rFonts w:ascii="Verdana" w:hAnsi="Verdana"/>
          <w:b/>
          <w:color w:val="43627D"/>
          <w:sz w:val="27"/>
        </w:rPr>
        <w:t>Assumptions</w:t>
      </w:r>
    </w:p>
    <w:p>
      <w:pPr>
        <w:spacing w:line="276" w:lineRule="auto" w:after="160"/>
        <w:jc w:val="both"/>
      </w:pPr>
      <w:r>
        <w:rPr>
          <w:rFonts w:ascii="Verdana" w:hAnsi="Verdana"/>
          <w:color w:val="46535E"/>
          <w:sz w:val="22"/>
        </w:rPr>
        <w:t>This subsection describes assumptions identified for the completion of this project:</w:t>
      </w:r>
    </w:p>
    <w:p>
      <w:pPr>
        <w:pStyle w:val="ListBullet"/>
        <w:jc w:val="left"/>
      </w:pPr>
      <w:r>
        <w:rPr>
          <w:rFonts w:ascii="Verdana" w:hAnsi="Verdana"/>
          <w:sz w:val="22"/>
        </w:rPr>
        <w:t>Client will provide two complete hardware kits with harnesses, shipped to CFeynmanCompany India center at client's expense</w:t>
      </w:r>
    </w:p>
    <w:p>
      <w:pPr>
        <w:pStyle w:val="ListBullet"/>
        <w:jc w:val="left"/>
      </w:pPr>
      <w:r>
        <w:rPr>
          <w:rFonts w:ascii="Verdana" w:hAnsi="Verdana"/>
          <w:sz w:val="22"/>
        </w:rPr>
        <w:t>Client will provide uninterrupted remote access to a stable, pre-configured HIL system</w:t>
      </w:r>
    </w:p>
    <w:p>
      <w:pPr>
        <w:pStyle w:val="ListBullet"/>
        <w:jc w:val="left"/>
      </w:pPr>
      <w:r>
        <w:rPr>
          <w:rFonts w:ascii="Verdana" w:hAnsi="Verdana"/>
          <w:sz w:val="22"/>
        </w:rPr>
        <w:t>Client will provide a configured laptop ready for development work to minimize setup time</w:t>
      </w:r>
    </w:p>
    <w:p>
      <w:pPr>
        <w:pStyle w:val="ListBullet"/>
        <w:jc w:val="left"/>
      </w:pPr>
      <w:r>
        <w:rPr>
          <w:rFonts w:ascii="Verdana" w:hAnsi="Verdana"/>
          <w:sz w:val="22"/>
        </w:rPr>
        <w:t>Client subject matter experts will be available for timely clarifications and technical reviews</w:t>
      </w:r>
    </w:p>
    <w:p>
      <w:pPr>
        <w:pStyle w:val="ListBullet"/>
        <w:jc w:val="left"/>
      </w:pPr>
      <w:r>
        <w:rPr>
          <w:rFonts w:ascii="Verdana" w:hAnsi="Verdana"/>
          <w:sz w:val="22"/>
        </w:rPr>
        <w:t>The actual scope of code refactoring will be determined during Phase 1 discovery</w:t>
      </w:r>
    </w:p>
    <w:p>
      <w:pPr>
        <w:pStyle w:val="ListBullet"/>
        <w:jc w:val="left"/>
      </w:pPr>
      <w:r>
        <w:rPr>
          <w:rFonts w:ascii="Verdana" w:hAnsi="Verdana"/>
          <w:sz w:val="22"/>
        </w:rPr>
        <w:t>Root cause analysis of DBC issues may reveal additional system integration challenges</w:t>
      </w:r>
    </w:p>
    <w:p>
      <w:pPr>
        <w:pStyle w:val="ListBullet"/>
        <w:jc w:val="left"/>
      </w:pPr>
      <w:r>
        <w:rPr>
          <w:rFonts w:ascii="Verdana" w:hAnsi="Verdana"/>
          <w:sz w:val="22"/>
        </w:rPr>
        <w:t>All tool licenses (Vector Cast, PC-LINT, etc.) will be client's financial responsibility</w:t>
      </w:r>
    </w:p>
    <w:p>
      <w:pPr>
        <w:pStyle w:val="ListBullet"/>
        <w:jc w:val="left"/>
      </w:pPr>
      <w:r>
        <w:rPr>
          <w:rFonts w:ascii="Verdana" w:hAnsi="Verdana"/>
          <w:sz w:val="22"/>
        </w:rPr>
        <w:t>Project timeline assumes no major changes to client's TSC architecture during implementation</w:t>
      </w:r>
    </w:p>
    <w:p>
      <w:pPr>
        <w:pStyle w:val="Heading2"/>
        <w:spacing w:before="240" w:after="120"/>
      </w:pPr>
      <w:r>
        <w:rPr>
          <w:rFonts w:ascii="Verdana" w:hAnsi="Verdana"/>
          <w:b/>
          <w:color w:val="43627D"/>
          <w:sz w:val="27"/>
        </w:rPr>
        <w:t>Methodology or Approach</w:t>
      </w:r>
    </w:p>
    <w:p>
      <w:pPr>
        <w:spacing w:line="276" w:lineRule="auto" w:after="160"/>
        <w:jc w:val="both"/>
      </w:pPr>
      <w:r>
        <w:rPr>
          <w:rFonts w:ascii="Verdana" w:hAnsi="Verdana"/>
          <w:color w:val="46535E"/>
          <w:sz w:val="22"/>
        </w:rPr>
        <w:t>CFeynmanCompany proposes a three-phase implementation approach designed to mitigate risk and ensure successful project delivery:</w:t>
      </w:r>
    </w:p>
    <w:p>
      <w:pPr>
        <w:spacing w:line="276" w:lineRule="auto" w:after="160"/>
        <w:jc w:val="both"/>
      </w:pPr>
      <w:r>
        <w:rPr>
          <w:rFonts w:ascii="Verdana" w:hAnsi="Verdana"/>
          <w:color w:val="46535E"/>
          <w:sz w:val="22"/>
        </w:rPr>
        <w:t>**Phase 1 - Discovery and Gap Analysis (Time &amp; Materials):** This critical de-risking phase involves comprehensive analysis of the existing codebase, root cause investigation of DBC issues, and delivery of an initial DBC fix as a quick win. The phase will produce a detailed scope definition for subsequent phases and identify any additional requirements or challenges not evident in the initial assessment.</w:t>
      </w:r>
    </w:p>
    <w:p>
      <w:pPr>
        <w:spacing w:line="276" w:lineRule="auto" w:after="160"/>
        <w:jc w:val="both"/>
      </w:pPr>
      <w:r>
        <w:rPr>
          <w:rFonts w:ascii="Verdana" w:hAnsi="Verdana"/>
          <w:color w:val="46535E"/>
          <w:sz w:val="22"/>
        </w:rPr>
        <w:t>**Phases 2 &amp; 3 - Implementation and V&amp;V (Indicative):** These phases will focus on the bulk implementation of safety requirements, code refactoring, and comprehensive verification and validation activities. The scope and approach for these phases are indicative only and will be formally defined based on Phase 1 outputs. This approach provides flexibility to accommodate discoveries made during the initial analysis.</w:t>
      </w:r>
    </w:p>
    <w:p>
      <w:pPr>
        <w:spacing w:line="276" w:lineRule="auto" w:after="160"/>
        <w:jc w:val="both"/>
      </w:pPr>
      <w:r>
        <w:rPr>
          <w:rFonts w:ascii="Verdana" w:hAnsi="Verdana"/>
          <w:color w:val="46535E"/>
          <w:sz w:val="22"/>
        </w:rPr>
        <w:t>The methodology leverages CFeynmanCompany's blended-shore model with India Design Center resources performing detailed implementation and testing activities under the guidance of US-based functional safety experts. This approach ensures cost-effective delivery while maintaining the highest technical standards required for ISO 26262 compliance.</w:t>
      </w:r>
    </w:p>
    <w:p>
      <w:pPr>
        <w:pStyle w:val="Heading2"/>
        <w:spacing w:before="240" w:after="120"/>
      </w:pPr>
      <w:r>
        <w:rPr>
          <w:rFonts w:ascii="Verdana" w:hAnsi="Verdana"/>
          <w:b/>
          <w:color w:val="43627D"/>
          <w:sz w:val="27"/>
        </w:rPr>
        <w:t>Engineering System Design</w:t>
      </w:r>
    </w:p>
    <w:p>
      <w:pPr>
        <w:spacing w:line="276" w:lineRule="auto" w:after="160"/>
        <w:jc w:val="both"/>
      </w:pPr>
      <w:r>
        <w:rPr>
          <w:rFonts w:ascii="Verdana" w:hAnsi="Verdana"/>
          <w:color w:val="46535E"/>
          <w:sz w:val="22"/>
        </w:rPr>
        <w:t>The engineering system design encompasses the safety-critical inverter firmware architecture aligned with ISO 26262 requirements. The system involves a Safety CPU implementation with embedded safety functions, CAN communication interfaces, and comprehensive testing environments including bench-level and HIL configurations. The detailed system architecture and component relationships will be documented during Phase 1 and refined throughout the implementation phases.</w:t>
      </w:r>
    </w:p>
    <w:p>
      <w:pPr>
        <w:pStyle w:val="Heading2"/>
        <w:spacing w:before="240" w:after="120"/>
      </w:pPr>
      <w:r>
        <w:rPr>
          <w:rFonts w:ascii="Verdana" w:hAnsi="Verdana"/>
          <w:b/>
          <w:color w:val="43627D"/>
          <w:sz w:val="27"/>
        </w:rPr>
        <w:t>Acceptance Criteria</w:t>
      </w:r>
    </w:p>
    <w:p>
      <w:pPr>
        <w:spacing w:line="276" w:lineRule="auto" w:after="160"/>
        <w:jc w:val="both"/>
      </w:pPr>
      <w:r>
        <w:rPr>
          <w:rFonts w:ascii="Verdana" w:hAnsi="Verdana"/>
          <w:color w:val="46535E"/>
          <w:sz w:val="22"/>
        </w:rPr>
        <w:t>This section identifies and describes the conditions that must be met for acceptance by the Client:</w:t>
      </w:r>
    </w:p>
    <w:p>
      <w:pPr>
        <w:pStyle w:val="ListBullet"/>
        <w:jc w:val="left"/>
      </w:pPr>
      <w:r>
        <w:rPr>
          <w:rFonts w:ascii="Verdana" w:hAnsi="Verdana"/>
          <w:sz w:val="22"/>
        </w:rPr>
        <w:t>All deliverables must pass client technical review and meet ISO 26262 compliance requirements</w:t>
      </w:r>
    </w:p>
    <w:p>
      <w:pPr>
        <w:pStyle w:val="ListBullet"/>
        <w:jc w:val="left"/>
      </w:pPr>
      <w:r>
        <w:rPr>
          <w:rFonts w:ascii="Verdana" w:hAnsi="Verdana"/>
          <w:sz w:val="22"/>
        </w:rPr>
        <w:t>Software implementations must achieve specified code coverage metrics (Statement, Branch, MC/DC) as defined in the safety plan</w:t>
      </w:r>
    </w:p>
    <w:p>
      <w:pPr>
        <w:pStyle w:val="ListBullet"/>
        <w:jc w:val="left"/>
      </w:pPr>
      <w:r>
        <w:rPr>
          <w:rFonts w:ascii="Verdana" w:hAnsi="Verdana"/>
          <w:sz w:val="22"/>
        </w:rPr>
        <w:t>DBC files must successfully enable data acquisition in the DYNO test environment without errors</w:t>
      </w:r>
    </w:p>
    <w:p>
      <w:pPr>
        <w:pStyle w:val="ListBullet"/>
        <w:jc w:val="left"/>
      </w:pPr>
      <w:r>
        <w:rPr>
          <w:rFonts w:ascii="Verdana" w:hAnsi="Verdana"/>
          <w:sz w:val="22"/>
        </w:rPr>
        <w:t>Unit test results must demonstrate compliance with safety requirements and achieve required coverage thresholds</w:t>
      </w:r>
    </w:p>
    <w:p>
      <w:pPr>
        <w:pStyle w:val="ListBullet"/>
        <w:jc w:val="left"/>
      </w:pPr>
      <w:r>
        <w:rPr>
          <w:rFonts w:ascii="Verdana" w:hAnsi="Verdana"/>
          <w:sz w:val="22"/>
        </w:rPr>
        <w:t>HIL test results must validate safety mechanism effectiveness including successful fault insertion tests</w:t>
      </w:r>
    </w:p>
    <w:p>
      <w:pPr>
        <w:pStyle w:val="ListBullet"/>
        <w:jc w:val="left"/>
      </w:pPr>
      <w:r>
        <w:rPr>
          <w:rFonts w:ascii="Verdana" w:hAnsi="Verdana"/>
          <w:sz w:val="22"/>
        </w:rPr>
        <w:t>All documentation must be complete, accurate, and suitable for safety lifecycle evidence</w:t>
      </w:r>
    </w:p>
    <w:p>
      <w:pPr>
        <w:pStyle w:val="ListBullet"/>
        <w:jc w:val="left"/>
      </w:pPr>
      <w:r>
        <w:rPr>
          <w:rFonts w:ascii="Verdana" w:hAnsi="Verdana"/>
          <w:sz w:val="22"/>
        </w:rPr>
        <w:t>Deliverables are subject to Client review and will be deemed accepted if no written objections are received within 15 calendar days of submission</w:t>
      </w:r>
    </w:p>
    <w:p>
      <w:pPr>
        <w:pStyle w:val="ListBullet"/>
        <w:jc w:val="left"/>
      </w:pPr>
      <w:r>
        <w:rPr>
          <w:rFonts w:ascii="Verdana" w:hAnsi="Verdana"/>
          <w:sz w:val="22"/>
        </w:rPr>
        <w:t>Any deliverable requiring client sign-off must receive formal written acceptance or be considered accepted per the 15-day deemed acceptance clause</w:t>
      </w:r>
    </w:p>
    <w:p>
      <w:pPr>
        <w:pStyle w:val="Heading1"/>
        <w:spacing w:before="360" w:after="120"/>
      </w:pPr>
      <w:r>
        <w:rPr>
          <w:rFonts w:ascii="Verdana" w:hAnsi="Verdana"/>
          <w:b/>
          <w:color w:val="374351"/>
          <w:sz w:val="32"/>
        </w:rPr>
        <w:t>Assets/Information Required</w:t>
      </w:r>
    </w:p>
    <w:p>
      <w:pPr>
        <w:spacing w:line="276" w:lineRule="auto" w:after="160"/>
        <w:jc w:val="both"/>
      </w:pPr>
      <w:r>
        <w:rPr>
          <w:rFonts w:ascii="Verdana" w:hAnsi="Verdana"/>
          <w:color w:val="46535E"/>
          <w:sz w:val="22"/>
        </w:rPr>
        <w:t>This section identifies and describes the required assets, information, and tools required from the Client to complete the project:</w:t>
      </w:r>
    </w:p>
    <w:p>
      <w:pPr>
        <w:pStyle w:val="ListNumber"/>
        <w:spacing w:before="160"/>
        <w:jc w:val="left"/>
        <w:numPr>
          <w:numId w:val="7599"/>
          <w:ilvl w:val="0"/>
          <w:numRestart w:val="1"/>
        </w:numPr>
      </w:pPr>
      <w:r>
        <w:rPr>
          <w:rFonts w:ascii="Verdana" w:hAnsi="Verdana"/>
          <w:sz w:val="22"/>
        </w:rPr>
        <w:t>Two complete hardware kits with harnesses, shipped to CFeynmanCompany India Design Center at client expense</w:t>
      </w:r>
    </w:p>
    <w:p>
      <w:pPr>
        <w:pStyle w:val="ListNumber"/>
        <w:jc w:val="left"/>
        <w:numPr>
          <w:numId w:val="7599"/>
          <w:ilvl w:val="0"/>
        </w:numPr>
      </w:pPr>
      <w:r>
        <w:rPr>
          <w:rFonts w:ascii="Verdana" w:hAnsi="Verdana"/>
          <w:sz w:val="22"/>
        </w:rPr>
        <w:t>Pre-configured development laptop ready for immediate use to minimize billable setup time</w:t>
      </w:r>
    </w:p>
    <w:p>
      <w:pPr>
        <w:pStyle w:val="ListNumber"/>
        <w:jc w:val="left"/>
        <w:numPr>
          <w:numId w:val="7599"/>
          <w:ilvl w:val="0"/>
        </w:numPr>
      </w:pPr>
      <w:r>
        <w:rPr>
          <w:rFonts w:ascii="Verdana" w:hAnsi="Verdana"/>
          <w:sz w:val="22"/>
        </w:rPr>
        <w:t>Uninterrupted remote access to stable, pre-configured HIL system with necessary user credentials</w:t>
      </w:r>
    </w:p>
    <w:p>
      <w:pPr>
        <w:pStyle w:val="ListNumber"/>
        <w:jc w:val="left"/>
        <w:numPr>
          <w:numId w:val="7599"/>
          <w:ilvl w:val="0"/>
        </w:numPr>
      </w:pPr>
      <w:r>
        <w:rPr>
          <w:rFonts w:ascii="Verdana" w:hAnsi="Verdana"/>
          <w:sz w:val="22"/>
        </w:rPr>
        <w:t>Complete access to existing codebase, technical specifications, and TSC architecture documentation</w:t>
      </w:r>
    </w:p>
    <w:p>
      <w:pPr>
        <w:pStyle w:val="ListNumber"/>
        <w:jc w:val="left"/>
        <w:numPr>
          <w:numId w:val="7599"/>
          <w:ilvl w:val="0"/>
        </w:numPr>
      </w:pPr>
      <w:r>
        <w:rPr>
          <w:rFonts w:ascii="Verdana" w:hAnsi="Verdana"/>
          <w:sz w:val="22"/>
        </w:rPr>
        <w:t>Current DBC files and data acquisition system configuration details for root cause analysis</w:t>
      </w:r>
    </w:p>
    <w:p>
      <w:pPr>
        <w:pStyle w:val="ListNumber"/>
        <w:jc w:val="left"/>
        <w:numPr>
          <w:numId w:val="7599"/>
          <w:ilvl w:val="0"/>
        </w:numPr>
      </w:pPr>
      <w:r>
        <w:rPr>
          <w:rFonts w:ascii="Verdana" w:hAnsi="Verdana"/>
          <w:sz w:val="22"/>
        </w:rPr>
        <w:t>Access to subject matter experts for technical clarifications and requirement reviews</w:t>
      </w:r>
    </w:p>
    <w:p>
      <w:pPr>
        <w:pStyle w:val="ListNumber"/>
        <w:jc w:val="left"/>
        <w:numPr>
          <w:numId w:val="7599"/>
          <w:ilvl w:val="0"/>
        </w:numPr>
      </w:pPr>
      <w:r>
        <w:rPr>
          <w:rFonts w:ascii="Verdana" w:hAnsi="Verdana"/>
          <w:sz w:val="22"/>
        </w:rPr>
        <w:t>Safety plan documentation including code coverage requirements and testing protocols</w:t>
      </w:r>
    </w:p>
    <w:p>
      <w:pPr>
        <w:pStyle w:val="ListNumber"/>
        <w:jc w:val="left"/>
        <w:numPr>
          <w:numId w:val="7599"/>
          <w:ilvl w:val="0"/>
        </w:numPr>
      </w:pPr>
      <w:r>
        <w:rPr>
          <w:rFonts w:ascii="Verdana" w:hAnsi="Verdana"/>
          <w:sz w:val="22"/>
        </w:rPr>
        <w:t>Client escalation contact information for urgent technical decisions and approvals</w:t>
      </w:r>
    </w:p>
    <w:p>
      <w:pPr>
        <w:pStyle w:val="ListNumber"/>
        <w:jc w:val="left"/>
        <w:numPr>
          <w:numId w:val="7599"/>
          <w:ilvl w:val="0"/>
        </w:numPr>
      </w:pPr>
      <w:r>
        <w:rPr>
          <w:rFonts w:ascii="Verdana" w:hAnsi="Verdana"/>
          <w:sz w:val="22"/>
        </w:rPr>
        <w:t>Network access and VPN credentials for secure communication and file sharing</w:t>
      </w:r>
    </w:p>
    <w:p>
      <w:pPr>
        <w:pStyle w:val="ListNumber"/>
        <w:jc w:val="left"/>
        <w:numPr>
          <w:numId w:val="7599"/>
          <w:ilvl w:val="0"/>
        </w:numPr>
      </w:pPr>
      <w:r>
        <w:rPr>
          <w:rFonts w:ascii="Verdana" w:hAnsi="Verdana"/>
          <w:sz w:val="22"/>
        </w:rPr>
        <w:t>Tool licenses for Vector Cast, PC-LINT, and other required development/testing tools (client financial responsibility)</w:t>
      </w:r>
    </w:p>
    <w:p>
      <w:pPr>
        <w:pStyle w:val="Heading1"/>
        <w:spacing w:before="360" w:after="120"/>
      </w:pPr>
      <w:r>
        <w:rPr>
          <w:rFonts w:ascii="Verdana" w:hAnsi="Verdana"/>
          <w:b/>
          <w:color w:val="374351"/>
          <w:sz w:val="32"/>
        </w:rPr>
        <w:t>Governance and Review</w:t>
      </w:r>
    </w:p>
    <w:p>
      <w:pPr>
        <w:spacing w:line="276" w:lineRule="auto" w:after="160"/>
        <w:jc w:val="both"/>
      </w:pPr>
      <w:r>
        <w:rPr>
          <w:rFonts w:ascii="Verdana" w:hAnsi="Verdana"/>
          <w:color w:val="46535E"/>
          <w:sz w:val="22"/>
        </w:rPr>
        <w:t>This section addresses the governance and review applied towards the completion of this project including status reporting, milestone reviews, and quality gates:</w:t>
      </w:r>
    </w:p>
    <w:p>
      <w:pPr>
        <w:pStyle w:val="ListBullet"/>
        <w:jc w:val="left"/>
      </w:pPr>
      <w:r>
        <w:rPr>
          <w:rFonts w:ascii="Verdana" w:hAnsi="Verdana"/>
          <w:sz w:val="22"/>
        </w:rPr>
        <w:t>Weekly status meetings with client stakeholders to review progress, risks, and upcoming milestones</w:t>
      </w:r>
    </w:p>
    <w:p>
      <w:pPr>
        <w:pStyle w:val="ListBullet"/>
        <w:jc w:val="left"/>
      </w:pPr>
      <w:r>
        <w:rPr>
          <w:rFonts w:ascii="Verdana" w:hAnsi="Verdana"/>
          <w:sz w:val="22"/>
        </w:rPr>
        <w:t>Bi-weekly milestone reviews for major deliverable completion and technical checkpoints</w:t>
      </w:r>
    </w:p>
    <w:p>
      <w:pPr>
        <w:pStyle w:val="ListBullet"/>
        <w:jc w:val="left"/>
      </w:pPr>
      <w:r>
        <w:rPr>
          <w:rFonts w:ascii="Verdana" w:hAnsi="Verdana"/>
          <w:sz w:val="22"/>
        </w:rPr>
        <w:t>15-day review period for all deliverables with deemed acceptance if no written objections received</w:t>
      </w:r>
    </w:p>
    <w:p>
      <w:pPr>
        <w:pStyle w:val="ListBullet"/>
        <w:jc w:val="left"/>
      </w:pPr>
      <w:r>
        <w:rPr>
          <w:rFonts w:ascii="Verdana" w:hAnsi="Verdana"/>
          <w:sz w:val="22"/>
        </w:rPr>
        <w:t>Escalation procedures for technical decisions requiring client SME input or approval</w:t>
      </w:r>
    </w:p>
    <w:p>
      <w:pPr>
        <w:pStyle w:val="ListBullet"/>
        <w:jc w:val="left"/>
      </w:pPr>
      <w:r>
        <w:rPr>
          <w:rFonts w:ascii="Verdana" w:hAnsi="Verdana"/>
          <w:sz w:val="22"/>
        </w:rPr>
        <w:t>Quality gates for code reviews, testing completion, and documentation accuracy before deliverable submission</w:t>
      </w:r>
    </w:p>
    <w:p>
      <w:pPr>
        <w:pStyle w:val="ListBullet"/>
        <w:jc w:val="left"/>
      </w:pPr>
      <w:r>
        <w:rPr>
          <w:rFonts w:ascii="Verdana" w:hAnsi="Verdana"/>
          <w:sz w:val="22"/>
        </w:rPr>
        <w:t>Change Order process triggered at 80% of estimated budget burn to manage scope and cost expectations</w:t>
      </w:r>
    </w:p>
    <w:p>
      <w:pPr>
        <w:pStyle w:val="ListBullet"/>
        <w:jc w:val="left"/>
      </w:pPr>
      <w:r>
        <w:rPr>
          <w:rFonts w:ascii="Verdana" w:hAnsi="Verdana"/>
          <w:sz w:val="22"/>
        </w:rPr>
        <w:t>Monthly executive summary reports highlighting overall project health, risks, and recommendations</w:t>
      </w:r>
    </w:p>
    <w:p>
      <w:pPr>
        <w:pStyle w:val="Heading1"/>
        <w:spacing w:before="360" w:after="120"/>
      </w:pPr>
      <w:r>
        <w:rPr>
          <w:rFonts w:ascii="Verdana" w:hAnsi="Verdana"/>
          <w:b/>
          <w:color w:val="374351"/>
          <w:sz w:val="32"/>
        </w:rPr>
        <w:t>Out of Scope</w:t>
      </w:r>
    </w:p>
    <w:p>
      <w:pPr>
        <w:spacing w:line="276" w:lineRule="auto" w:after="160"/>
        <w:jc w:val="both"/>
      </w:pPr>
      <w:r>
        <w:rPr>
          <w:rFonts w:ascii="Verdana" w:hAnsi="Verdana"/>
          <w:color w:val="46535E"/>
          <w:sz w:val="22"/>
        </w:rPr>
        <w:t>This section states the agreed upon requirements and/or items not included in the Scope of Work. These items usually require significant effort that would impact and require additional work. If it becomes necessary to complete these requirements and/or items, then a Change Order would be required:</w:t>
      </w:r>
    </w:p>
    <w:p>
      <w:pPr>
        <w:pStyle w:val="ListBullet"/>
        <w:jc w:val="left"/>
      </w:pPr>
      <w:r>
        <w:rPr>
          <w:rFonts w:ascii="Verdana" w:hAnsi="Verdana"/>
          <w:sz w:val="22"/>
        </w:rPr>
        <w:t>Hardware design, modification, or procurement activities</w:t>
      </w:r>
    </w:p>
    <w:p>
      <w:pPr>
        <w:pStyle w:val="ListBullet"/>
        <w:jc w:val="left"/>
      </w:pPr>
      <w:r>
        <w:rPr>
          <w:rFonts w:ascii="Verdana" w:hAnsi="Verdana"/>
          <w:sz w:val="22"/>
        </w:rPr>
        <w:t>Development environment setup and tool installation (client responsibility)</w:t>
      </w:r>
    </w:p>
    <w:p>
      <w:pPr>
        <w:pStyle w:val="ListBullet"/>
        <w:jc w:val="left"/>
      </w:pPr>
      <w:r>
        <w:rPr>
          <w:rFonts w:ascii="Verdana" w:hAnsi="Verdana"/>
          <w:sz w:val="22"/>
        </w:rPr>
        <w:t>Training of client personnel on delivered software or processes</w:t>
      </w:r>
    </w:p>
    <w:p>
      <w:pPr>
        <w:pStyle w:val="ListBullet"/>
        <w:jc w:val="left"/>
      </w:pPr>
      <w:r>
        <w:rPr>
          <w:rFonts w:ascii="Verdana" w:hAnsi="Verdana"/>
          <w:sz w:val="22"/>
        </w:rPr>
        <w:t>Long-term maintenance or support beyond project completion</w:t>
      </w:r>
    </w:p>
    <w:p>
      <w:pPr>
        <w:pStyle w:val="ListBullet"/>
        <w:jc w:val="left"/>
      </w:pPr>
      <w:r>
        <w:rPr>
          <w:rFonts w:ascii="Verdana" w:hAnsi="Verdana"/>
          <w:sz w:val="22"/>
        </w:rPr>
        <w:t>Integration with systems or components not specifically identified in the requirements</w:t>
      </w:r>
    </w:p>
    <w:p>
      <w:pPr>
        <w:pStyle w:val="ListBullet"/>
        <w:jc w:val="left"/>
      </w:pPr>
      <w:r>
        <w:rPr>
          <w:rFonts w:ascii="Verdana" w:hAnsi="Verdana"/>
          <w:sz w:val="22"/>
        </w:rPr>
        <w:t>Compliance with standards other than ISO 26262-6 unless explicitly stated</w:t>
      </w:r>
    </w:p>
    <w:p>
      <w:pPr>
        <w:pStyle w:val="ListBullet"/>
        <w:jc w:val="left"/>
      </w:pPr>
      <w:r>
        <w:rPr>
          <w:rFonts w:ascii="Verdana" w:hAnsi="Verdana"/>
          <w:sz w:val="22"/>
        </w:rPr>
        <w:t>Performance optimization beyond safety requirement compliance</w:t>
      </w:r>
    </w:p>
    <w:p>
      <w:pPr>
        <w:pStyle w:val="ListBullet"/>
        <w:jc w:val="left"/>
      </w:pPr>
      <w:r>
        <w:rPr>
          <w:rFonts w:ascii="Verdana" w:hAnsi="Verdana"/>
          <w:sz w:val="22"/>
        </w:rPr>
        <w:t>Creation of production-ready code for commercial release (prototyping and validation focus only)</w:t>
      </w:r>
    </w:p>
    <w:p>
      <w:pPr>
        <w:pStyle w:val="ListBullet"/>
        <w:jc w:val="left"/>
      </w:pPr>
      <w:r>
        <w:rPr>
          <w:rFonts w:ascii="Verdana" w:hAnsi="Verdana"/>
          <w:sz w:val="22"/>
        </w:rPr>
        <w:t>Warranty or product liability for delivered prototypes or software implementations</w:t>
      </w:r>
    </w:p>
    <w:p>
      <w:pPr>
        <w:pStyle w:val="ListBullet"/>
        <w:jc w:val="left"/>
      </w:pPr>
      <w:r>
        <w:rPr>
          <w:rFonts w:ascii="Verdana" w:hAnsi="Verdana"/>
          <w:sz w:val="22"/>
        </w:rPr>
        <w:t>Migration of existing systems or data not directly related to the safety CPU implementation</w:t>
      </w:r>
    </w:p>
    <w:p>
      <w:pPr>
        <w:pStyle w:val="Heading1"/>
        <w:spacing w:before="360" w:after="120"/>
      </w:pPr>
      <w:r>
        <w:rPr>
          <w:rFonts w:ascii="Verdana" w:hAnsi="Verdana"/>
          <w:b/>
          <w:color w:val="374351"/>
          <w:sz w:val="32"/>
        </w:rPr>
        <w:t>Deliverables</w:t>
      </w:r>
    </w:p>
    <w:p>
      <w:pPr>
        <w:spacing w:line="276" w:lineRule="auto" w:after="160"/>
        <w:jc w:val="both"/>
      </w:pPr>
      <w:r>
        <w:rPr>
          <w:rFonts w:ascii="Verdana" w:hAnsi="Verdana"/>
          <w:color w:val="46535E"/>
          <w:sz w:val="22"/>
        </w:rPr>
        <w:t>This SOW describes the support needs relating to the project in terms of the following deliverables:</w:t>
      </w:r>
    </w:p>
    <w:p>
      <w:pPr>
        <w:pStyle w:val="ListNumber"/>
        <w:spacing w:before="160"/>
        <w:jc w:val="left"/>
        <w:numPr>
          <w:numId w:val="8385"/>
          <w:ilvl w:val="0"/>
          <w:numRestart w:val="1"/>
        </w:numPr>
      </w:pPr>
      <w:r>
        <w:rPr>
          <w:rFonts w:ascii="Verdana" w:hAnsi="Verdana"/>
          <w:sz w:val="22"/>
        </w:rPr>
        <w:t>**Phase 1 Discovery Report:** Comprehensive analysis document detailing existing code assessment, DBC issue root cause analysis, and defined scope for subsequent phases - Electronic submission via secure file transfer</w:t>
      </w:r>
    </w:p>
    <w:p>
      <w:pPr>
        <w:pStyle w:val="ListNumber"/>
        <w:jc w:val="left"/>
        <w:numPr>
          <w:numId w:val="8385"/>
          <w:ilvl w:val="0"/>
        </w:numPr>
      </w:pPr>
      <w:r>
        <w:rPr>
          <w:rFonts w:ascii="Verdana" w:hAnsi="Verdana"/>
          <w:sz w:val="22"/>
        </w:rPr>
        <w:t>**Consolidated DBC File(s):** Fully functional and optimized DBC files for DYNO data acquisition system - Electronic submission via client portal</w:t>
      </w:r>
    </w:p>
    <w:p>
      <w:pPr>
        <w:pStyle w:val="ListNumber"/>
        <w:jc w:val="left"/>
        <w:numPr>
          <w:numId w:val="8385"/>
          <w:ilvl w:val="0"/>
        </w:numPr>
      </w:pPr>
      <w:r>
        <w:rPr>
          <w:rFonts w:ascii="Verdana" w:hAnsi="Verdana"/>
          <w:sz w:val="22"/>
        </w:rPr>
        <w:t>**Software Design Document:** Comprehensive document detailing high-level and low-level design of safety software aligned with TSC architecture - Electronic submission in PDF and editable formats</w:t>
      </w:r>
    </w:p>
    <w:p>
      <w:pPr>
        <w:pStyle w:val="ListNumber"/>
        <w:jc w:val="left"/>
        <w:numPr>
          <w:numId w:val="8385"/>
          <w:ilvl w:val="0"/>
        </w:numPr>
      </w:pPr>
      <w:r>
        <w:rPr>
          <w:rFonts w:ascii="Verdana" w:hAnsi="Verdana"/>
          <w:sz w:val="22"/>
        </w:rPr>
        <w:t>**Refactored Safety Software:** Complete, reviewed, and tested source code for implemented safety functions with version control documentation - Electronic submission via secure repository access</w:t>
      </w:r>
    </w:p>
    <w:p>
      <w:pPr>
        <w:pStyle w:val="ListNumber"/>
        <w:jc w:val="left"/>
        <w:numPr>
          <w:numId w:val="8385"/>
          <w:ilvl w:val="0"/>
        </w:numPr>
      </w:pPr>
      <w:r>
        <w:rPr>
          <w:rFonts w:ascii="Verdana" w:hAnsi="Verdana"/>
          <w:sz w:val="22"/>
        </w:rPr>
        <w:t>**Software Verification &amp; Validation Report:** Detailed report containing static code analysis results, unit test results with code coverage metrics, integration test results, and HIL testing results including fault insertion validation - Electronic submission with supporting test artifacts</w:t>
      </w:r>
    </w:p>
    <w:p>
      <w:pPr>
        <w:pStyle w:val="ListNumber"/>
        <w:jc w:val="left"/>
        <w:numPr>
          <w:numId w:val="8385"/>
          <w:ilvl w:val="0"/>
        </w:numPr>
      </w:pPr>
      <w:r>
        <w:rPr>
          <w:rFonts w:ascii="Verdana" w:hAnsi="Verdana"/>
          <w:sz w:val="22"/>
        </w:rPr>
        <w:t>**Unit Test Suite:** Complete set of unit tests achieving required code coverage metrics with automated execution scripts - Electronic submission via version control system</w:t>
      </w:r>
    </w:p>
    <w:p>
      <w:pPr>
        <w:pStyle w:val="ListNumber"/>
        <w:jc w:val="left"/>
        <w:numPr>
          <w:numId w:val="8385"/>
          <w:ilvl w:val="0"/>
        </w:numPr>
      </w:pPr>
      <w:r>
        <w:rPr>
          <w:rFonts w:ascii="Verdana" w:hAnsi="Verdana"/>
          <w:sz w:val="22"/>
        </w:rPr>
        <w:t>**Technical Documentation Package:** All architectural documents, design documents, and technical specifications created during implementation - Electronic submission in client-specified format</w:t>
      </w:r>
    </w:p>
    <w:p>
      <w:pPr>
        <w:pStyle w:val="Heading1"/>
        <w:spacing w:before="360" w:after="120"/>
      </w:pPr>
      <w:r>
        <w:rPr>
          <w:rFonts w:ascii="Verdana" w:hAnsi="Verdana"/>
          <w:b/>
          <w:color w:val="374351"/>
          <w:sz w:val="32"/>
        </w:rPr>
        <w:t>Project Schedule</w:t>
      </w:r>
    </w:p>
    <w:p>
      <w:pPr>
        <w:spacing w:line="276" w:lineRule="auto" w:after="160"/>
        <w:jc w:val="both"/>
      </w:pPr>
      <w:r>
        <w:rPr>
          <w:rFonts w:ascii="Verdana" w:hAnsi="Verdana"/>
          <w:color w:val="46535E"/>
          <w:sz w:val="22"/>
        </w:rPr>
        <w:t>This section describes the project schedule, including the start date and estimated completion date.</w:t>
      </w:r>
    </w:p>
    <w:p>
      <w:pPr>
        <w:spacing w:line="276" w:lineRule="auto" w:after="160"/>
        <w:jc w:val="both"/>
      </w:pPr>
      <w:r>
        <w:rPr>
          <w:rFonts w:ascii="Verdana" w:hAnsi="Verdana"/>
          <w:color w:val="46535E"/>
          <w:sz w:val="22"/>
        </w:rPr>
        <w:t>**Project Start Date:** September 4, 2025 (target kick-off date as specified in RFP timeline)</w:t>
      </w:r>
    </w:p>
    <w:p>
      <w:pPr>
        <w:spacing w:line="276" w:lineRule="auto" w:after="160"/>
        <w:jc w:val="both"/>
      </w:pPr>
      <w:r>
        <w:rPr>
          <w:rFonts w:ascii="Verdana" w:hAnsi="Verdana"/>
          <w:color w:val="46535E"/>
          <w:sz w:val="22"/>
        </w:rPr>
        <w:t>**Phase 1 - Discovery and Gap Analysis:** 4-6 weeks from project start, including initial DBC fix delivery within first 2 weeks</w:t>
      </w:r>
    </w:p>
    <w:p>
      <w:pPr>
        <w:spacing w:line="276" w:lineRule="auto" w:after="160"/>
        <w:jc w:val="both"/>
      </w:pPr>
      <w:r>
        <w:rPr>
          <w:rFonts w:ascii="Verdana" w:hAnsi="Verdana"/>
          <w:color w:val="46535E"/>
          <w:sz w:val="22"/>
        </w:rPr>
        <w:t>**Phases 2 &amp; 3 - Implementation and V&amp;V:** Timeline to be determined based on Phase 1 findings, estimated 12-16 weeks for complete implementation and validation</w:t>
      </w:r>
    </w:p>
    <w:p>
      <w:pPr>
        <w:spacing w:line="276" w:lineRule="auto" w:after="160"/>
        <w:jc w:val="both"/>
      </w:pPr>
      <w:r>
        <w:rPr>
          <w:rFonts w:ascii="Verdana" w:hAnsi="Verdana"/>
          <w:color w:val="46535E"/>
          <w:sz w:val="22"/>
        </w:rPr>
        <w:t>**Estimated Project Completion:** Q1 2026, subject to refinement based on Phase 1 scope definition and client asset availability</w:t>
      </w:r>
    </w:p>
    <w:p>
      <w:pPr>
        <w:pStyle w:val="Heading1"/>
        <w:spacing w:before="360" w:after="120"/>
      </w:pPr>
      <w:r>
        <w:rPr>
          <w:rFonts w:ascii="Verdana" w:hAnsi="Verdana"/>
          <w:b/>
          <w:color w:val="374351"/>
          <w:sz w:val="32"/>
        </w:rPr>
        <w:t>Proposed Team and Organization</w:t>
      </w:r>
    </w:p>
    <w:p>
      <w:pPr>
        <w:spacing w:line="276" w:lineRule="auto" w:after="160"/>
        <w:jc w:val="both"/>
      </w:pPr>
      <w:r>
        <w:rPr>
          <w:rFonts w:ascii="Verdana" w:hAnsi="Verdana"/>
          <w:color w:val="46535E"/>
          <w:sz w:val="22"/>
        </w:rPr>
        <w:t>This section describes the proposed CFeynmanCompany team and organization, including team structure, roles, and responsibilities, utilizing our blended-shore delivery model with US-based functional safety oversight and India Design Center implementation resources.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Classification</w:t>
            </w:r>
          </w:p>
        </w:tc>
        <w:tc>
          <w:tcPr>
            <w:tcW w:type="dxa" w:w="2520"/>
            <w:shd w:fill="374351"/>
          </w:tcPr>
          <w:p>
            <w:pPr>
              <w:jc w:val="center"/>
            </w:pPr>
            <w:r>
              <w:rPr>
                <w:rFonts w:ascii="Verdana" w:hAnsi="Verdana"/>
                <w:b/>
                <w:color w:val="FFFFFF"/>
                <w:sz w:val="16"/>
              </w:rPr>
              <w:t>Location</w:t>
            </w:r>
          </w:p>
        </w:tc>
        <w:tc>
          <w:tcPr>
            <w:tcW w:type="dxa" w:w="2520"/>
            <w:shd w:fill="374351"/>
          </w:tcPr>
          <w:p>
            <w:pPr>
              <w:jc w:val="center"/>
            </w:pPr>
            <w:r>
              <w:rPr>
                <w:rFonts w:ascii="Verdana" w:hAnsi="Verdana"/>
                <w:b/>
                <w:color w:val="FFFFFF"/>
                <w:sz w:val="16"/>
              </w:rPr>
              <w:t>Responsibilities</w:t>
            </w:r>
          </w:p>
        </w:tc>
      </w:tr>
      <w:tr>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US</w:t>
            </w:r>
          </w:p>
        </w:tc>
        <w:tc>
          <w:tcPr>
            <w:tcW w:type="dxa" w:w="2520"/>
          </w:tcPr>
          <w:p>
            <w:pPr>
              <w:jc w:val="center"/>
            </w:pPr>
            <w:r>
              <w:rPr>
                <w:rFonts w:ascii="Verdana" w:hAnsi="Verdana"/>
                <w:color w:val="46535E"/>
                <w:sz w:val="16"/>
              </w:rPr>
              <w:t>Overall project coordination, client communication, risk management, and deliverable oversight</w:t>
            </w:r>
          </w:p>
        </w:tc>
      </w:tr>
      <w:tr>
        <w:tc>
          <w:tcPr>
            <w:tcW w:type="dxa" w:w="2520"/>
          </w:tcPr>
          <w:p>
            <w:pPr>
              <w:jc w:val="center"/>
            </w:pPr>
            <w:r>
              <w:rPr>
                <w:rFonts w:ascii="Verdana" w:hAnsi="Verdana"/>
                <w:color w:val="46535E"/>
                <w:sz w:val="16"/>
              </w:rPr>
              <w:t>Functional Safety Lead</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US</w:t>
            </w:r>
          </w:p>
        </w:tc>
        <w:tc>
          <w:tcPr>
            <w:tcW w:type="dxa" w:w="2520"/>
          </w:tcPr>
          <w:p>
            <w:pPr>
              <w:jc w:val="center"/>
            </w:pPr>
            <w:r>
              <w:rPr>
                <w:rFonts w:ascii="Verdana" w:hAnsi="Verdana"/>
                <w:color w:val="46535E"/>
                <w:sz w:val="16"/>
              </w:rPr>
              <w:t>ISO 26262 compliance oversight, safety architecture review, and technical guidance</w:t>
            </w:r>
          </w:p>
        </w:tc>
      </w:tr>
      <w:tr>
        <w:tc>
          <w:tcPr>
            <w:tcW w:type="dxa" w:w="2520"/>
          </w:tcPr>
          <w:p>
            <w:pPr>
              <w:jc w:val="center"/>
            </w:pPr>
            <w:r>
              <w:rPr>
                <w:rFonts w:ascii="Verdana" w:hAnsi="Verdana"/>
                <w:color w:val="46535E"/>
                <w:sz w:val="16"/>
              </w:rPr>
              <w:t>Senior Embedded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Code implementation, refactoring, and technical development leadership</w:t>
            </w:r>
          </w:p>
        </w:tc>
      </w:tr>
      <w:tr>
        <w:tc>
          <w:tcPr>
            <w:tcW w:type="dxa" w:w="2520"/>
          </w:tcPr>
          <w:p>
            <w:pPr>
              <w:jc w:val="center"/>
            </w:pPr>
            <w:r>
              <w:rPr>
                <w:rFonts w:ascii="Verdana" w:hAnsi="Verdana"/>
                <w:color w:val="46535E"/>
                <w:sz w:val="16"/>
              </w:rPr>
              <w:t>Verification &amp; Validation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Unit testing, integration testing, HIL testing, and coverage analysis</w:t>
            </w:r>
          </w:p>
        </w:tc>
      </w:tr>
      <w:tr>
        <w:tc>
          <w:tcPr>
            <w:tcW w:type="dxa" w:w="2520"/>
          </w:tcPr>
          <w:p>
            <w:pPr>
              <w:jc w:val="center"/>
            </w:pPr>
            <w:r>
              <w:rPr>
                <w:rFonts w:ascii="Verdana" w:hAnsi="Verdana"/>
                <w:color w:val="46535E"/>
                <w:sz w:val="16"/>
              </w:rPr>
              <w:t>CAN/DBC Specialist</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DBC file analysis, optimization, and data acquisition troubleshooting</w:t>
            </w:r>
          </w:p>
        </w:tc>
      </w:tr>
      <w:tr>
        <w:tc>
          <w:tcPr>
            <w:tcW w:type="dxa" w:w="2520"/>
          </w:tcPr>
          <w:p>
            <w:pPr>
              <w:jc w:val="center"/>
            </w:pPr>
            <w:r>
              <w:rPr>
                <w:rFonts w:ascii="Verdana" w:hAnsi="Verdana"/>
                <w:color w:val="46535E"/>
                <w:sz w:val="16"/>
              </w:rPr>
              <w:t>Software Quality Engineer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Code reviews, static analysis, documentation, and quality assurance</w:t>
            </w:r>
          </w:p>
        </w:tc>
      </w:tr>
      <w:tr>
        <w:tc>
          <w:tcPr>
            <w:tcW w:type="dxa" w:w="2520"/>
          </w:tcPr>
          <w:p>
            <w:pPr>
              <w:jc w:val="center"/>
            </w:pPr>
            <w:r>
              <w:rPr>
                <w:rFonts w:ascii="Verdana" w:hAnsi="Verdana"/>
                <w:color w:val="46535E"/>
                <w:sz w:val="16"/>
              </w:rPr>
              <w:t>Test Automation Engineer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Test framework development, automated testing, and CI/CD support</w:t>
            </w:r>
          </w:p>
        </w:tc>
      </w:tr>
    </w:tbl>
    <w:p>
      <w:pPr>
        <w:spacing w:line="276" w:lineRule="auto" w:after="160"/>
        <w:jc w:val="both"/>
      </w:pPr>
      <w:r>
        <w:rPr>
          <w:rFonts w:ascii="Verdana" w:hAnsi="Verdana"/>
          <w:color w:val="46535E"/>
          <w:sz w:val="22"/>
        </w:rPr>
        <w:t>**RASCI Matrix for Key Project Activities:**</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374351"/>
          </w:tcPr>
          <w:p>
            <w:pPr>
              <w:jc w:val="center"/>
            </w:pPr>
            <w:r>
              <w:rPr>
                <w:rFonts w:ascii="Verdana" w:hAnsi="Verdana"/>
                <w:b/>
                <w:color w:val="FFFFFF"/>
                <w:sz w:val="16"/>
              </w:rPr>
              <w:t>Activity</w:t>
            </w:r>
          </w:p>
        </w:tc>
        <w:tc>
          <w:tcPr>
            <w:tcW w:type="dxa" w:w="1260"/>
            <w:shd w:fill="374351"/>
          </w:tcPr>
          <w:p>
            <w:pPr>
              <w:jc w:val="center"/>
            </w:pPr>
            <w:r>
              <w:rPr>
                <w:rFonts w:ascii="Verdana" w:hAnsi="Verdana"/>
                <w:b/>
                <w:color w:val="FFFFFF"/>
                <w:sz w:val="16"/>
              </w:rPr>
              <w:t>Project Manager</w:t>
            </w:r>
          </w:p>
        </w:tc>
        <w:tc>
          <w:tcPr>
            <w:tcW w:type="dxa" w:w="1260"/>
            <w:shd w:fill="374351"/>
          </w:tcPr>
          <w:p>
            <w:pPr>
              <w:jc w:val="center"/>
            </w:pPr>
            <w:r>
              <w:rPr>
                <w:rFonts w:ascii="Verdana" w:hAnsi="Verdana"/>
                <w:b/>
                <w:color w:val="FFFFFF"/>
                <w:sz w:val="16"/>
              </w:rPr>
              <w:t>Functional Safety Lead</w:t>
            </w:r>
          </w:p>
        </w:tc>
        <w:tc>
          <w:tcPr>
            <w:tcW w:type="dxa" w:w="1260"/>
            <w:shd w:fill="374351"/>
          </w:tcPr>
          <w:p>
            <w:pPr>
              <w:jc w:val="center"/>
            </w:pPr>
            <w:r>
              <w:rPr>
                <w:rFonts w:ascii="Verdana" w:hAnsi="Verdana"/>
                <w:b/>
                <w:color w:val="FFFFFF"/>
                <w:sz w:val="16"/>
              </w:rPr>
              <w:t>Senior Embedded Engineer</w:t>
            </w:r>
          </w:p>
        </w:tc>
        <w:tc>
          <w:tcPr>
            <w:tcW w:type="dxa" w:w="1260"/>
            <w:shd w:fill="374351"/>
          </w:tcPr>
          <w:p>
            <w:pPr>
              <w:jc w:val="center"/>
            </w:pPr>
            <w:r>
              <w:rPr>
                <w:rFonts w:ascii="Verdana" w:hAnsi="Verdana"/>
                <w:b/>
                <w:color w:val="FFFFFF"/>
                <w:sz w:val="16"/>
              </w:rPr>
              <w:t>V&amp;V Engineer</w:t>
            </w:r>
          </w:p>
        </w:tc>
        <w:tc>
          <w:tcPr>
            <w:tcW w:type="dxa" w:w="1260"/>
            <w:shd w:fill="374351"/>
          </w:tcPr>
          <w:p>
            <w:pPr>
              <w:jc w:val="center"/>
            </w:pPr>
            <w:r>
              <w:rPr>
                <w:rFonts w:ascii="Verdana" w:hAnsi="Verdana"/>
                <w:b/>
                <w:color w:val="FFFFFF"/>
                <w:sz w:val="16"/>
              </w:rPr>
              <w:t>CAN/DBC Specialist</w:t>
            </w:r>
          </w:p>
        </w:tc>
        <w:tc>
          <w:tcPr>
            <w:tcW w:type="dxa" w:w="1260"/>
            <w:shd w:fill="374351"/>
          </w:tcPr>
          <w:p>
            <w:pPr>
              <w:jc w:val="center"/>
            </w:pPr>
            <w:r>
              <w:rPr>
                <w:rFonts w:ascii="Verdana" w:hAnsi="Verdana"/>
                <w:b/>
                <w:color w:val="FFFFFF"/>
                <w:sz w:val="16"/>
              </w:rPr>
              <w:t>Software Quality Engineer</w:t>
            </w:r>
          </w:p>
        </w:tc>
        <w:tc>
          <w:tcPr>
            <w:tcW w:type="dxa" w:w="1260"/>
            <w:shd w:fill="374351"/>
          </w:tcPr>
          <w:p>
            <w:pPr>
              <w:jc w:val="center"/>
            </w:pPr>
            <w:r>
              <w:rPr>
                <w:rFonts w:ascii="Verdana" w:hAnsi="Verdana"/>
                <w:b/>
                <w:color w:val="FFFFFF"/>
                <w:sz w:val="16"/>
              </w:rPr>
              <w:t>Test Automation Engineer</w:t>
            </w:r>
          </w:p>
        </w:tc>
      </w:tr>
      <w:tr>
        <w:tc>
          <w:tcPr>
            <w:tcW w:type="dxa" w:w="1260"/>
          </w:tcPr>
          <w:p>
            <w:pPr>
              <w:jc w:val="center"/>
            </w:pPr>
            <w:r>
              <w:rPr>
                <w:rFonts w:ascii="Verdana" w:hAnsi="Verdana"/>
                <w:color w:val="46535E"/>
                <w:sz w:val="16"/>
              </w:rPr>
              <w:t>Project Planning</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Requirements Analysis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Code Implementation</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Unit Testing</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Integration Testing</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R</w:t>
            </w:r>
          </w:p>
        </w:tc>
      </w:tr>
      <w:tr>
        <w:tc>
          <w:tcPr>
            <w:tcW w:type="dxa" w:w="1260"/>
          </w:tcPr>
          <w:p>
            <w:pPr>
              <w:jc w:val="center"/>
            </w:pPr>
            <w:r>
              <w:rPr>
                <w:rFonts w:ascii="Verdana" w:hAnsi="Verdana"/>
                <w:color w:val="46535E"/>
                <w:sz w:val="16"/>
              </w:rPr>
              <w:t>HIL Testing</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Documentation</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Quality Reviews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Client Communication</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Risk Management</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r>
    </w:tbl>
    <w:p>
      <w:pPr>
        <w:spacing w:line="276" w:lineRule="auto" w:after="160"/>
        <w:jc w:val="both"/>
      </w:pPr>
      <w:r>
        <w:rPr>
          <w:rFonts w:ascii="Verdana" w:hAnsi="Verdana"/>
          <w:color w:val="46535E"/>
          <w:sz w:val="22"/>
        </w:rPr>
        <w:t>**RASCI Key:** R = Responsible, A = Accountable, S = Supporting, C = Consulted, I = Informed</w:t>
      </w:r>
    </w:p>
    <w:p>
      <w:pPr>
        <w:pStyle w:val="Heading1"/>
        <w:spacing w:before="360" w:after="120"/>
      </w:pPr>
      <w:r>
        <w:rPr>
          <w:rFonts w:ascii="Verdana" w:hAnsi="Verdana"/>
          <w:b/>
          <w:color w:val="374351"/>
          <w:sz w:val="32"/>
        </w:rPr>
        <w:t>Data Retention</w:t>
      </w:r>
    </w:p>
    <w:p>
      <w:pPr>
        <w:spacing w:line="276" w:lineRule="auto" w:after="160"/>
        <w:jc w:val="both"/>
      </w:pPr>
      <w:r>
        <w:rPr>
          <w:rFonts w:ascii="Verdana" w:hAnsi="Verdana"/>
          <w:color w:val="46535E"/>
          <w:sz w:val="22"/>
        </w:rPr>
        <w:t>This section includes a description of how project data will be retained, managed, and used.</w:t>
      </w:r>
    </w:p>
    <w:p>
      <w:pPr>
        <w:spacing w:line="276" w:lineRule="auto" w:after="160"/>
        <w:jc w:val="both"/>
      </w:pPr>
      <w:r>
        <w:rPr>
          <w:rFonts w:ascii="Verdana" w:hAnsi="Verdana"/>
          <w:color w:val="46535E"/>
          <w:sz w:val="22"/>
        </w:rPr>
        <w:t>All project data including source code, documentation, test results, design artifacts, and communications will be stored on CFeynmanCompany's secure systems during project execution. Data will be retained for the duration of the project and twelve (12) months after project completion to support any warranty or clarification requirements. Client retains full ownership and intellectual property rights to all project deliverables and data. CFeynmanCompany will provide secure access to project data repositories throughout the engagement and will transfer all data to client-specified systems upon project completion. After the retention period expires, all client data will be securely deleted from CFeynmanCompany systems unless written extension is requested by the client.</w:t>
      </w:r>
    </w:p>
    <w:p>
      <w:pPr>
        <w:pStyle w:val="Heading1"/>
        <w:spacing w:before="360" w:after="120"/>
      </w:pPr>
      <w:r>
        <w:rPr>
          <w:rFonts w:ascii="Verdana" w:hAnsi="Verdana"/>
          <w:b/>
          <w:color w:val="374351"/>
          <w:sz w:val="32"/>
        </w:rPr>
        <w:t>Risk Management</w:t>
      </w:r>
    </w:p>
    <w:p>
      <w:pPr>
        <w:spacing w:line="276" w:lineRule="auto" w:after="160"/>
        <w:jc w:val="both"/>
      </w:pPr>
      <w:r>
        <w:rPr>
          <w:rFonts w:ascii="Verdana" w:hAnsi="Verdana"/>
          <w:color w:val="46535E"/>
          <w:sz w:val="22"/>
        </w:rPr>
        <w:t>This section presents the risk management plan for the project: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Risk</w:t>
            </w:r>
          </w:p>
        </w:tc>
        <w:tc>
          <w:tcPr>
            <w:tcW w:type="dxa" w:w="2520"/>
            <w:shd w:fill="374351"/>
          </w:tcPr>
          <w:p>
            <w:pPr>
              <w:jc w:val="center"/>
            </w:pPr>
            <w:r>
              <w:rPr>
                <w:rFonts w:ascii="Verdana" w:hAnsi="Verdana"/>
                <w:b/>
                <w:color w:val="FFFFFF"/>
                <w:sz w:val="16"/>
              </w:rPr>
              <w:t>Probability</w:t>
            </w:r>
          </w:p>
        </w:tc>
        <w:tc>
          <w:tcPr>
            <w:tcW w:type="dxa" w:w="2520"/>
            <w:shd w:fill="374351"/>
          </w:tcPr>
          <w:p>
            <w:pPr>
              <w:jc w:val="center"/>
            </w:pPr>
            <w:r>
              <w:rPr>
                <w:rFonts w:ascii="Verdana" w:hAnsi="Verdana"/>
                <w:b/>
                <w:color w:val="FFFFFF"/>
                <w:sz w:val="16"/>
              </w:rPr>
              <w:t>Impact</w:t>
            </w:r>
          </w:p>
        </w:tc>
        <w:tc>
          <w:tcPr>
            <w:tcW w:type="dxa" w:w="2520"/>
            <w:shd w:fill="374351"/>
          </w:tcPr>
          <w:p>
            <w:pPr>
              <w:jc w:val="center"/>
            </w:pPr>
            <w:r>
              <w:rPr>
                <w:rFonts w:ascii="Verdana" w:hAnsi="Verdana"/>
                <w:b/>
                <w:color w:val="FFFFFF"/>
                <w:sz w:val="16"/>
              </w:rPr>
              <w:t>Mitigation Strategy</w:t>
            </w:r>
          </w:p>
        </w:tc>
      </w:tr>
      <w:tr>
        <w:tc>
          <w:tcPr>
            <w:tcW w:type="dxa" w:w="2520"/>
          </w:tcPr>
          <w:p>
            <w:pPr>
              <w:jc w:val="center"/>
            </w:pPr>
            <w:r>
              <w:rPr>
                <w:rFonts w:ascii="Verdana" w:hAnsi="Verdana"/>
                <w:color w:val="46535E"/>
                <w:sz w:val="16"/>
              </w:rPr>
              <w:t>Scope Creep</w:t>
            </w:r>
          </w:p>
        </w:tc>
        <w:tc>
          <w:tcPr>
            <w:tcW w:type="dxa" w:w="2520"/>
          </w:tcPr>
          <w:p>
            <w:pPr>
              <w:jc w:val="center"/>
            </w:pPr>
            <w:r>
              <w:rPr>
                <w:rFonts w:ascii="Verdana" w:hAnsi="Verdana"/>
                <w:color w:val="46535E"/>
                <w:sz w:val="16"/>
              </w:rPr>
              <w:t>High</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Phase 1 discovery approach, Change Order process at 80% budget</w:t>
            </w:r>
          </w:p>
        </w:tc>
      </w:tr>
      <w:tr>
        <w:tc>
          <w:tcPr>
            <w:tcW w:type="dxa" w:w="2520"/>
          </w:tcPr>
          <w:p>
            <w:pPr>
              <w:jc w:val="center"/>
            </w:pPr>
            <w:r>
              <w:rPr>
                <w:rFonts w:ascii="Verdana" w:hAnsi="Verdana"/>
                <w:color w:val="46535E"/>
                <w:sz w:val="16"/>
              </w:rPr>
              <w:t>Hardware Availability Delays</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High</w:t>
            </w:r>
          </w:p>
        </w:tc>
        <w:tc>
          <w:tcPr>
            <w:tcW w:type="dxa" w:w="2520"/>
          </w:tcPr>
          <w:p>
            <w:pPr>
              <w:jc w:val="center"/>
            </w:pPr>
            <w:r>
              <w:rPr>
                <w:rFonts w:ascii="Verdana" w:hAnsi="Verdana"/>
                <w:color w:val="46535E"/>
                <w:sz w:val="16"/>
              </w:rPr>
              <w:t>Early hardware shipment requirement, backup HIL access</w:t>
            </w:r>
          </w:p>
        </w:tc>
      </w:tr>
      <w:tr>
        <w:tc>
          <w:tcPr>
            <w:tcW w:type="dxa" w:w="2520"/>
          </w:tcPr>
          <w:p>
            <w:pPr>
              <w:jc w:val="center"/>
            </w:pPr>
            <w:r>
              <w:rPr>
                <w:rFonts w:ascii="Verdana" w:hAnsi="Verdana"/>
                <w:color w:val="46535E"/>
                <w:sz w:val="16"/>
              </w:rPr>
              <w:t>DBC Root Cause Complexity</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Dedicated specialist assignment, quick win delivery approach</w:t>
            </w:r>
          </w:p>
        </w:tc>
      </w:tr>
      <w:tr>
        <w:tc>
          <w:tcPr>
            <w:tcW w:type="dxa" w:w="2520"/>
          </w:tcPr>
          <w:p>
            <w:pPr>
              <w:jc w:val="center"/>
            </w:pPr>
            <w:r>
              <w:rPr>
                <w:rFonts w:ascii="Verdana" w:hAnsi="Verdana"/>
                <w:color w:val="46535E"/>
                <w:sz w:val="16"/>
              </w:rPr>
              <w:t>Client SME Availability</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Escalation procedures, documented response time requirements</w:t>
            </w:r>
          </w:p>
        </w:tc>
      </w:tr>
      <w:tr>
        <w:tc>
          <w:tcPr>
            <w:tcW w:type="dxa" w:w="2520"/>
          </w:tcPr>
          <w:p>
            <w:pPr>
              <w:jc w:val="center"/>
            </w:pPr>
            <w:r>
              <w:rPr>
                <w:rFonts w:ascii="Verdana" w:hAnsi="Verdana"/>
                <w:color w:val="46535E"/>
                <w:sz w:val="16"/>
              </w:rPr>
              <w:t>Tool License Delays</w:t>
            </w:r>
          </w:p>
        </w:tc>
        <w:tc>
          <w:tcPr>
            <w:tcW w:type="dxa" w:w="2520"/>
          </w:tcPr>
          <w:p>
            <w:pPr>
              <w:jc w:val="center"/>
            </w:pPr>
            <w:r>
              <w:rPr>
                <w:rFonts w:ascii="Verdana" w:hAnsi="Verdana"/>
                <w:color w:val="46535E"/>
                <w:sz w:val="16"/>
              </w:rPr>
              <w:t>Low</w:t>
            </w:r>
          </w:p>
        </w:tc>
        <w:tc>
          <w:tcPr>
            <w:tcW w:type="dxa" w:w="2520"/>
          </w:tcPr>
          <w:p>
            <w:pPr>
              <w:jc w:val="center"/>
            </w:pPr>
            <w:r>
              <w:rPr>
                <w:rFonts w:ascii="Verdana" w:hAnsi="Verdana"/>
                <w:color w:val="46535E"/>
                <w:sz w:val="16"/>
              </w:rPr>
              <w:t>Medium</w:t>
            </w:r>
          </w:p>
        </w:tc>
        <w:tc>
          <w:tcPr>
            <w:tcW w:type="dxa" w:w="2520"/>
          </w:tcPr>
          <w:p>
            <w:pPr>
              <w:jc w:val="center"/>
            </w:pPr>
            <w:r>
              <w:rPr>
                <w:rFonts w:ascii="Verdana" w:hAnsi="Verdana"/>
                <w:color w:val="46535E"/>
                <w:sz w:val="16"/>
              </w:rPr>
              <w:t>Early identification of tool requirements, client procurement responsibility</w:t>
            </w:r>
          </w:p>
        </w:tc>
      </w:tr>
      <w:tr>
        <w:tc>
          <w:tcPr>
            <w:tcW w:type="dxa" w:w="2520"/>
          </w:tcPr>
          <w:p>
            <w:pPr>
              <w:jc w:val="center"/>
            </w:pPr>
            <w:r>
              <w:rPr>
                <w:rFonts w:ascii="Verdana" w:hAnsi="Verdana"/>
                <w:color w:val="46535E"/>
                <w:sz w:val="16"/>
              </w:rPr>
              <w:t>Technical Architecture Changes</w:t>
            </w:r>
          </w:p>
        </w:tc>
        <w:tc>
          <w:tcPr>
            <w:tcW w:type="dxa" w:w="2520"/>
          </w:tcPr>
          <w:p>
            <w:pPr>
              <w:jc w:val="center"/>
            </w:pPr>
            <w:r>
              <w:rPr>
                <w:rFonts w:ascii="Verdana" w:hAnsi="Verdana"/>
                <w:color w:val="46535E"/>
                <w:sz w:val="16"/>
              </w:rPr>
              <w:t>Low</w:t>
            </w:r>
          </w:p>
        </w:tc>
        <w:tc>
          <w:tcPr>
            <w:tcW w:type="dxa" w:w="2520"/>
          </w:tcPr>
          <w:p>
            <w:pPr>
              <w:jc w:val="center"/>
            </w:pPr>
            <w:r>
              <w:rPr>
                <w:rFonts w:ascii="Verdana" w:hAnsi="Verdana"/>
                <w:color w:val="46535E"/>
                <w:sz w:val="16"/>
              </w:rPr>
              <w:t>High</w:t>
            </w:r>
          </w:p>
        </w:tc>
        <w:tc>
          <w:tcPr>
            <w:tcW w:type="dxa" w:w="2520"/>
          </w:tcPr>
          <w:p>
            <w:pPr>
              <w:jc w:val="center"/>
            </w:pPr>
            <w:r>
              <w:rPr>
                <w:rFonts w:ascii="Verdana" w:hAnsi="Verdana"/>
                <w:color w:val="46535E"/>
                <w:sz w:val="16"/>
              </w:rPr>
              <w:t>Architecture freeze during implementation, Change Order for modifications</w:t>
            </w:r>
          </w:p>
        </w:tc>
      </w:tr>
    </w:tbl>
    <w:p>
      <w:pPr>
        <w:pStyle w:val="Heading1"/>
        <w:spacing w:before="360" w:after="120"/>
      </w:pPr>
      <w:r>
        <w:rPr>
          <w:rFonts w:ascii="Verdana" w:hAnsi="Verdana"/>
          <w:b/>
          <w:color w:val="374351"/>
          <w:sz w:val="32"/>
        </w:rPr>
        <w:t>Change Management</w:t>
      </w:r>
    </w:p>
    <w:p>
      <w:pPr>
        <w:spacing w:line="276" w:lineRule="auto" w:after="160"/>
        <w:jc w:val="both"/>
      </w:pPr>
      <w:r>
        <w:rPr>
          <w:rFonts w:ascii="Verdana" w:hAnsi="Verdana"/>
          <w:color w:val="46535E"/>
          <w:sz w:val="22"/>
        </w:rPr>
        <w:t>This section describes the change management process to be followed throughout the project execution:</w:t>
      </w:r>
    </w:p>
    <w:p>
      <w:pPr>
        <w:spacing w:line="276" w:lineRule="auto" w:after="160"/>
        <w:jc w:val="both"/>
      </w:pPr>
      <w:r>
        <w:rPr>
          <w:rFonts w:ascii="Verdana" w:hAnsi="Verdana"/>
          <w:color w:val="46535E"/>
          <w:sz w:val="22"/>
        </w:rPr>
        <w:t>Any changes to the agreed scope, timeline, or budget must be documented through the formal Change Order process. When project costs reach 80% of the estimated budget, CFeynmanCompany will automatically trigger change management discussions to evaluate remaining scope and budget requirements. All change requests must be submitted in writing, reviewed for impact assessment, and approved by both parties before implementation. The Change Order process includes cost impact analysis, timeline adjustments, and resource allocation modifications as needed. Emergency changes for critical issues may be implemented with verbal approval followed by written confirmation within 48 hours.</w:t>
      </w:r>
    </w:p>
    <w:p>
      <w:pPr>
        <w:pStyle w:val="Heading1"/>
        <w:spacing w:before="360" w:after="120"/>
      </w:pPr>
      <w:r>
        <w:rPr>
          <w:rFonts w:ascii="Verdana" w:hAnsi="Verdana"/>
          <w:b/>
          <w:color w:val="374351"/>
          <w:sz w:val="32"/>
        </w:rPr>
        <w:t>Project Pricing</w:t>
      </w:r>
    </w:p>
    <w:p>
      <w:pPr>
        <w:spacing w:line="276" w:lineRule="auto" w:after="160"/>
        <w:jc w:val="both"/>
      </w:pPr>
      <w:r>
        <w:rPr>
          <w:rFonts w:ascii="Verdana" w:hAnsi="Verdana"/>
          <w:color w:val="46535E"/>
          <w:sz w:val="22"/>
        </w:rPr>
        <w:t>This section details the pricing structure, payment schedule, and pricing assumptions for the project. The engagement follows a Time &amp; Materials (T&amp;M) pricing model to provide flexibility for evolving requirements.</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Job Title</w:t>
            </w:r>
          </w:p>
        </w:tc>
        <w:tc>
          <w:tcPr>
            <w:tcW w:type="dxa" w:w="3360"/>
            <w:shd w:fill="374351"/>
          </w:tcPr>
          <w:p>
            <w:pPr>
              <w:jc w:val="center"/>
            </w:pPr>
            <w:r>
              <w:rPr>
                <w:rFonts w:ascii="Verdana" w:hAnsi="Verdana"/>
                <w:b/>
                <w:color w:val="FFFFFF"/>
                <w:sz w:val="16"/>
              </w:rPr>
              <w:t>Description</w:t>
            </w:r>
          </w:p>
        </w:tc>
        <w:tc>
          <w:tcPr>
            <w:tcW w:type="dxa" w:w="3360"/>
            <w:shd w:fill="374351"/>
          </w:tcPr>
          <w:p>
            <w:pPr>
              <w:jc w:val="center"/>
            </w:pPr>
            <w:r>
              <w:rPr>
                <w:rFonts w:ascii="Verdana" w:hAnsi="Verdana"/>
                <w:b/>
                <w:color w:val="FFFFFF"/>
                <w:sz w:val="16"/>
              </w:rPr>
              <w:t>Hourly Rate</w:t>
            </w:r>
          </w:p>
        </w:tc>
      </w:tr>
      <w:tr>
        <w:tc>
          <w:tcPr>
            <w:tcW w:type="dxa" w:w="3360"/>
          </w:tcPr>
          <w:p>
            <w:pPr>
              <w:jc w:val="center"/>
            </w:pPr>
            <w:r>
              <w:rPr>
                <w:rFonts w:ascii="Verdana" w:hAnsi="Verdana"/>
                <w:color w:val="46535E"/>
                <w:sz w:val="16"/>
              </w:rPr>
              <w:t>Project Manager</w:t>
            </w:r>
          </w:p>
        </w:tc>
        <w:tc>
          <w:tcPr>
            <w:tcW w:type="dxa" w:w="3360"/>
          </w:tcPr>
          <w:p>
            <w:pPr>
              <w:jc w:val="center"/>
            </w:pPr>
            <w:r>
              <w:rPr>
                <w:rFonts w:ascii="Verdana" w:hAnsi="Verdana"/>
                <w:color w:val="46535E"/>
                <w:sz w:val="16"/>
              </w:rPr>
              <w:t>Overall project coordination and client management</w:t>
            </w:r>
          </w:p>
        </w:tc>
        <w:tc>
          <w:tcPr>
            <w:tcW w:type="dxa" w:w="3360"/>
          </w:tcPr>
          <w:p>
            <w:pPr>
              <w:jc w:val="center"/>
            </w:pPr>
            <w:r>
              <w:rPr>
                <w:rFonts w:ascii="Verdana" w:hAnsi="Verdana"/>
                <w:color w:val="46535E"/>
                <w:sz w:val="16"/>
              </w:rPr>
              <w:t>$180/hour</w:t>
            </w:r>
          </w:p>
        </w:tc>
      </w:tr>
      <w:tr>
        <w:tc>
          <w:tcPr>
            <w:tcW w:type="dxa" w:w="3360"/>
          </w:tcPr>
          <w:p>
            <w:pPr>
              <w:jc w:val="center"/>
            </w:pPr>
            <w:r>
              <w:rPr>
                <w:rFonts w:ascii="Verdana" w:hAnsi="Verdana"/>
                <w:color w:val="46535E"/>
                <w:sz w:val="16"/>
              </w:rPr>
              <w:t>Functional Safety Lead</w:t>
            </w:r>
          </w:p>
        </w:tc>
        <w:tc>
          <w:tcPr>
            <w:tcW w:type="dxa" w:w="3360"/>
          </w:tcPr>
          <w:p>
            <w:pPr>
              <w:jc w:val="center"/>
            </w:pPr>
            <w:r>
              <w:rPr>
                <w:rFonts w:ascii="Verdana" w:hAnsi="Verdana"/>
                <w:color w:val="46535E"/>
                <w:sz w:val="16"/>
              </w:rPr>
              <w:t>ISO 26262 compliance and safety architecture oversight</w:t>
            </w:r>
          </w:p>
        </w:tc>
        <w:tc>
          <w:tcPr>
            <w:tcW w:type="dxa" w:w="3360"/>
          </w:tcPr>
          <w:p>
            <w:pPr>
              <w:jc w:val="center"/>
            </w:pPr>
            <w:r>
              <w:rPr>
                <w:rFonts w:ascii="Verdana" w:hAnsi="Verdana"/>
                <w:color w:val="46535E"/>
                <w:sz w:val="16"/>
              </w:rPr>
              <w:t>$220/hour</w:t>
            </w:r>
          </w:p>
        </w:tc>
      </w:tr>
      <w:tr>
        <w:tc>
          <w:tcPr>
            <w:tcW w:type="dxa" w:w="3360"/>
          </w:tcPr>
          <w:p>
            <w:pPr>
              <w:jc w:val="center"/>
            </w:pPr>
            <w:r>
              <w:rPr>
                <w:rFonts w:ascii="Verdana" w:hAnsi="Verdana"/>
                <w:color w:val="46535E"/>
                <w:sz w:val="16"/>
              </w:rPr>
              <w:t>Senior Embedded Engineer</w:t>
            </w:r>
          </w:p>
        </w:tc>
        <w:tc>
          <w:tcPr>
            <w:tcW w:type="dxa" w:w="3360"/>
          </w:tcPr>
          <w:p>
            <w:pPr>
              <w:jc w:val="center"/>
            </w:pPr>
            <w:r>
              <w:rPr>
                <w:rFonts w:ascii="Verdana" w:hAnsi="Verdana"/>
                <w:color w:val="46535E"/>
                <w:sz w:val="16"/>
              </w:rPr>
              <w:t>Code implementation and technical development</w:t>
            </w:r>
          </w:p>
        </w:tc>
        <w:tc>
          <w:tcPr>
            <w:tcW w:type="dxa" w:w="3360"/>
          </w:tcPr>
          <w:p>
            <w:pPr>
              <w:jc w:val="center"/>
            </w:pPr>
            <w:r>
              <w:rPr>
                <w:rFonts w:ascii="Verdana" w:hAnsi="Verdana"/>
                <w:color w:val="46535E"/>
                <w:sz w:val="16"/>
              </w:rPr>
              <w:t>$140/hour</w:t>
            </w:r>
          </w:p>
        </w:tc>
      </w:tr>
      <w:tr>
        <w:tc>
          <w:tcPr>
            <w:tcW w:type="dxa" w:w="3360"/>
          </w:tcPr>
          <w:p>
            <w:pPr>
              <w:jc w:val="center"/>
            </w:pPr>
            <w:r>
              <w:rPr>
                <w:rFonts w:ascii="Verdana" w:hAnsi="Verdana"/>
                <w:color w:val="46535E"/>
                <w:sz w:val="16"/>
              </w:rPr>
              <w:t>Verification &amp; Validation Engineer</w:t>
            </w:r>
          </w:p>
        </w:tc>
        <w:tc>
          <w:tcPr>
            <w:tcW w:type="dxa" w:w="3360"/>
          </w:tcPr>
          <w:p>
            <w:pPr>
              <w:jc w:val="center"/>
            </w:pPr>
            <w:r>
              <w:rPr>
                <w:rFonts w:ascii="Verdana" w:hAnsi="Verdana"/>
                <w:color w:val="46535E"/>
                <w:sz w:val="16"/>
              </w:rPr>
              <w:t>Testing, validation, and coverage analysis</w:t>
            </w:r>
          </w:p>
        </w:tc>
        <w:tc>
          <w:tcPr>
            <w:tcW w:type="dxa" w:w="3360"/>
          </w:tcPr>
          <w:p>
            <w:pPr>
              <w:jc w:val="center"/>
            </w:pPr>
            <w:r>
              <w:rPr>
                <w:rFonts w:ascii="Verdana" w:hAnsi="Verdana"/>
                <w:color w:val="46535E"/>
                <w:sz w:val="16"/>
              </w:rPr>
              <w:t>$120/hour</w:t>
            </w:r>
          </w:p>
        </w:tc>
      </w:tr>
      <w:tr>
        <w:tc>
          <w:tcPr>
            <w:tcW w:type="dxa" w:w="3360"/>
          </w:tcPr>
          <w:p>
            <w:pPr>
              <w:jc w:val="center"/>
            </w:pPr>
            <w:r>
              <w:rPr>
                <w:rFonts w:ascii="Verdana" w:hAnsi="Verdana"/>
                <w:color w:val="46535E"/>
                <w:sz w:val="16"/>
              </w:rPr>
              <w:t>CAN/DBC Specialist</w:t>
            </w:r>
          </w:p>
        </w:tc>
        <w:tc>
          <w:tcPr>
            <w:tcW w:type="dxa" w:w="3360"/>
          </w:tcPr>
          <w:p>
            <w:pPr>
              <w:jc w:val="center"/>
            </w:pPr>
            <w:r>
              <w:rPr>
                <w:rFonts w:ascii="Verdana" w:hAnsi="Verdana"/>
                <w:color w:val="46535E"/>
                <w:sz w:val="16"/>
              </w:rPr>
              <w:t>DBC optimization and data acquisition support</w:t>
            </w:r>
          </w:p>
        </w:tc>
        <w:tc>
          <w:tcPr>
            <w:tcW w:type="dxa" w:w="3360"/>
          </w:tcPr>
          <w:p>
            <w:pPr>
              <w:jc w:val="center"/>
            </w:pPr>
            <w:r>
              <w:rPr>
                <w:rFonts w:ascii="Verdana" w:hAnsi="Verdana"/>
                <w:color w:val="46535E"/>
                <w:sz w:val="16"/>
              </w:rPr>
              <w:t>$130/hour</w:t>
            </w:r>
          </w:p>
        </w:tc>
      </w:tr>
      <w:tr>
        <w:tc>
          <w:tcPr>
            <w:tcW w:type="dxa" w:w="3360"/>
          </w:tcPr>
          <w:p>
            <w:pPr>
              <w:jc w:val="center"/>
            </w:pPr>
            <w:r>
              <w:rPr>
                <w:rFonts w:ascii="Verdana" w:hAnsi="Verdana"/>
                <w:color w:val="46535E"/>
                <w:sz w:val="16"/>
              </w:rPr>
              <w:t>Software Quality Engineer</w:t>
            </w:r>
          </w:p>
        </w:tc>
        <w:tc>
          <w:tcPr>
            <w:tcW w:type="dxa" w:w="3360"/>
          </w:tcPr>
          <w:p>
            <w:pPr>
              <w:jc w:val="center"/>
            </w:pPr>
            <w:r>
              <w:rPr>
                <w:rFonts w:ascii="Verdana" w:hAnsi="Verdana"/>
                <w:color w:val="46535E"/>
                <w:sz w:val="16"/>
              </w:rPr>
              <w:t>Code reviews, quality assurance, and documentation</w:t>
            </w:r>
          </w:p>
        </w:tc>
        <w:tc>
          <w:tcPr>
            <w:tcW w:type="dxa" w:w="3360"/>
          </w:tcPr>
          <w:p>
            <w:pPr>
              <w:jc w:val="center"/>
            </w:pPr>
            <w:r>
              <w:rPr>
                <w:rFonts w:ascii="Verdana" w:hAnsi="Verdana"/>
                <w:color w:val="46535E"/>
                <w:sz w:val="16"/>
              </w:rPr>
              <w:t>$110/hour</w:t>
            </w:r>
          </w:p>
        </w:tc>
      </w:tr>
      <w:tr>
        <w:tc>
          <w:tcPr>
            <w:tcW w:type="dxa" w:w="3360"/>
          </w:tcPr>
          <w:p>
            <w:pPr>
              <w:jc w:val="center"/>
            </w:pPr>
            <w:r>
              <w:rPr>
                <w:rFonts w:ascii="Verdana" w:hAnsi="Verdana"/>
                <w:color w:val="46535E"/>
                <w:sz w:val="16"/>
              </w:rPr>
              <w:t>Test Automation Engineer</w:t>
            </w:r>
          </w:p>
        </w:tc>
        <w:tc>
          <w:tcPr>
            <w:tcW w:type="dxa" w:w="3360"/>
          </w:tcPr>
          <w:p>
            <w:pPr>
              <w:jc w:val="center"/>
            </w:pPr>
            <w:r>
              <w:rPr>
                <w:rFonts w:ascii="Verdana" w:hAnsi="Verdana"/>
                <w:color w:val="46535E"/>
                <w:sz w:val="16"/>
              </w:rPr>
              <w:t>Test framework and automation development</w:t>
            </w:r>
          </w:p>
        </w:tc>
        <w:tc>
          <w:tcPr>
            <w:tcW w:type="dxa" w:w="3360"/>
          </w:tcPr>
          <w:p>
            <w:pPr>
              <w:jc w:val="center"/>
            </w:pPr>
            <w:r>
              <w:rPr>
                <w:rFonts w:ascii="Verdana" w:hAnsi="Verdana"/>
                <w:color w:val="46535E"/>
                <w:sz w:val="16"/>
              </w:rPr>
              <w:t>$115/hour</w:t>
            </w:r>
          </w:p>
        </w:tc>
      </w:tr>
    </w:tbl>
    <w:p>
      <w:pPr>
        <w:spacing w:line="276" w:lineRule="auto" w:after="160"/>
        <w:jc w:val="both"/>
      </w:pPr>
      <w:r>
        <w:rPr>
          <w:rFonts w:ascii="Verdana" w:hAnsi="Verdana"/>
          <w:color w:val="46535E"/>
          <w:sz w:val="22"/>
        </w:rPr>
        <w:t>**Estimated Project Budget:** $280,000 - $350,000 (subject to refinement based on Phase 1 findings)</w:t>
      </w:r>
    </w:p>
    <w:p>
      <w:pPr>
        <w:spacing w:line="276" w:lineRule="auto" w:after="160"/>
        <w:jc w:val="both"/>
      </w:pPr>
      <w:r>
        <w:rPr>
          <w:rFonts w:ascii="Verdana" w:hAnsi="Verdana"/>
          <w:color w:val="46535E"/>
          <w:sz w:val="22"/>
        </w:rPr>
        <w:t>**Additional Pricing:** Tool licenses (Vector Cast, PC-LINT, etc.) are pass-through costs at client's expense. CFeynmanCompany can procure tools on client's behalf with costs invoiced separately.</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Milestone/Deliverable</w:t>
            </w:r>
          </w:p>
        </w:tc>
        <w:tc>
          <w:tcPr>
            <w:tcW w:type="dxa" w:w="3360"/>
            <w:shd w:fill="374351"/>
          </w:tcPr>
          <w:p>
            <w:pPr>
              <w:jc w:val="center"/>
            </w:pPr>
            <w:r>
              <w:rPr>
                <w:rFonts w:ascii="Verdana" w:hAnsi="Verdana"/>
                <w:b/>
                <w:color w:val="FFFFFF"/>
                <w:sz w:val="16"/>
              </w:rPr>
              <w:t>Due Date</w:t>
            </w:r>
          </w:p>
        </w:tc>
        <w:tc>
          <w:tcPr>
            <w:tcW w:type="dxa" w:w="3360"/>
            <w:shd w:fill="374351"/>
          </w:tcPr>
          <w:p>
            <w:pPr>
              <w:jc w:val="center"/>
            </w:pPr>
            <w:r>
              <w:rPr>
                <w:rFonts w:ascii="Verdana" w:hAnsi="Verdana"/>
                <w:b/>
                <w:color w:val="FFFFFF"/>
                <w:sz w:val="16"/>
              </w:rPr>
              <w:t>Amount Payable Upon Completion</w:t>
            </w:r>
          </w:p>
        </w:tc>
      </w:tr>
      <w:tr>
        <w:tc>
          <w:tcPr>
            <w:tcW w:type="dxa" w:w="3360"/>
          </w:tcPr>
          <w:p>
            <w:pPr>
              <w:jc w:val="center"/>
            </w:pPr>
            <w:r>
              <w:rPr>
                <w:rFonts w:ascii="Verdana" w:hAnsi="Verdana"/>
                <w:color w:val="46535E"/>
                <w:sz w:val="16"/>
              </w:rPr>
              <w:t>Phase 1 Completion</w:t>
            </w:r>
          </w:p>
        </w:tc>
        <w:tc>
          <w:tcPr>
            <w:tcW w:type="dxa" w:w="3360"/>
          </w:tcPr>
          <w:p>
            <w:pPr>
              <w:jc w:val="center"/>
            </w:pPr>
            <w:r>
              <w:rPr>
                <w:rFonts w:ascii="Verdana" w:hAnsi="Verdana"/>
                <w:color w:val="46535E"/>
                <w:sz w:val="16"/>
              </w:rPr>
              <w:t>October 15, 2025</w:t>
            </w:r>
          </w:p>
        </w:tc>
        <w:tc>
          <w:tcPr>
            <w:tcW w:type="dxa" w:w="3360"/>
          </w:tcPr>
          <w:p>
            <w:pPr>
              <w:jc w:val="center"/>
            </w:pPr>
            <w:r>
              <w:rPr>
                <w:rFonts w:ascii="Verdana" w:hAnsi="Verdana"/>
                <w:color w:val="46535E"/>
                <w:sz w:val="16"/>
              </w:rPr>
              <w:t>$45,000 - $60,000</w:t>
            </w:r>
          </w:p>
        </w:tc>
      </w:tr>
      <w:tr>
        <w:tc>
          <w:tcPr>
            <w:tcW w:type="dxa" w:w="3360"/>
          </w:tcPr>
          <w:p>
            <w:pPr>
              <w:jc w:val="center"/>
            </w:pPr>
            <w:r>
              <w:rPr>
                <w:rFonts w:ascii="Verdana" w:hAnsi="Verdana"/>
                <w:color w:val="46535E"/>
                <w:sz w:val="16"/>
              </w:rPr>
              <w:t>Phase 2 Milestone 1</w:t>
            </w:r>
          </w:p>
        </w:tc>
        <w:tc>
          <w:tcPr>
            <w:tcW w:type="dxa" w:w="3360"/>
          </w:tcPr>
          <w:p>
            <w:pPr>
              <w:jc w:val="center"/>
            </w:pPr>
            <w:r>
              <w:rPr>
                <w:rFonts w:ascii="Verdana" w:hAnsi="Verdana"/>
                <w:color w:val="46535E"/>
                <w:sz w:val="16"/>
              </w:rPr>
              <w:t>TBD based on Phase 1</w:t>
            </w:r>
          </w:p>
        </w:tc>
        <w:tc>
          <w:tcPr>
            <w:tcW w:type="dxa" w:w="3360"/>
          </w:tcPr>
          <w:p>
            <w:pPr>
              <w:jc w:val="center"/>
            </w:pPr>
            <w:r>
              <w:rPr>
                <w:rFonts w:ascii="Verdana" w:hAnsi="Verdana"/>
                <w:color w:val="46535E"/>
                <w:sz w:val="16"/>
              </w:rPr>
              <w:t>TBD</w:t>
            </w:r>
          </w:p>
        </w:tc>
      </w:tr>
      <w:tr>
        <w:tc>
          <w:tcPr>
            <w:tcW w:type="dxa" w:w="3360"/>
          </w:tcPr>
          <w:p>
            <w:pPr>
              <w:jc w:val="center"/>
            </w:pPr>
            <w:r>
              <w:rPr>
                <w:rFonts w:ascii="Verdana" w:hAnsi="Verdana"/>
                <w:color w:val="46535E"/>
                <w:sz w:val="16"/>
              </w:rPr>
              <w:t>Phase 2 Milestone 2</w:t>
            </w:r>
          </w:p>
        </w:tc>
        <w:tc>
          <w:tcPr>
            <w:tcW w:type="dxa" w:w="3360"/>
          </w:tcPr>
          <w:p>
            <w:pPr>
              <w:jc w:val="center"/>
            </w:pPr>
            <w:r>
              <w:rPr>
                <w:rFonts w:ascii="Verdana" w:hAnsi="Verdana"/>
                <w:color w:val="46535E"/>
                <w:sz w:val="16"/>
              </w:rPr>
              <w:t>TBD based on Phase 1</w:t>
            </w:r>
          </w:p>
        </w:tc>
        <w:tc>
          <w:tcPr>
            <w:tcW w:type="dxa" w:w="3360"/>
          </w:tcPr>
          <w:p>
            <w:pPr>
              <w:jc w:val="center"/>
            </w:pPr>
            <w:r>
              <w:rPr>
                <w:rFonts w:ascii="Verdana" w:hAnsi="Verdana"/>
                <w:color w:val="46535E"/>
                <w:sz w:val="16"/>
              </w:rPr>
              <w:t>TBD</w:t>
            </w:r>
          </w:p>
        </w:tc>
      </w:tr>
      <w:tr>
        <w:tc>
          <w:tcPr>
            <w:tcW w:type="dxa" w:w="3360"/>
          </w:tcPr>
          <w:p>
            <w:pPr>
              <w:jc w:val="center"/>
            </w:pPr>
            <w:r>
              <w:rPr>
                <w:rFonts w:ascii="Verdana" w:hAnsi="Verdana"/>
                <w:color w:val="46535E"/>
                <w:sz w:val="16"/>
              </w:rPr>
              <w:t>Phase 3 Completion</w:t>
            </w:r>
          </w:p>
        </w:tc>
        <w:tc>
          <w:tcPr>
            <w:tcW w:type="dxa" w:w="3360"/>
          </w:tcPr>
          <w:p>
            <w:pPr>
              <w:jc w:val="center"/>
            </w:pPr>
            <w:r>
              <w:rPr>
                <w:rFonts w:ascii="Verdana" w:hAnsi="Verdana"/>
                <w:color w:val="46535E"/>
                <w:sz w:val="16"/>
              </w:rPr>
              <w:t>TBD based on Phase 1</w:t>
            </w:r>
          </w:p>
        </w:tc>
        <w:tc>
          <w:tcPr>
            <w:tcW w:type="dxa" w:w="3360"/>
          </w:tcPr>
          <w:p>
            <w:pPr>
              <w:jc w:val="center"/>
            </w:pPr>
            <w:r>
              <w:rPr>
                <w:rFonts w:ascii="Verdana" w:hAnsi="Verdana"/>
                <w:color w:val="46535E"/>
                <w:sz w:val="16"/>
              </w:rPr>
              <w:t>TBD</w:t>
            </w:r>
          </w:p>
        </w:tc>
      </w:tr>
      <w:tr>
        <w:tc>
          <w:tcPr>
            <w:tcW w:type="dxa" w:w="3360"/>
          </w:tcPr>
          <w:p>
            <w:pPr>
              <w:jc w:val="center"/>
            </w:pPr>
            <w:r>
              <w:rPr>
                <w:rFonts w:ascii="Verdana" w:hAnsi="Verdana"/>
                <w:color w:val="46535E"/>
                <w:sz w:val="16"/>
              </w:rPr>
              <w:t>Final Deliverables</w:t>
            </w:r>
          </w:p>
        </w:tc>
        <w:tc>
          <w:tcPr>
            <w:tcW w:type="dxa" w:w="3360"/>
          </w:tcPr>
          <w:p>
            <w:pPr>
              <w:jc w:val="center"/>
            </w:pPr>
            <w:r>
              <w:rPr>
                <w:rFonts w:ascii="Verdana" w:hAnsi="Verdana"/>
                <w:color w:val="46535E"/>
                <w:sz w:val="16"/>
              </w:rPr>
              <w:t>TBD based on Phase 1</w:t>
            </w:r>
          </w:p>
        </w:tc>
        <w:tc>
          <w:tcPr>
            <w:tcW w:type="dxa" w:w="3360"/>
          </w:tcPr>
          <w:p>
            <w:pPr>
              <w:jc w:val="center"/>
            </w:pPr>
            <w:r>
              <w:rPr>
                <w:rFonts w:ascii="Verdana" w:hAnsi="Verdana"/>
                <w:color w:val="46535E"/>
                <w:sz w:val="16"/>
              </w:rPr>
              <w:t>Remaining Balance</w:t>
            </w:r>
          </w:p>
        </w:tc>
      </w:tr>
    </w:tbl>
    <w:p>
      <w:pPr>
        <w:pStyle w:val="Heading1"/>
        <w:spacing w:before="360" w:after="120"/>
      </w:pPr>
      <w:r>
        <w:rPr>
          <w:rFonts w:ascii="Verdana" w:hAnsi="Verdana"/>
          <w:b/>
          <w:color w:val="374351"/>
          <w:sz w:val="32"/>
        </w:rPr>
        <w:t>Project Assumptions and Client Responsibilities</w:t>
      </w:r>
    </w:p>
    <w:p>
      <w:pPr>
        <w:spacing w:line="276" w:lineRule="auto" w:after="160"/>
        <w:jc w:val="both"/>
      </w:pPr>
      <w:r>
        <w:rPr>
          <w:rFonts w:ascii="Verdana" w:hAnsi="Verdana"/>
          <w:color w:val="46535E"/>
          <w:sz w:val="22"/>
        </w:rPr>
        <w:t>This section outlines project assumptions and the client's responsibilities essential for successful project completion:</w:t>
      </w:r>
    </w:p>
    <w:p>
      <w:pPr>
        <w:spacing w:line="276" w:lineRule="auto" w:after="160"/>
        <w:jc w:val="both"/>
      </w:pPr>
      <w:r>
        <w:rPr>
          <w:rFonts w:ascii="Verdana" w:hAnsi="Verdana"/>
          <w:color w:val="46535E"/>
          <w:sz w:val="22"/>
        </w:rPr>
        <w:t>**Project Assumptions:**</w:t>
      </w:r>
    </w:p>
    <w:p>
      <w:pPr>
        <w:pStyle w:val="ListBullet"/>
        <w:jc w:val="left"/>
      </w:pPr>
      <w:r>
        <w:rPr>
          <w:rFonts w:ascii="Verdana" w:hAnsi="Verdana"/>
          <w:sz w:val="22"/>
        </w:rPr>
        <w:t>Client's existing codebase is in a stable, buildable state</w:t>
      </w:r>
    </w:p>
    <w:p>
      <w:pPr>
        <w:pStyle w:val="ListBullet"/>
        <w:jc w:val="left"/>
      </w:pPr>
      <w:r>
        <w:rPr>
          <w:rFonts w:ascii="Verdana" w:hAnsi="Verdana"/>
          <w:sz w:val="22"/>
        </w:rPr>
        <w:t>TSC architecture documentation is complete and will not undergo major changes during implementation</w:t>
      </w:r>
    </w:p>
    <w:p>
      <w:pPr>
        <w:pStyle w:val="ListBullet"/>
        <w:jc w:val="left"/>
      </w:pPr>
      <w:r>
        <w:rPr>
          <w:rFonts w:ascii="Verdana" w:hAnsi="Verdana"/>
          <w:sz w:val="22"/>
        </w:rPr>
        <w:t>HIL system is operational and accessible for remote testing</w:t>
      </w:r>
    </w:p>
    <w:p>
      <w:pPr>
        <w:pStyle w:val="ListBullet"/>
        <w:jc w:val="left"/>
      </w:pPr>
      <w:r>
        <w:rPr>
          <w:rFonts w:ascii="Verdana" w:hAnsi="Verdana"/>
          <w:sz w:val="22"/>
        </w:rPr>
        <w:t>Required tool licenses will be available at project start</w:t>
      </w:r>
    </w:p>
    <w:p>
      <w:pPr>
        <w:pStyle w:val="ListBullet"/>
        <w:jc w:val="left"/>
      </w:pPr>
      <w:r>
        <w:rPr>
          <w:rFonts w:ascii="Verdana" w:hAnsi="Verdana"/>
          <w:sz w:val="22"/>
        </w:rPr>
        <w:t>Client SMEs will be available for technical clarifications within agreed response times</w:t>
      </w:r>
    </w:p>
    <w:p>
      <w:pPr>
        <w:pStyle w:val="ListBullet"/>
        <w:jc w:val="left"/>
      </w:pPr>
      <w:r>
        <w:rPr>
          <w:rFonts w:ascii="Verdana" w:hAnsi="Verdana"/>
          <w:sz w:val="22"/>
        </w:rPr>
        <w:t>Hardware availability will not delay critical path activities</w:t>
      </w:r>
    </w:p>
    <w:p>
      <w:pPr>
        <w:pStyle w:val="ListBullet"/>
        <w:jc w:val="left"/>
      </w:pPr>
      <w:r>
        <w:rPr>
          <w:rFonts w:ascii="Verdana" w:hAnsi="Verdana"/>
          <w:sz w:val="22"/>
        </w:rPr>
        <w:t>No major regulatory or standard changes affecting ISO 26262 compliance during project timeline</w:t>
      </w:r>
    </w:p>
    <w:p>
      <w:pPr>
        <w:spacing w:line="276" w:lineRule="auto" w:after="160"/>
        <w:jc w:val="both"/>
      </w:pPr>
      <w:r>
        <w:rPr>
          <w:rFonts w:ascii="Verdana" w:hAnsi="Verdana"/>
          <w:color w:val="46535E"/>
          <w:sz w:val="22"/>
        </w:rPr>
        <w:t>**Client Responsibilities:**</w:t>
      </w:r>
    </w:p>
    <w:p>
      <w:pPr>
        <w:pStyle w:val="ListBullet"/>
        <w:jc w:val="left"/>
      </w:pPr>
      <w:r>
        <w:rPr>
          <w:rFonts w:ascii="Verdana" w:hAnsi="Verdana"/>
          <w:sz w:val="22"/>
        </w:rPr>
        <w:t>Provide hardware kits and development laptops as specified in Assets/Information Required section</w:t>
      </w:r>
    </w:p>
    <w:p>
      <w:pPr>
        <w:pStyle w:val="ListBullet"/>
        <w:jc w:val="left"/>
      </w:pPr>
      <w:r>
        <w:rPr>
          <w:rFonts w:ascii="Verdana" w:hAnsi="Verdana"/>
          <w:sz w:val="22"/>
        </w:rPr>
        <w:t>Maintain stable HIL system access and resolve any connectivity issues promptly</w:t>
      </w:r>
    </w:p>
    <w:p>
      <w:pPr>
        <w:pStyle w:val="ListBullet"/>
        <w:jc w:val="left"/>
      </w:pPr>
      <w:r>
        <w:rPr>
          <w:rFonts w:ascii="Verdana" w:hAnsi="Verdana"/>
          <w:sz w:val="22"/>
        </w:rPr>
        <w:t>Ensure subject matter expert availability for technical reviews and clarifications</w:t>
      </w:r>
    </w:p>
    <w:p>
      <w:pPr>
        <w:pStyle w:val="ListBullet"/>
        <w:jc w:val="left"/>
      </w:pPr>
      <w:r>
        <w:rPr>
          <w:rFonts w:ascii="Verdana" w:hAnsi="Verdana"/>
          <w:sz w:val="22"/>
        </w:rPr>
        <w:t>Procure and provide access to required tool licenses (Vector Cast, PC-LINT, etc.)</w:t>
      </w:r>
    </w:p>
    <w:p>
      <w:pPr>
        <w:pStyle w:val="ListBullet"/>
        <w:jc w:val="left"/>
      </w:pPr>
      <w:r>
        <w:rPr>
          <w:rFonts w:ascii="Verdana" w:hAnsi="Verdana"/>
          <w:sz w:val="22"/>
        </w:rPr>
        <w:t>Review and approve deliverables within 15-day acceptance period</w:t>
      </w:r>
    </w:p>
    <w:p>
      <w:pPr>
        <w:pStyle w:val="ListBullet"/>
        <w:jc w:val="left"/>
      </w:pPr>
      <w:r>
        <w:rPr>
          <w:rFonts w:ascii="Verdana" w:hAnsi="Verdana"/>
          <w:sz w:val="22"/>
        </w:rPr>
        <w:t>Provide timely feedback and decisions to prevent project delays</w:t>
      </w:r>
    </w:p>
    <w:p>
      <w:pPr>
        <w:pStyle w:val="ListBullet"/>
        <w:jc w:val="left"/>
      </w:pPr>
      <w:r>
        <w:rPr>
          <w:rFonts w:ascii="Verdana" w:hAnsi="Verdana"/>
          <w:sz w:val="22"/>
        </w:rPr>
        <w:t>Maintain secure network access and VPN connectivity for CFeynmanCompany team</w:t>
      </w:r>
    </w:p>
    <w:p>
      <w:pPr>
        <w:pStyle w:val="ListBullet"/>
        <w:jc w:val="left"/>
      </w:pPr>
      <w:r>
        <w:rPr>
          <w:rFonts w:ascii="Verdana" w:hAnsi="Verdana"/>
          <w:sz w:val="22"/>
        </w:rPr>
        <w:t>Escalate urgent technical decisions through designated contact persons</w:t>
      </w:r>
    </w:p>
    <w:p>
      <w:pPr>
        <w:pStyle w:val="ListBullet"/>
        <w:jc w:val="left"/>
      </w:pPr>
      <w:r>
        <w:rPr>
          <w:rFonts w:ascii="Verdana" w:hAnsi="Verdana"/>
          <w:sz w:val="22"/>
        </w:rPr>
        <w:t>Approve any scope changes through formal Change Order process</w:t>
      </w:r>
    </w:p>
    <w:p>
      <w:pPr>
        <w:pStyle w:val="Heading1"/>
        <w:spacing w:before="360" w:after="120"/>
      </w:pPr>
      <w:r>
        <w:rPr>
          <w:rFonts w:ascii="Verdana" w:hAnsi="Verdana"/>
          <w:b/>
          <w:color w:val="374351"/>
          <w:sz w:val="32"/>
        </w:rPr>
        <w:t>Contact Information</w:t>
      </w:r>
    </w:p>
    <w:p>
      <w:pPr>
        <w:spacing w:line="276" w:lineRule="auto" w:after="160"/>
        <w:jc w:val="both"/>
      </w:pPr>
      <w:r>
        <w:rPr>
          <w:rFonts w:ascii="Verdana" w:hAnsi="Verdana"/>
          <w:color w:val="46535E"/>
          <w:sz w:val="22"/>
        </w:rPr>
        <w:t>This section provides contact information for both parties: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Name</w:t>
            </w:r>
          </w:p>
        </w:tc>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Office Phone</w:t>
            </w:r>
          </w:p>
        </w:tc>
        <w:tc>
          <w:tcPr>
            <w:tcW w:type="dxa" w:w="2520"/>
            <w:shd w:fill="374351"/>
          </w:tcPr>
          <w:p>
            <w:pPr>
              <w:jc w:val="center"/>
            </w:pPr>
            <w:r>
              <w:rPr>
                <w:rFonts w:ascii="Verdana" w:hAnsi="Verdana"/>
                <w:b/>
                <w:color w:val="FFFFFF"/>
                <w:sz w:val="16"/>
              </w:rPr>
              <w:t>Email</w:t>
            </w:r>
          </w:p>
        </w:tc>
      </w:tr>
      <w:tr>
        <w:tc>
          <w:tcPr>
            <w:tcW w:type="dxa" w:w="2520"/>
          </w:tcPr>
          <w:p>
            <w:pPr>
              <w:jc w:val="center"/>
            </w:pPr>
            <w:r>
              <w:rPr>
                <w:rFonts w:ascii="Verdana" w:hAnsi="Verdana"/>
                <w:color w:val="46535E"/>
                <w:sz w:val="16"/>
              </w:rPr>
              <w:t>Praveen, Manager</w:t>
            </w:r>
          </w:p>
        </w:tc>
        <w:tc>
          <w:tcPr>
            <w:tcW w:type="dxa" w:w="2520"/>
          </w:tcPr>
          <w:p>
            <w:pPr>
              <w:jc w:val="center"/>
            </w:pPr>
            <w:r>
              <w:rPr>
                <w:rFonts w:ascii="Verdana" w:hAnsi="Verdana"/>
                <w:color w:val="46535E"/>
                <w:sz w:val="16"/>
              </w:rPr>
              <w:t>Technical Manager</w:t>
            </w:r>
          </w:p>
        </w:tc>
        <w:tc>
          <w:tcPr>
            <w:tcW w:type="dxa" w:w="2520"/>
          </w:tcPr>
          <w:p>
            <w:pPr>
              <w:jc w:val="center"/>
            </w:pPr>
            <w:r>
              <w:rPr>
                <w:rFonts w:ascii="Verdana" w:hAnsi="Verdana"/>
                <w:color w:val="46535E"/>
                <w:sz w:val="16"/>
              </w:rPr>
              <w:t>+1 9234567892</w:t>
            </w:r>
          </w:p>
        </w:tc>
        <w:tc>
          <w:tcPr>
            <w:tcW w:type="dxa" w:w="2520"/>
          </w:tcPr>
          <w:p>
            <w:pPr>
              <w:jc w:val="center"/>
            </w:pPr>
            <w:r>
              <w:rPr>
                <w:rFonts w:ascii="Verdana" w:hAnsi="Verdana"/>
                <w:color w:val="46535E"/>
                <w:sz w:val="16"/>
              </w:rPr>
              <w:t>pravenn@cfeynman.com</w:t>
            </w:r>
          </w:p>
        </w:tc>
      </w:tr>
      <w:tr>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TBD</w:t>
            </w:r>
          </w:p>
        </w:tc>
      </w:tr>
      <w:tr>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Functional Safety Lead</w:t>
            </w:r>
          </w:p>
        </w:tc>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TBD</w:t>
            </w:r>
          </w:p>
        </w:tc>
      </w:tr>
    </w:tbl>
    <w:p>
      <w:pPr>
        <w:spacing w:line="276" w:lineRule="auto" w:after="160"/>
        <w:jc w:val="both"/>
      </w:pPr>
      <w:r>
        <w:rPr>
          <w:rFonts w:ascii="Verdana" w:hAnsi="Verdana"/>
          <w:color w:val="46535E"/>
          <w:sz w:val="22"/>
        </w:rPr>
        <w:t>**Client Contact Information:**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Name</w:t>
            </w:r>
          </w:p>
        </w:tc>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Office Phone</w:t>
            </w:r>
          </w:p>
        </w:tc>
        <w:tc>
          <w:tcPr>
            <w:tcW w:type="dxa" w:w="2520"/>
            <w:shd w:fill="374351"/>
          </w:tcPr>
          <w:p>
            <w:pPr>
              <w:jc w:val="center"/>
            </w:pPr>
            <w:r>
              <w:rPr>
                <w:rFonts w:ascii="Verdana" w:hAnsi="Verdana"/>
                <w:b/>
                <w:color w:val="FFFFFF"/>
                <w:sz w:val="16"/>
              </w:rPr>
              <w:t>Email</w:t>
            </w:r>
          </w:p>
        </w:tc>
      </w:tr>
      <w:tr>
        <w:tc>
          <w:tcPr>
            <w:tcW w:type="dxa" w:w="2520"/>
          </w:tcPr>
          <w:p>
            <w:pPr>
              <w:jc w:val="center"/>
            </w:pPr>
            <w:r>
              <w:rPr>
                <w:rFonts w:ascii="Verdana" w:hAnsi="Verdana"/>
                <w:color w:val="46535E"/>
                <w:sz w:val="16"/>
              </w:rPr>
              <w:t>Peter Parker</w:t>
            </w:r>
          </w:p>
        </w:tc>
        <w:tc>
          <w:tcPr>
            <w:tcW w:type="dxa" w:w="2520"/>
          </w:tcPr>
          <w:p>
            <w:pPr>
              <w:jc w:val="center"/>
            </w:pPr>
            <w:r>
              <w:rPr>
                <w:rFonts w:ascii="Verdana" w:hAnsi="Verdana"/>
                <w:color w:val="46535E"/>
                <w:sz w:val="16"/>
              </w:rPr>
              <w:t>Head of Procurement</w:t>
            </w:r>
          </w:p>
        </w:tc>
        <w:tc>
          <w:tcPr>
            <w:tcW w:type="dxa" w:w="2520"/>
          </w:tcPr>
          <w:p>
            <w:pPr>
              <w:jc w:val="center"/>
            </w:pPr>
            <w:r>
              <w:rPr>
                <w:rFonts w:ascii="Verdana" w:hAnsi="Verdana"/>
                <w:color w:val="46535E"/>
                <w:sz w:val="16"/>
              </w:rPr>
              <w:t>+1 9234567892</w:t>
            </w:r>
          </w:p>
        </w:tc>
        <w:tc>
          <w:tcPr>
            <w:tcW w:type="dxa" w:w="2520"/>
          </w:tcPr>
          <w:p>
            <w:pPr>
              <w:jc w:val="center"/>
            </w:pPr>
            <w:r>
              <w:rPr>
                <w:rFonts w:ascii="Verdana" w:hAnsi="Verdana"/>
                <w:color w:val="46535E"/>
                <w:sz w:val="16"/>
              </w:rPr>
              <w:t>spiderman@danfoss.com</w:t>
            </w:r>
          </w:p>
        </w:tc>
      </w:tr>
      <w:tr>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Technical Lead</w:t>
            </w:r>
          </w:p>
        </w:tc>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TBD</w:t>
            </w:r>
          </w:p>
        </w:tc>
      </w:tr>
      <w:tr>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Project Sponsor</w:t>
            </w:r>
          </w:p>
        </w:tc>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TBD</w:t>
            </w:r>
          </w:p>
        </w:tc>
      </w:tr>
    </w:tbl>
    <w:sectPr w:rsidR="002F254D" w:rsidRPr="00184932"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49A79" w14:textId="77777777" w:rsidR="002C01F4" w:rsidRDefault="002C01F4" w:rsidP="002D518D">
      <w:r>
        <w:separator/>
      </w:r>
    </w:p>
  </w:endnote>
  <w:endnote w:type="continuationSeparator" w:id="0">
    <w:p w14:paraId="0E29E038" w14:textId="77777777" w:rsidR="002C01F4" w:rsidRDefault="002C01F4"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altName w:val="Calibri"/>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6CF" w14:textId="5CD02702"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387561E7" wp14:editId="4F32087D">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5D844F58" w14:textId="78281C2D"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561E7"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5D844F58" w14:textId="78281C2D"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5421AAC7" wp14:editId="75A9DD96">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1AAC7"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048BC65E" wp14:editId="49281560">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124B3" w14:textId="77777777" w:rsidR="002C01F4" w:rsidRDefault="002C01F4" w:rsidP="002D518D">
      <w:r>
        <w:separator/>
      </w:r>
    </w:p>
  </w:footnote>
  <w:footnote w:type="continuationSeparator" w:id="0">
    <w:p w14:paraId="46C2B75B" w14:textId="77777777" w:rsidR="002C01F4" w:rsidRDefault="002C01F4"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C73B" w14:textId="1B058BAD" w:rsidR="003D095F" w:rsidRDefault="003D095F" w:rsidP="003D095F">
    <w:pPr>
      <w:pStyle w:val="Header"/>
    </w:pPr>
  </w:p>
  <w:p w14:paraId="3ECC2BB0" w14:textId="39B4CF7C" w:rsidR="0034289F" w:rsidRDefault="0034289F" w:rsidP="003D095F">
    <w:pPr>
      <w:pStyle w:val="Header"/>
    </w:pPr>
  </w:p>
  <w:p w14:paraId="6888AC00" w14:textId="3EEE4C9D"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119235EC" w14:textId="312B476C" w:rsidR="003E37ED" w:rsidRDefault="003E37ED" w:rsidP="0034289F">
    <w:pPr>
      <w:pStyle w:val="Header"/>
      <w:tabs>
        <w:tab w:val="clear" w:pos="9360"/>
        <w:tab w:val="right" w:pos="10080"/>
      </w:tabs>
    </w:pPr>
  </w:p>
  <w:p w14:paraId="645FC5E9"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B32D" w14:textId="3367649B" w:rsidR="00CB6FCC" w:rsidRDefault="00D050C4">
    <w:pPr>
      <w:pStyle w:val="Header"/>
    </w:pPr>
    <w:r w:rsidRPr="00C73908">
      <w:rPr>
        <w:noProof/>
      </w:rPr>
      <w:drawing>
        <wp:anchor distT="0" distB="0" distL="114300" distR="114300" simplePos="0" relativeHeight="251655168" behindDoc="1" locked="0" layoutInCell="1" allowOverlap="1" wp14:anchorId="1B48FBBA" wp14:editId="16E0D270">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208B6694" w14:textId="77777777" w:rsidR="00D51482" w:rsidRPr="0000104A" w:rsidRDefault="00D51482">
    <w:pPr>
      <w:pStyle w:val="Header"/>
      <w:rPr>
        <w:sz w:val="21"/>
        <w:szCs w:val="21"/>
      </w:rPr>
    </w:pPr>
  </w:p>
  <w:p w14:paraId="6C9676D3" w14:textId="2D26CFB9" w:rsidR="00D050C4" w:rsidRPr="0000104A" w:rsidRDefault="00D050C4">
    <w:pPr>
      <w:pStyle w:val="Header"/>
      <w:rPr>
        <w:sz w:val="21"/>
        <w:szCs w:val="21"/>
      </w:rPr>
    </w:pPr>
  </w:p>
  <w:p w14:paraId="44FBB9C2" w14:textId="77777777" w:rsidR="00D51482" w:rsidRPr="0000104A" w:rsidRDefault="00D51482">
    <w:pPr>
      <w:pStyle w:val="Header"/>
      <w:rPr>
        <w:sz w:val="21"/>
        <w:szCs w:val="21"/>
      </w:rPr>
    </w:pPr>
  </w:p>
  <w:p w14:paraId="78B08AFA" w14:textId="27D09F18" w:rsidR="00D050C4" w:rsidRPr="0000104A" w:rsidRDefault="00D050C4">
    <w:pPr>
      <w:pStyle w:val="Header"/>
      <w:rPr>
        <w:sz w:val="21"/>
        <w:szCs w:val="21"/>
      </w:rPr>
    </w:pPr>
  </w:p>
  <w:p w14:paraId="09742261" w14:textId="4757A1BA" w:rsidR="00D050C4" w:rsidRPr="0000104A" w:rsidRDefault="00D050C4">
    <w:pPr>
      <w:pStyle w:val="Header"/>
      <w:rPr>
        <w:sz w:val="21"/>
        <w:szCs w:val="21"/>
      </w:rPr>
    </w:pPr>
  </w:p>
  <w:p w14:paraId="07E44925" w14:textId="5BD6CB7C" w:rsidR="00D050C4" w:rsidRPr="0000104A" w:rsidRDefault="00D050C4">
    <w:pPr>
      <w:pStyle w:val="Header"/>
      <w:rPr>
        <w:sz w:val="21"/>
        <w:szCs w:val="21"/>
      </w:rPr>
    </w:pPr>
  </w:p>
  <w:p w14:paraId="5A4932FB" w14:textId="193C8464" w:rsidR="00D050C4" w:rsidRPr="0000104A" w:rsidRDefault="003B30B6" w:rsidP="003B30B6">
    <w:pPr>
      <w:pStyle w:val="Header"/>
      <w:tabs>
        <w:tab w:val="clear" w:pos="4680"/>
        <w:tab w:val="clear" w:pos="9360"/>
        <w:tab w:val="left" w:pos="8260"/>
      </w:tabs>
      <w:rPr>
        <w:sz w:val="21"/>
        <w:szCs w:val="21"/>
      </w:rPr>
    </w:pPr>
    <w:r>
      <w:rPr>
        <w:sz w:val="21"/>
        <w:szCs w:val="21"/>
      </w:rPr>
      <w:tab/>
    </w:r>
  </w:p>
  <w:p w14:paraId="363B4BAC" w14:textId="41AFA005" w:rsidR="00D050C4" w:rsidRPr="0000104A" w:rsidRDefault="003B30B6" w:rsidP="003B30B6">
    <w:pPr>
      <w:pStyle w:val="Header"/>
      <w:tabs>
        <w:tab w:val="clear" w:pos="4680"/>
        <w:tab w:val="clear" w:pos="9360"/>
        <w:tab w:val="left" w:pos="8260"/>
      </w:tabs>
      <w:rPr>
        <w:sz w:val="21"/>
        <w:szCs w:val="21"/>
      </w:rPr>
    </w:pPr>
    <w:r>
      <w:rPr>
        <w:sz w:val="21"/>
        <w:szCs w:val="21"/>
      </w:rPr>
      <w:tab/>
    </w:r>
  </w:p>
  <w:p w14:paraId="00224F1E" w14:textId="099ABE0B" w:rsidR="00D050C4" w:rsidRPr="0000104A" w:rsidRDefault="003B30B6" w:rsidP="003B30B6">
    <w:pPr>
      <w:pStyle w:val="Header"/>
      <w:tabs>
        <w:tab w:val="clear" w:pos="4680"/>
        <w:tab w:val="clear" w:pos="9360"/>
        <w:tab w:val="left" w:pos="8260"/>
      </w:tabs>
      <w:rPr>
        <w:sz w:val="21"/>
        <w:szCs w:val="21"/>
      </w:rPr>
    </w:pPr>
    <w:r>
      <w:rPr>
        <w:sz w:val="21"/>
        <w:szCs w:val="21"/>
      </w:rPr>
      <w:tab/>
    </w:r>
  </w:p>
  <w:p w14:paraId="5EB2FDEB" w14:textId="13C3FB30" w:rsidR="00D050C4" w:rsidRPr="0000104A" w:rsidRDefault="00D050C4">
    <w:pPr>
      <w:pStyle w:val="Header"/>
      <w:rPr>
        <w:sz w:val="21"/>
        <w:szCs w:val="21"/>
      </w:rPr>
    </w:pPr>
  </w:p>
  <w:p w14:paraId="6088199B" w14:textId="604B3FD9" w:rsidR="00D050C4" w:rsidRPr="0000104A" w:rsidRDefault="00D050C4">
    <w:pPr>
      <w:pStyle w:val="Header"/>
      <w:rPr>
        <w:sz w:val="21"/>
        <w:szCs w:val="21"/>
      </w:rPr>
    </w:pPr>
  </w:p>
  <w:p w14:paraId="41DD614A" w14:textId="31E78A56"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96FA6C9" w14:textId="1B5E1988" w:rsidR="00D050C4" w:rsidRPr="0000104A" w:rsidRDefault="00D050C4">
    <w:pPr>
      <w:pStyle w:val="Header"/>
      <w:rPr>
        <w:sz w:val="21"/>
        <w:szCs w:val="21"/>
      </w:rPr>
    </w:pPr>
  </w:p>
  <w:p w14:paraId="040625D7" w14:textId="3A4688AC" w:rsidR="00D050C4" w:rsidRPr="0000104A" w:rsidRDefault="002A6926" w:rsidP="002A6926">
    <w:pPr>
      <w:pStyle w:val="Header"/>
      <w:tabs>
        <w:tab w:val="clear" w:pos="4680"/>
        <w:tab w:val="clear" w:pos="9360"/>
        <w:tab w:val="left" w:pos="8952"/>
      </w:tabs>
      <w:rPr>
        <w:sz w:val="21"/>
        <w:szCs w:val="21"/>
      </w:rPr>
    </w:pPr>
    <w:r>
      <w:rPr>
        <w:sz w:val="21"/>
        <w:szCs w:val="21"/>
      </w:rPr>
      <w:tab/>
    </w:r>
  </w:p>
  <w:p w14:paraId="725AF338" w14:textId="2631B224" w:rsidR="00D050C4" w:rsidRPr="0000104A" w:rsidRDefault="00D050C4">
    <w:pPr>
      <w:pStyle w:val="Header"/>
      <w:rPr>
        <w:sz w:val="21"/>
        <w:szCs w:val="21"/>
      </w:rPr>
    </w:pPr>
  </w:p>
  <w:p w14:paraId="5B8BE039" w14:textId="2025E00C" w:rsidR="00D050C4" w:rsidRPr="0000104A" w:rsidRDefault="00D050C4">
    <w:pPr>
      <w:pStyle w:val="Header"/>
      <w:rPr>
        <w:sz w:val="21"/>
        <w:szCs w:val="21"/>
      </w:rPr>
    </w:pPr>
  </w:p>
  <w:p w14:paraId="6810F111" w14:textId="6CFD08AB" w:rsidR="00D050C4" w:rsidRPr="0000104A" w:rsidRDefault="00D050C4">
    <w:pPr>
      <w:pStyle w:val="Header"/>
      <w:rPr>
        <w:sz w:val="21"/>
        <w:szCs w:val="21"/>
      </w:rPr>
    </w:pPr>
  </w:p>
  <w:p w14:paraId="4A6E8526" w14:textId="634FD185"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7575B7DE" w14:textId="401BC7A5" w:rsidR="00D050C4" w:rsidRPr="0000104A" w:rsidRDefault="00D050C4" w:rsidP="00D51482">
    <w:pPr>
      <w:pStyle w:val="Header"/>
      <w:jc w:val="right"/>
      <w:rPr>
        <w:sz w:val="21"/>
        <w:szCs w:val="21"/>
      </w:rPr>
    </w:pPr>
  </w:p>
  <w:p w14:paraId="04C6D27F" w14:textId="5A860589" w:rsidR="00D050C4" w:rsidRPr="0000104A" w:rsidRDefault="00D050C4">
    <w:pPr>
      <w:pStyle w:val="Header"/>
      <w:rPr>
        <w:sz w:val="21"/>
        <w:szCs w:val="21"/>
      </w:rPr>
    </w:pPr>
  </w:p>
  <w:p w14:paraId="628F49D6" w14:textId="0594852F" w:rsidR="00D050C4" w:rsidRPr="0000104A" w:rsidRDefault="0048760D" w:rsidP="0048760D">
    <w:pPr>
      <w:pStyle w:val="Header"/>
      <w:tabs>
        <w:tab w:val="left" w:pos="4508"/>
      </w:tabs>
      <w:rPr>
        <w:sz w:val="21"/>
        <w:szCs w:val="21"/>
      </w:rPr>
    </w:pPr>
    <w:r>
      <w:rPr>
        <w:sz w:val="21"/>
        <w:szCs w:val="21"/>
      </w:rPr>
      <w:tab/>
    </w:r>
    <w:r>
      <w:rPr>
        <w:sz w:val="21"/>
        <w:szCs w:val="21"/>
      </w:rPr>
      <w:tab/>
    </w:r>
  </w:p>
  <w:p w14:paraId="2E2B80FE"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lvlText w:val="%1."/>
      <w:lvlJc w:val="left"/>
      <w:pPr>
        <w:ind w:left="360" w:hanging="360"/>
      </w:pPr>
    </w:lvl>
  </w:abstractNum>
  <w:abstractNum w:abstractNumId="1" w15:restartNumberingAfterBreak="0">
    <w:nsid w:val="FFFFFF89"/>
    <w:multiLevelType w:val="singleLevel"/>
    <w:tmpl w:val="D6E83610"/>
    <w:lvl w:ilvl="0">
      <w:start w:val="1"/>
      <w:numFmt w:val="bullet"/>
      <w:pStyle w:val="ListBullet"/>
      <w:lvlText w:val="+"/>
      <w:lvlJc w:val="left"/>
      <w:pPr>
        <w:ind w:left="720" w:hanging="360"/>
      </w:pPr>
      <w:rPr>
        <w:rFonts w:ascii="Verdana" w:hAnsi="Verdana" w:hint="default"/>
        <w:color w:val="92D050"/>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03078"/>
    <w:multiLevelType w:val="hybridMultilevel"/>
    <w:tmpl w:val="5E486788"/>
    <w:lvl w:ilvl="0" w:tplc="F01AACAE">
      <w:start w:val="1"/>
      <w:numFmt w:val="decimal"/>
      <w:pStyle w:val="ListNumb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6"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20"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635BD4"/>
    <w:multiLevelType w:val="hybridMultilevel"/>
    <w:tmpl w:val="5A4EFFB8"/>
    <w:lvl w:ilvl="0" w:tplc="A7F84756">
      <w:start w:val="1"/>
      <w:numFmt w:val="bullet"/>
      <w:lvlText w:val="+"/>
      <w:lvlJc w:val="left"/>
      <w:pPr>
        <w:ind w:left="720" w:hanging="360"/>
      </w:pPr>
      <w:rPr>
        <w:rFonts w:ascii="Verdana" w:hAnsi="Verdana" w:hint="default"/>
        <w:color w:val="92D05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6"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052C42"/>
    <w:multiLevelType w:val="hybridMultilevel"/>
    <w:tmpl w:val="30B26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4"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7"/>
  </w:num>
  <w:num w:numId="2" w16cid:durableId="934483620">
    <w:abstractNumId w:val="26"/>
  </w:num>
  <w:num w:numId="3" w16cid:durableId="1658265017">
    <w:abstractNumId w:val="4"/>
  </w:num>
  <w:num w:numId="4" w16cid:durableId="2127500679">
    <w:abstractNumId w:val="12"/>
  </w:num>
  <w:num w:numId="5" w16cid:durableId="1204320093">
    <w:abstractNumId w:val="13"/>
  </w:num>
  <w:num w:numId="6" w16cid:durableId="630521884">
    <w:abstractNumId w:val="24"/>
  </w:num>
  <w:num w:numId="7" w16cid:durableId="1077626637">
    <w:abstractNumId w:val="28"/>
  </w:num>
  <w:num w:numId="8" w16cid:durableId="2042708637">
    <w:abstractNumId w:val="3"/>
  </w:num>
  <w:num w:numId="9" w16cid:durableId="23747372">
    <w:abstractNumId w:val="7"/>
  </w:num>
  <w:num w:numId="10" w16cid:durableId="546186031">
    <w:abstractNumId w:val="18"/>
  </w:num>
  <w:num w:numId="11" w16cid:durableId="1528179331">
    <w:abstractNumId w:val="16"/>
  </w:num>
  <w:num w:numId="12" w16cid:durableId="1101727234">
    <w:abstractNumId w:val="22"/>
  </w:num>
  <w:num w:numId="13" w16cid:durableId="1619099120">
    <w:abstractNumId w:val="8"/>
  </w:num>
  <w:num w:numId="14" w16cid:durableId="1446995740">
    <w:abstractNumId w:val="6"/>
  </w:num>
  <w:num w:numId="15" w16cid:durableId="1337146500">
    <w:abstractNumId w:val="32"/>
  </w:num>
  <w:num w:numId="16" w16cid:durableId="1527016547">
    <w:abstractNumId w:val="10"/>
  </w:num>
  <w:num w:numId="17" w16cid:durableId="1521776063">
    <w:abstractNumId w:val="13"/>
  </w:num>
  <w:num w:numId="18" w16cid:durableId="576673923">
    <w:abstractNumId w:val="13"/>
  </w:num>
  <w:num w:numId="19" w16cid:durableId="430977881">
    <w:abstractNumId w:val="34"/>
  </w:num>
  <w:num w:numId="20" w16cid:durableId="350568413">
    <w:abstractNumId w:val="34"/>
    <w:lvlOverride w:ilvl="0">
      <w:startOverride w:val="1"/>
    </w:lvlOverride>
  </w:num>
  <w:num w:numId="21" w16cid:durableId="1631548500">
    <w:abstractNumId w:val="34"/>
    <w:lvlOverride w:ilvl="0">
      <w:startOverride w:val="1"/>
    </w:lvlOverride>
  </w:num>
  <w:num w:numId="22" w16cid:durableId="1381514493">
    <w:abstractNumId w:val="31"/>
  </w:num>
  <w:num w:numId="23" w16cid:durableId="706636301">
    <w:abstractNumId w:val="11"/>
  </w:num>
  <w:num w:numId="24" w16cid:durableId="2079404350">
    <w:abstractNumId w:val="19"/>
  </w:num>
  <w:num w:numId="25" w16cid:durableId="1706641287">
    <w:abstractNumId w:val="14"/>
  </w:num>
  <w:num w:numId="26" w16cid:durableId="323708269">
    <w:abstractNumId w:val="15"/>
  </w:num>
  <w:num w:numId="27" w16cid:durableId="1436747389">
    <w:abstractNumId w:val="25"/>
  </w:num>
  <w:num w:numId="28" w16cid:durableId="1728145652">
    <w:abstractNumId w:val="33"/>
  </w:num>
  <w:num w:numId="29" w16cid:durableId="1320695078">
    <w:abstractNumId w:val="23"/>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7"/>
  </w:num>
  <w:num w:numId="34" w16cid:durableId="1767461759">
    <w:abstractNumId w:val="29"/>
  </w:num>
  <w:num w:numId="35" w16cid:durableId="1959068363">
    <w:abstractNumId w:val="27"/>
    <w:lvlOverride w:ilvl="0">
      <w:startOverride w:val="1"/>
    </w:lvlOverride>
  </w:num>
  <w:num w:numId="36" w16cid:durableId="476654950">
    <w:abstractNumId w:val="27"/>
    <w:lvlOverride w:ilvl="0">
      <w:startOverride w:val="1"/>
    </w:lvlOverride>
  </w:num>
  <w:num w:numId="37" w16cid:durableId="593785888">
    <w:abstractNumId w:val="27"/>
    <w:lvlOverride w:ilvl="0">
      <w:startOverride w:val="1"/>
    </w:lvlOverride>
  </w:num>
  <w:num w:numId="38" w16cid:durableId="802816804">
    <w:abstractNumId w:val="20"/>
  </w:num>
  <w:num w:numId="39" w16cid:durableId="40834549">
    <w:abstractNumId w:val="1"/>
  </w:num>
  <w:num w:numId="40" w16cid:durableId="764226448">
    <w:abstractNumId w:val="0"/>
  </w:num>
  <w:num w:numId="41" w16cid:durableId="1067457890">
    <w:abstractNumId w:val="30"/>
  </w:num>
  <w:num w:numId="42" w16cid:durableId="1210070248">
    <w:abstractNumId w:val="21"/>
  </w:num>
  <w:num w:numId="43" w16cid:durableId="2339769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6069"/>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4932"/>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01F4"/>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65014"/>
    <w:rsid w:val="00470127"/>
    <w:rsid w:val="00473C16"/>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2EF4"/>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07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0C0"/>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76CFA"/>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36E8E"/>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647D7"/>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0F6069"/>
    <w:pPr>
      <w:numPr>
        <w:numId w:val="39"/>
      </w:numPr>
      <w:ind w:left="360"/>
      <w:contextualSpacing/>
    </w:pPr>
  </w:style>
  <w:style w:type="paragraph" w:styleId="ListNumber">
    <w:name w:val="List Number"/>
    <w:basedOn w:val="ListBullet"/>
    <w:uiPriority w:val="99"/>
    <w:unhideWhenUsed/>
    <w:rsid w:val="000F6069"/>
    <w:pPr>
      <w:numPr>
        <w:numId w:val="43"/>
      </w:numPr>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Props1.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2.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customXml/itemProps3.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21</TotalTime>
  <Pages>4</Pages>
  <Words>53</Words>
  <Characters>306</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Akash Pandey</cp:lastModifiedBy>
  <cp:revision>9</cp:revision>
  <dcterms:created xsi:type="dcterms:W3CDTF">2025-06-30T05:31:00Z</dcterms:created>
  <dcterms:modified xsi:type="dcterms:W3CDTF">2025-07-15T09:58:00Z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