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92C7" w14:textId="342CDB2E"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Statement of Work</w:t>
      </w:r>
      <w:proofErr w:type="gramEnd"/>
    </w:p>
    <w:p w14:paraId="7FC0931A" w14:textId="4C0CCFE0"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4B5B3AEA" w14:textId="77777777" w:rsidR="003D1A59" w:rsidRPr="0068138C" w:rsidRDefault="003D1A59" w:rsidP="002A1E3B"/>
    <w:p w14:paraId="101B7499" w14:textId="39E2B8E7" w:rsidR="0035755C" w:rsidRDefault="0035755C" w:rsidP="0035755C">
      <w:pPr>
        <w:pStyle w:val="Position"/>
      </w:pPr>
      <w:r>
        <w:t>[</w:t>
      </w:r>
      <w:r w:rsidR="002D0969">
        <w:t>DD/Mon/YYY</w:t>
      </w:r>
      <w:r w:rsidR="00B8537A">
        <w:t>Y</w:t>
      </w:r>
      <w:r w:rsidR="002D0969">
        <w:t>]</w:t>
      </w:r>
    </w:p>
    <w:p w14:paraId="36102E05" w14:textId="27ED591C" w:rsidR="0035755C" w:rsidRDefault="0035755C" w:rsidP="002A1E3B"/>
    <w:p w14:paraId="27E3047B" w14:textId="0CE5585F" w:rsidR="00577C1A" w:rsidRDefault="001C119D" w:rsidP="001C119D">
      <w:r>
        <w:t>Presented By:</w:t>
      </w:r>
    </w:p>
    <w:p w14:paraId="557BE271" w14:textId="0CAAF028" w:rsidR="001C119D" w:rsidRDefault="001C119D" w:rsidP="001C119D"/>
    <w:p w14:paraId="14CBDF9D" w14:textId="7F20D334" w:rsidR="001C119D" w:rsidRDefault="001C119D" w:rsidP="001C119D">
      <w:r>
        <w:t>[Name Here]</w:t>
      </w:r>
    </w:p>
    <w:p w14:paraId="29537158" w14:textId="730B81CF" w:rsidR="001C119D" w:rsidRDefault="001C119D" w:rsidP="001C119D">
      <w:r>
        <w:t>[Title Here]</w:t>
      </w:r>
    </w:p>
    <w:p w14:paraId="1B7FC927" w14:textId="1054A6D3" w:rsidR="00351936" w:rsidRDefault="00351936" w:rsidP="001C119D"/>
    <w:p w14:paraId="1A90B556" w14:textId="4C7B8A6F" w:rsidR="00351936" w:rsidRPr="003B3567" w:rsidRDefault="00351936" w:rsidP="003B3567">
      <w:pPr>
        <w:pStyle w:val="ContactInfo"/>
      </w:pPr>
      <w:r w:rsidRPr="003B3567">
        <w:t>[Office Address]</w:t>
      </w:r>
    </w:p>
    <w:p w14:paraId="20F107F2" w14:textId="370E514E" w:rsidR="00351936" w:rsidRPr="003B3567" w:rsidRDefault="00351936" w:rsidP="003B3567">
      <w:pPr>
        <w:pStyle w:val="ContactInfo"/>
      </w:pPr>
      <w:r w:rsidRPr="003B3567">
        <w:t>[Office Phone Number]</w:t>
      </w:r>
    </w:p>
    <w:p w14:paraId="3B51F035" w14:textId="1B0AA055" w:rsidR="00351936" w:rsidRDefault="00351936" w:rsidP="003B3567">
      <w:pPr>
        <w:pStyle w:val="ContactInfo"/>
      </w:pPr>
      <w:r w:rsidRPr="003B3567">
        <w:t>[Email]</w:t>
      </w:r>
    </w:p>
    <w:p w14:paraId="01B59544" w14:textId="77777777" w:rsidR="00BC0ADD" w:rsidRPr="003B3567" w:rsidRDefault="00BC0ADD" w:rsidP="003B3567">
      <w:pPr>
        <w:pStyle w:val="ContactInfo"/>
      </w:pPr>
    </w:p>
    <w:p w14:paraId="5A197E11" w14:textId="7C27F556"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1B2E6624" w14:textId="79008D0E" w:rsidR="00A2082A" w:rsidRDefault="00A2082A" w:rsidP="000D056C"/>
    <w:p w14:paraId="25304FF8" w14:textId="59E6B969"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2A39261F" w14:textId="77777777" w:rsidTr="002B1C7D">
        <w:tc>
          <w:tcPr>
            <w:tcW w:w="2065" w:type="dxa"/>
            <w:shd w:val="clear" w:color="auto" w:fill="021A32" w:themeFill="text1"/>
          </w:tcPr>
          <w:p w14:paraId="721E83F1" w14:textId="4FBBB1A7" w:rsidR="00892736" w:rsidRPr="002B1C7D" w:rsidRDefault="00537CAB" w:rsidP="0041344F">
            <w:pPr>
              <w:pStyle w:val="TableHeader"/>
            </w:pPr>
            <w:r w:rsidRPr="0041344F">
              <w:t>Revision</w:t>
            </w:r>
          </w:p>
        </w:tc>
        <w:tc>
          <w:tcPr>
            <w:tcW w:w="1440" w:type="dxa"/>
            <w:shd w:val="clear" w:color="auto" w:fill="021A32" w:themeFill="text1"/>
          </w:tcPr>
          <w:p w14:paraId="17B8974F" w14:textId="3945CB29" w:rsidR="00892736" w:rsidRPr="002B1C7D" w:rsidRDefault="003667C5" w:rsidP="0041344F">
            <w:pPr>
              <w:pStyle w:val="TableHeader"/>
            </w:pPr>
            <w:r w:rsidRPr="002B1C7D">
              <w:t>Date</w:t>
            </w:r>
          </w:p>
        </w:tc>
        <w:tc>
          <w:tcPr>
            <w:tcW w:w="6565" w:type="dxa"/>
            <w:shd w:val="clear" w:color="auto" w:fill="021A32" w:themeFill="text1"/>
          </w:tcPr>
          <w:p w14:paraId="1F9174C3" w14:textId="54833676" w:rsidR="00892736" w:rsidRPr="002B1C7D" w:rsidRDefault="003667C5" w:rsidP="0041344F">
            <w:pPr>
              <w:pStyle w:val="TableHeader"/>
            </w:pPr>
            <w:r w:rsidRPr="002B1C7D">
              <w:t>Description of Change</w:t>
            </w:r>
          </w:p>
        </w:tc>
      </w:tr>
      <w:tr w:rsidR="00892736" w14:paraId="61F00834" w14:textId="77777777" w:rsidTr="002B1C7D">
        <w:tc>
          <w:tcPr>
            <w:tcW w:w="2065" w:type="dxa"/>
          </w:tcPr>
          <w:p w14:paraId="6D783F76" w14:textId="77645EC2" w:rsidR="00892736" w:rsidRDefault="00596377" w:rsidP="002842F2">
            <w:pPr>
              <w:pStyle w:val="TableNormalText"/>
            </w:pPr>
            <w:r>
              <w:t>1.0</w:t>
            </w:r>
          </w:p>
        </w:tc>
        <w:tc>
          <w:tcPr>
            <w:tcW w:w="1440" w:type="dxa"/>
          </w:tcPr>
          <w:p w14:paraId="392787A8" w14:textId="08AC0CFA" w:rsidR="00892736" w:rsidRDefault="001A37EF" w:rsidP="002842F2">
            <w:pPr>
              <w:pStyle w:val="TableNormalText"/>
            </w:pPr>
            <w:r>
              <w:t>XXXXX</w:t>
            </w:r>
          </w:p>
        </w:tc>
        <w:tc>
          <w:tcPr>
            <w:tcW w:w="6565" w:type="dxa"/>
          </w:tcPr>
          <w:p w14:paraId="3C8C0030" w14:textId="7975FBB7" w:rsidR="00892736" w:rsidRDefault="00596377" w:rsidP="002842F2">
            <w:pPr>
              <w:pStyle w:val="TableNormalText"/>
            </w:pPr>
            <w:r>
              <w:t>Initial Release</w:t>
            </w:r>
          </w:p>
        </w:tc>
      </w:tr>
    </w:tbl>
    <w:p w14:paraId="6FC24569" w14:textId="0AEDD19F" w:rsidR="00901DF0" w:rsidRDefault="00901DF0" w:rsidP="000D056C"/>
    <w:p w14:paraId="608F79A1" w14:textId="7B3A1084" w:rsidR="00901DF0" w:rsidRDefault="00901DF0" w:rsidP="000D056C"/>
    <w:p w14:paraId="7D98A1E5" w14:textId="43C06CD9" w:rsidR="00901DF0" w:rsidRDefault="00901DF0" w:rsidP="000D056C"/>
    <w:p w14:paraId="564E013C" w14:textId="481C9341" w:rsidR="00A2082A" w:rsidRDefault="003E3C71" w:rsidP="000D056C">
      <w:r>
        <w:rPr>
          <w:noProof/>
        </w:rPr>
        <mc:AlternateContent>
          <mc:Choice Requires="wps">
            <w:drawing>
              <wp:anchor distT="45720" distB="45720" distL="114300" distR="114300" simplePos="0" relativeHeight="251659264" behindDoc="0" locked="0" layoutInCell="1" allowOverlap="1" wp14:anchorId="23B727D0" wp14:editId="05FBE976">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B727D0"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2B842B46"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4B5007FD" w14:textId="087CD58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37A12DAD" w14:textId="536B43CE" w:rsidR="000D056C" w:rsidRDefault="000D056C" w:rsidP="007D758E">
          <w:pPr>
            <w:pStyle w:val="TOCHeading"/>
          </w:pPr>
          <w:r>
            <w:t xml:space="preserve">Table of </w:t>
          </w:r>
          <w:r w:rsidRPr="00DE27B7">
            <w:t>Contents</w:t>
          </w:r>
        </w:p>
        <w:p w14:paraId="3D621BA4" w14:textId="20B16E46" w:rsidR="000D056C" w:rsidRDefault="00D8225E">
          <w:fldSimple w:instr=" TOC \o &quot;1-3&quot; \h \z \u ">
            <w:r>
              <w:rPr>
                <w:b/>
                <w:bCs w:val="0"/>
                <w:noProof/>
              </w:rPr>
              <w:t>No table of contents entries found.</w:t>
            </w:r>
          </w:fldSimple>
        </w:p>
      </w:sdtContent>
    </w:sdt>
    <w:p w14:paraId="2C29784F" w14:textId="12481C1F" w:rsidR="00B054FC" w:rsidRDefault="00BF3E97" w:rsidP="00BF3E97">
      <w:pPr>
        <w:pStyle w:val="TOCHeading"/>
      </w:pPr>
      <w:r>
        <w:t>Table of Exhibits</w:t>
      </w:r>
    </w:p>
    <w:p w14:paraId="66761CB8" w14:textId="6426ACD3"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21C19B27" w14:textId="5C38A33F" w:rsidR="00BF3E97" w:rsidRDefault="00BF3E97" w:rsidP="0014223A">
      <w:r>
        <w:fldChar w:fldCharType="end"/>
      </w:r>
    </w:p>
    <w:p w14:paraId="4BD5457C" w14:textId="77777777" w:rsidR="00BF3E97" w:rsidRDefault="00BF3E97" w:rsidP="0014223A"/>
    <w:p w14:paraId="1B2204F8" w14:textId="1B69FB2A"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393DFD45" w14:textId="65298CD8" w:rsidR="002F254D" w:rsidRPr="0068138C" w:rsidRDefault="002F254D" w:rsidP="00D8225E">
      <w:pPr>
        <w:pStyle w:val="Heading1"/>
        <w:numPr>
          <w:ilvl w:val="0"/>
          <w:numId w:val="0"/>
        </w:numPr>
        <w:ind w:left="1008" w:hanging="1008"/>
      </w:pPr>
    </w:p>
    <w:p>
      <w:pPr>
        <w:pStyle w:val="Heading1"/>
        <w:spacing w:before="360" w:after="120"/>
      </w:pPr>
      <w:r>
        <w:rPr>
          <w:rFonts w:ascii="Verdana" w:hAnsi="Verdana"/>
          <w:b/>
          <w:color w:val="374351"/>
          <w:sz w:val="32"/>
        </w:rPr>
        <w:t>Decision Document: MCP Tools Server Deployment Strategy</w:t>
      </w:r>
    </w:p>
    <w:p>
      <w:pPr>
        <w:pStyle w:val="Heading2"/>
        <w:spacing w:before="240" w:after="120"/>
      </w:pPr>
      <w:r>
        <w:rPr>
          <w:rFonts w:ascii="Verdana" w:hAnsi="Verdana"/>
          <w:b/>
          <w:color w:val="43627D"/>
          <w:sz w:val="27"/>
        </w:rPr>
        <w:t>Metadata</w:t>
      </w:r>
    </w:p>
    <w:p>
      <w:pPr>
        <w:pStyle w:val="ListBullet"/>
        <w:jc w:val="left"/>
      </w:pPr>
      <w:r>
        <w:rPr>
          <w:rFonts w:ascii="Verdana" w:hAnsi="Verdana"/>
          <w:sz w:val="22"/>
        </w:rPr>
        <w:t>Decision ID: DEC-001-MCP-DEPLOYMENT</w:t>
      </w:r>
    </w:p>
    <w:p>
      <w:pPr>
        <w:pStyle w:val="ListBullet"/>
        <w:jc w:val="left"/>
      </w:pPr>
      <w:r>
        <w:rPr>
          <w:rFonts w:ascii="Verdana" w:hAnsi="Verdana"/>
          <w:sz w:val="22"/>
        </w:rPr>
        <w:t>Date: July 7, 2025</w:t>
      </w:r>
    </w:p>
    <w:p>
      <w:pPr>
        <w:pStyle w:val="ListBullet"/>
        <w:jc w:val="left"/>
      </w:pPr>
      <w:r>
        <w:rPr>
          <w:rFonts w:ascii="Verdana" w:hAnsi="Verdana"/>
          <w:sz w:val="22"/>
        </w:rPr>
        <w:t>Status: Accepted</w:t>
      </w:r>
    </w:p>
    <w:p>
      <w:pPr>
        <w:pStyle w:val="ListBullet"/>
        <w:jc w:val="left"/>
      </w:pPr>
      <w:r>
        <w:rPr>
          <w:rFonts w:ascii="Verdana" w:hAnsi="Verdana"/>
          <w:sz w:val="22"/>
        </w:rPr>
        <w:t>Department: AI Research &amp; Development</w:t>
      </w:r>
    </w:p>
    <w:p>
      <w:pPr>
        <w:pStyle w:val="ListBullet"/>
        <w:jc w:val="left"/>
      </w:pPr>
      <w:r>
        <w:rPr>
          <w:rFonts w:ascii="Verdana" w:hAnsi="Verdana"/>
          <w:sz w:val="22"/>
        </w:rPr>
        <w:t>Proposed by: Technical Team</w:t>
      </w:r>
    </w:p>
    <w:p>
      <w:pPr>
        <w:pStyle w:val="ListBullet"/>
        <w:jc w:val="left"/>
      </w:pPr>
      <w:r>
        <w:rPr>
          <w:rFonts w:ascii="Verdana" w:hAnsi="Verdana"/>
          <w:sz w:val="22"/>
        </w:rPr>
        <w:t>Stakeholders: Development Team, Operations Team, Management</w:t>
      </w:r>
    </w:p>
    <w:p>
      <w:pPr>
        <w:pStyle w:val="ListBullet"/>
        <w:jc w:val="left"/>
      </w:pPr>
      <w:r>
        <w:rPr>
          <w:rFonts w:ascii="Verdana" w:hAnsi="Verdana"/>
          <w:sz w:val="22"/>
        </w:rPr>
        <w:t>Tags: MCP Tools, Deployment, Infrastructure, Security</w:t>
      </w:r>
    </w:p>
    <w:p>
      <w:pPr>
        <w:pStyle w:val="Heading2"/>
        <w:spacing w:before="240" w:after="120"/>
      </w:pPr>
      <w:r>
        <w:rPr>
          <w:rFonts w:ascii="Verdana" w:hAnsi="Verdana"/>
          <w:b/>
          <w:color w:val="43627D"/>
          <w:sz w:val="27"/>
        </w:rPr>
        <w:t>Background/Context</w:t>
      </w:r>
    </w:p>
    <w:p>
      <w:pPr>
        <w:spacing w:line="276" w:lineRule="auto" w:after="160"/>
        <w:jc w:val="both"/>
      </w:pPr>
      <w:r>
        <w:rPr>
          <w:rFonts w:ascii="Verdana" w:hAnsi="Verdana"/>
          <w:color w:val="46535E"/>
          <w:sz w:val="22"/>
        </w:rPr>
        <w:t>The organization has developed MCP (Model Context Protocol) tools for Microsoft Word document generation and management. After 4 weeks of intensive development, approximately 60% of the major functionality has been completed, with the remaining 30% representing unidentified work that may surface through usage and bug discovery. An additional 30% of work has been intentionally deferred until a backlog of 10 issues accumulates.</w:t>
      </w:r>
    </w:p>
    <w:p>
      <w:pPr>
        <w:spacing w:line="276" w:lineRule="auto" w:after="160"/>
        <w:jc w:val="both"/>
      </w:pPr>
      <w:r>
        <w:rPr>
          <w:rFonts w:ascii="Verdana" w:hAnsi="Verdana"/>
          <w:color w:val="46535E"/>
          <w:sz w:val="22"/>
        </w:rPr>
        <w:t>The MCP tools have been specifically designed to showcase accurate formatting capabilities and integrate with AI models like Claude Sonnet (via GitHub Copilot extension) for long-form document generation. Initial testing has shown promising results in reducing content generation time from 70% to 30% of total project time, while validation time has increased from 30% to 40%.</w:t>
      </w:r>
    </w:p>
    <w:p>
      <w:pPr>
        <w:spacing w:line="276" w:lineRule="auto" w:after="160"/>
        <w:jc w:val="both"/>
      </w:pPr>
      <w:r>
        <w:rPr>
          <w:rFonts w:ascii="Verdana" w:hAnsi="Verdana"/>
          <w:color w:val="46535E"/>
          <w:sz w:val="22"/>
        </w:rPr>
        <w:t>The decision centers around choosing the optimal deployment strategy for the MCP tools server, balancing factors such as cost, security, operational complexity, and organizational requirements.</w:t>
      </w:r>
    </w:p>
    <w:p>
      <w:pPr>
        <w:pStyle w:val="Heading2"/>
        <w:spacing w:before="240" w:after="120"/>
      </w:pPr>
      <w:r>
        <w:rPr>
          <w:rFonts w:ascii="Verdana" w:hAnsi="Verdana"/>
          <w:b/>
          <w:color w:val="43627D"/>
          <w:sz w:val="27"/>
        </w:rPr>
        <w:t>Alternatives Considered</w:t>
      </w:r>
    </w:p>
    <w:p>
      <w:pPr>
        <w:pStyle w:val="Heading3"/>
        <w:spacing w:before="240" w:after="120"/>
      </w:pPr>
      <w:r>
        <w:rPr>
          <w:rFonts w:ascii="Verdana" w:hAnsi="Verdana"/>
          <w:b/>
          <w:color w:val="46535E"/>
          <w:sz w:val="22"/>
        </w:rPr>
        <w:t>Option 1: Local Deployment</w:t>
      </w:r>
    </w:p>
    <w:p>
      <w:pPr>
        <w:spacing w:line="276" w:lineRule="auto" w:after="160"/>
        <w:jc w:val="both"/>
      </w:pPr>
      <w:r>
        <w:rPr>
          <w:rFonts w:ascii="Verdana" w:hAnsi="Verdana"/>
          <w:color w:val="46535E"/>
          <w:sz w:val="22"/>
        </w:rPr>
        <w:t>Deploy the MCP tools server locally within the organization's infrastructure.</w:t>
      </w:r>
    </w:p>
    <w:p>
      <w:pPr>
        <w:spacing w:before="240" w:after="80" w:line="276" w:lineRule="auto"/>
        <w:jc w:val="left"/>
      </w:pPr>
      <w:r>
        <w:rPr>
          <w:rFonts w:ascii="Verdana" w:hAnsi="Verdana"/>
          <w:b/>
          <w:color w:val="C1D82F"/>
          <w:sz w:val="22"/>
        </w:rPr>
        <w:t>Pros:</w:t>
      </w:r>
    </w:p>
    <w:p>
      <w:pPr>
        <w:pStyle w:val="ListBullet"/>
        <w:jc w:val="left"/>
      </w:pPr>
      <w:r>
        <w:rPr>
          <w:rFonts w:ascii="Verdana" w:hAnsi="Verdana"/>
          <w:sz w:val="22"/>
        </w:rPr>
        <w:t>Zero operational costs for hosting</w:t>
      </w:r>
    </w:p>
    <w:p>
      <w:pPr>
        <w:pStyle w:val="ListBullet"/>
        <w:jc w:val="left"/>
      </w:pPr>
      <w:r>
        <w:rPr>
          <w:rFonts w:ascii="Verdana" w:hAnsi="Verdana"/>
          <w:sz w:val="22"/>
        </w:rPr>
        <w:t>Complete data control and privacy</w:t>
      </w:r>
    </w:p>
    <w:p>
      <w:pPr>
        <w:pStyle w:val="ListBullet"/>
        <w:jc w:val="left"/>
      </w:pPr>
      <w:r>
        <w:rPr>
          <w:rFonts w:ascii="Verdana" w:hAnsi="Verdana"/>
          <w:sz w:val="22"/>
        </w:rPr>
        <w:t>No external dependencies</w:t>
      </w:r>
    </w:p>
    <w:p>
      <w:pPr>
        <w:pStyle w:val="ListBullet"/>
        <w:jc w:val="left"/>
      </w:pPr>
      <w:r>
        <w:rPr>
          <w:rFonts w:ascii="Verdana" w:hAnsi="Verdana"/>
          <w:sz w:val="22"/>
        </w:rPr>
        <w:t>Direct integration with GitHub Copilot extension</w:t>
      </w:r>
    </w:p>
    <w:p>
      <w:pPr>
        <w:pStyle w:val="ListBullet"/>
        <w:jc w:val="left"/>
      </w:pPr>
      <w:r>
        <w:rPr>
          <w:rFonts w:ascii="Verdana" w:hAnsi="Verdana"/>
          <w:sz w:val="22"/>
        </w:rPr>
        <w:t>Enhanced security through Docker containerization with mounted folder access only</w:t>
      </w:r>
    </w:p>
    <w:p>
      <w:pPr>
        <w:spacing w:before="240" w:after="80" w:line="276" w:lineRule="auto"/>
        <w:jc w:val="left"/>
      </w:pPr>
      <w:r>
        <w:rPr>
          <w:rFonts w:ascii="Verdana" w:hAnsi="Verdana"/>
          <w:b/>
          <w:color w:val="C1D82F"/>
          <w:sz w:val="22"/>
        </w:rPr>
        <w:t>Cons:</w:t>
      </w:r>
    </w:p>
    <w:p>
      <w:pPr>
        <w:pStyle w:val="ListBullet"/>
        <w:jc w:val="left"/>
      </w:pPr>
      <w:r>
        <w:rPr>
          <w:rFonts w:ascii="Verdana" w:hAnsi="Verdana"/>
          <w:sz w:val="22"/>
        </w:rPr>
        <w:t>Requires Python installation and management</w:t>
      </w:r>
    </w:p>
    <w:p>
      <w:pPr>
        <w:pStyle w:val="ListBullet"/>
        <w:jc w:val="left"/>
      </w:pPr>
      <w:r>
        <w:rPr>
          <w:rFonts w:ascii="Verdana" w:hAnsi="Verdana"/>
          <w:sz w:val="22"/>
        </w:rPr>
        <w:t>Limited scalability for multiple users</w:t>
      </w:r>
    </w:p>
    <w:p>
      <w:pPr>
        <w:pStyle w:val="ListBullet"/>
        <w:jc w:val="left"/>
      </w:pPr>
      <w:r>
        <w:rPr>
          <w:rFonts w:ascii="Verdana" w:hAnsi="Verdana"/>
          <w:sz w:val="22"/>
        </w:rPr>
        <w:t>Dependency on local infrastructure maintenance</w:t>
      </w:r>
    </w:p>
    <w:p>
      <w:pPr>
        <w:pStyle w:val="ListBullet"/>
        <w:jc w:val="left"/>
      </w:pPr>
      <w:r>
        <w:rPr>
          <w:rFonts w:ascii="Verdana" w:hAnsi="Verdana"/>
          <w:sz w:val="22"/>
        </w:rPr>
        <w:t>Potential single point of failure</w:t>
      </w:r>
    </w:p>
    <w:p>
      <w:pPr>
        <w:pStyle w:val="Heading3"/>
        <w:spacing w:before="240" w:after="120"/>
      </w:pPr>
      <w:r>
        <w:rPr>
          <w:rFonts w:ascii="Verdana" w:hAnsi="Verdana"/>
          <w:b/>
          <w:color w:val="46535E"/>
          <w:sz w:val="22"/>
        </w:rPr>
        <w:t>Option 2: Cloud Server Deployment</w:t>
      </w:r>
    </w:p>
    <w:p>
      <w:pPr>
        <w:spacing w:line="276" w:lineRule="auto" w:after="160"/>
        <w:jc w:val="both"/>
      </w:pPr>
      <w:r>
        <w:rPr>
          <w:rFonts w:ascii="Verdana" w:hAnsi="Verdana"/>
          <w:color w:val="46535E"/>
          <w:sz w:val="22"/>
        </w:rPr>
        <w:t>Deploy the MCP tools server on cloud infrastructure with custom interface.</w:t>
      </w:r>
    </w:p>
    <w:p>
      <w:pPr>
        <w:spacing w:before="240" w:after="80" w:line="276" w:lineRule="auto"/>
        <w:jc w:val="left"/>
      </w:pPr>
      <w:r>
        <w:rPr>
          <w:rFonts w:ascii="Verdana" w:hAnsi="Verdana"/>
          <w:b/>
          <w:color w:val="C1D82F"/>
          <w:sz w:val="22"/>
        </w:rPr>
        <w:t>Pros:</w:t>
      </w:r>
    </w:p>
    <w:p>
      <w:pPr>
        <w:pStyle w:val="ListBullet"/>
        <w:jc w:val="left"/>
      </w:pPr>
      <w:r>
        <w:rPr>
          <w:rFonts w:ascii="Verdana" w:hAnsi="Verdana"/>
          <w:sz w:val="22"/>
        </w:rPr>
        <w:t>Enhanced scalability for multiple concurrent users</w:t>
      </w:r>
    </w:p>
    <w:p>
      <w:pPr>
        <w:pStyle w:val="ListBullet"/>
        <w:jc w:val="left"/>
      </w:pPr>
      <w:r>
        <w:rPr>
          <w:rFonts w:ascii="Verdana" w:hAnsi="Verdana"/>
          <w:sz w:val="22"/>
        </w:rPr>
        <w:t>Professional managed infrastructure</w:t>
      </w:r>
    </w:p>
    <w:p>
      <w:pPr>
        <w:pStyle w:val="ListBullet"/>
        <w:jc w:val="left"/>
      </w:pPr>
      <w:r>
        <w:rPr>
          <w:rFonts w:ascii="Verdana" w:hAnsi="Verdana"/>
          <w:sz w:val="22"/>
        </w:rPr>
        <w:t>Potential for custom interface development</w:t>
      </w:r>
    </w:p>
    <w:p>
      <w:pPr>
        <w:pStyle w:val="ListBullet"/>
        <w:jc w:val="left"/>
      </w:pPr>
      <w:r>
        <w:rPr>
          <w:rFonts w:ascii="Verdana" w:hAnsi="Verdana"/>
          <w:sz w:val="22"/>
        </w:rPr>
        <w:t>Better availability and uptime</w:t>
      </w:r>
    </w:p>
    <w:p>
      <w:pPr>
        <w:pStyle w:val="ListBullet"/>
        <w:jc w:val="left"/>
      </w:pPr>
      <w:r>
        <w:rPr>
          <w:rFonts w:ascii="Verdana" w:hAnsi="Verdana"/>
          <w:sz w:val="22"/>
        </w:rPr>
        <w:t>Advanced monitoring and logging capabilities</w:t>
      </w:r>
    </w:p>
    <w:p>
      <w:pPr>
        <w:spacing w:before="240" w:after="80" w:line="276" w:lineRule="auto"/>
        <w:jc w:val="left"/>
      </w:pPr>
      <w:r>
        <w:rPr>
          <w:rFonts w:ascii="Verdana" w:hAnsi="Verdana"/>
          <w:b/>
          <w:color w:val="C1D82F"/>
          <w:sz w:val="22"/>
        </w:rPr>
        <w:t>Cons:</w:t>
      </w:r>
    </w:p>
    <w:p>
      <w:pPr>
        <w:pStyle w:val="ListBullet"/>
        <w:jc w:val="left"/>
      </w:pPr>
      <w:r>
        <w:rPr>
          <w:rFonts w:ascii="Verdana" w:hAnsi="Verdana"/>
          <w:sz w:val="22"/>
        </w:rPr>
        <w:t>Ongoing operational costs</w:t>
      </w:r>
    </w:p>
    <w:p>
      <w:pPr>
        <w:pStyle w:val="ListBullet"/>
        <w:jc w:val="left"/>
      </w:pPr>
      <w:r>
        <w:rPr>
          <w:rFonts w:ascii="Verdana" w:hAnsi="Verdana"/>
          <w:sz w:val="22"/>
        </w:rPr>
        <w:t>Requires expertise in SSE (Server-Sent Events) and streamable HTTP protocols</w:t>
      </w:r>
    </w:p>
    <w:p>
      <w:pPr>
        <w:pStyle w:val="ListBullet"/>
        <w:jc w:val="left"/>
      </w:pPr>
      <w:r>
        <w:rPr>
          <w:rFonts w:ascii="Verdana" w:hAnsi="Verdana"/>
          <w:sz w:val="22"/>
        </w:rPr>
        <w:t>Loss of GitHub Copilot integration benefits</w:t>
      </w:r>
    </w:p>
    <w:p>
      <w:pPr>
        <w:pStyle w:val="ListBullet"/>
        <w:jc w:val="left"/>
      </w:pPr>
      <w:r>
        <w:rPr>
          <w:rFonts w:ascii="Verdana" w:hAnsi="Verdana"/>
          <w:sz w:val="22"/>
        </w:rPr>
        <w:t>Additional complexity in custom interface development</w:t>
      </w:r>
    </w:p>
    <w:p>
      <w:pPr>
        <w:pStyle w:val="ListBullet"/>
        <w:jc w:val="left"/>
      </w:pPr>
      <w:r>
        <w:rPr>
          <w:rFonts w:ascii="Verdana" w:hAnsi="Verdana"/>
          <w:sz w:val="22"/>
        </w:rPr>
        <w:t>Potential data privacy concerns with external hosting</w:t>
      </w:r>
    </w:p>
    <w:p>
      <w:pPr>
        <w:pStyle w:val="Heading2"/>
        <w:spacing w:before="240" w:after="120"/>
      </w:pPr>
      <w:r>
        <w:rPr>
          <w:rFonts w:ascii="Verdana" w:hAnsi="Verdana"/>
          <w:b/>
          <w:color w:val="43627D"/>
          <w:sz w:val="27"/>
        </w:rPr>
        <w:t>The Decision</w:t>
      </w:r>
    </w:p>
    <w:p>
      <w:pPr>
        <w:spacing w:line="276" w:lineRule="auto" w:after="160"/>
        <w:jc w:val="both"/>
      </w:pPr>
      <w:r>
        <w:rPr>
          <w:rFonts w:ascii="Verdana" w:hAnsi="Verdana"/>
          <w:color w:val="46535E"/>
          <w:sz w:val="22"/>
        </w:rPr>
        <w:t>Decision: Proceed with Local Deployment using Docker containerization for initial implementation, with cloud deployment as a future consideration based on usage patterns and organizational needs.</w:t>
      </w:r>
    </w:p>
    <w:p>
      <w:pPr>
        <w:pStyle w:val="Heading3"/>
        <w:spacing w:before="240" w:after="120"/>
      </w:pPr>
      <w:r>
        <w:rPr>
          <w:rFonts w:ascii="Verdana" w:hAnsi="Verdana"/>
          <w:b/>
          <w:color w:val="46535E"/>
          <w:sz w:val="22"/>
        </w:rPr>
        <w:t>Rationale</w:t>
      </w:r>
    </w:p>
    <w:p>
      <w:pPr>
        <w:pStyle w:val="ListNumber"/>
        <w:jc w:val="left"/>
      </w:pPr>
      <w:r>
        <w:rPr>
          <w:rFonts w:ascii="Verdana" w:hAnsi="Verdana"/>
          <w:sz w:val="22"/>
        </w:rPr>
        <w:t>Cost Effectiveness: Zero operational costs align with current budget constraints and allow for resource allocation toward development</w:t>
      </w:r>
    </w:p>
    <w:p>
      <w:pPr>
        <w:pStyle w:val="ListNumber"/>
        <w:jc w:val="left"/>
      </w:pPr>
      <w:r>
        <w:rPr>
          <w:rFonts w:ascii="Verdana" w:hAnsi="Verdana"/>
          <w:sz w:val="22"/>
        </w:rPr>
        <w:t>Security Priority: Docker containerization with mounted folder access provides robust protection against cyber attacks</w:t>
      </w:r>
    </w:p>
    <w:p>
      <w:pPr>
        <w:pStyle w:val="ListNumber"/>
        <w:jc w:val="left"/>
      </w:pPr>
      <w:r>
        <w:rPr>
          <w:rFonts w:ascii="Verdana" w:hAnsi="Verdana"/>
          <w:sz w:val="22"/>
        </w:rPr>
        <w:t>Integration Benefits: Maintains seamless integration with GitHub Copilot extension and Claude Sonnet AI models</w:t>
      </w:r>
    </w:p>
    <w:p>
      <w:pPr>
        <w:pStyle w:val="ListNumber"/>
        <w:jc w:val="left"/>
      </w:pPr>
      <w:r>
        <w:rPr>
          <w:rFonts w:ascii="Verdana" w:hAnsi="Verdana"/>
          <w:sz w:val="22"/>
        </w:rPr>
        <w:t>Risk Mitigation: Local deployment reduces data privacy concerns and maintains compliance with organizational security policies</w:t>
      </w:r>
    </w:p>
    <w:p>
      <w:pPr>
        <w:pStyle w:val="ListNumber"/>
        <w:jc w:val="left"/>
      </w:pPr>
      <w:r>
        <w:rPr>
          <w:rFonts w:ascii="Verdana" w:hAnsi="Verdana"/>
          <w:sz w:val="22"/>
        </w:rPr>
        <w:t>Development Focus: Allows team to concentrate on the remaining 30% of features rather than infrastructure complexity</w:t>
      </w:r>
    </w:p>
    <w:p>
      <w:pPr>
        <w:pStyle w:val="Heading3"/>
        <w:spacing w:before="240" w:after="120"/>
      </w:pPr>
      <w:r>
        <w:rPr>
          <w:rFonts w:ascii="Verdana" w:hAnsi="Verdana"/>
          <w:b/>
          <w:color w:val="46535E"/>
          <w:sz w:val="22"/>
        </w:rPr>
        <w:t>Implementation Components</w:t>
      </w:r>
    </w:p>
    <w:p>
      <w:pPr>
        <w:pStyle w:val="ListBullet"/>
        <w:jc w:val="left"/>
      </w:pPr>
      <w:r>
        <w:rPr>
          <w:rFonts w:ascii="Verdana" w:hAnsi="Verdana"/>
          <w:sz w:val="22"/>
        </w:rPr>
        <w:t>Docker containerization for security isolation</w:t>
      </w:r>
    </w:p>
    <w:p>
      <w:pPr>
        <w:pStyle w:val="ListBullet"/>
        <w:jc w:val="left"/>
      </w:pPr>
      <w:r>
        <w:rPr>
          <w:rFonts w:ascii="Verdana" w:hAnsi="Verdana"/>
          <w:sz w:val="22"/>
        </w:rPr>
        <w:t>Python environment setup and management</w:t>
      </w:r>
    </w:p>
    <w:p>
      <w:pPr>
        <w:pStyle w:val="ListBullet"/>
        <w:jc w:val="left"/>
      </w:pPr>
      <w:r>
        <w:rPr>
          <w:rFonts w:ascii="Verdana" w:hAnsi="Verdana"/>
          <w:sz w:val="22"/>
        </w:rPr>
        <w:t>Integration with existing GitHub Copilot workflow</w:t>
      </w:r>
    </w:p>
    <w:p>
      <w:pPr>
        <w:pStyle w:val="ListBullet"/>
        <w:jc w:val="left"/>
      </w:pPr>
      <w:r>
        <w:rPr>
          <w:rFonts w:ascii="Verdana" w:hAnsi="Verdana"/>
          <w:sz w:val="22"/>
        </w:rPr>
        <w:t>Monitoring system for the deferred 30% feature completion</w:t>
      </w:r>
    </w:p>
    <w:p>
      <w:pPr>
        <w:pStyle w:val="ListBullet"/>
        <w:jc w:val="left"/>
      </w:pPr>
      <w:r>
        <w:rPr>
          <w:rFonts w:ascii="Verdana" w:hAnsi="Verdana"/>
          <w:sz w:val="22"/>
        </w:rPr>
        <w:t>Documentation for local deployment procedures</w:t>
      </w:r>
    </w:p>
    <w:p>
      <w:pPr>
        <w:pStyle w:val="Heading2"/>
        <w:spacing w:before="240" w:after="120"/>
      </w:pPr>
      <w:r>
        <w:rPr>
          <w:rFonts w:ascii="Verdana" w:hAnsi="Verdana"/>
          <w:b/>
          <w:color w:val="43627D"/>
          <w:sz w:val="27"/>
        </w:rPr>
        <w:t>Impact</w:t>
      </w:r>
    </w:p>
    <w:p>
      <w:pPr>
        <w:pStyle w:val="Heading3"/>
        <w:spacing w:before="240" w:after="120"/>
      </w:pPr>
      <w:r>
        <w:rPr>
          <w:rFonts w:ascii="Verdana" w:hAnsi="Verdana"/>
          <w:b/>
          <w:color w:val="46535E"/>
          <w:sz w:val="22"/>
        </w:rPr>
        <w:t>Positive Impacts</w:t>
      </w:r>
    </w:p>
    <w:p>
      <w:pPr>
        <w:pStyle w:val="ListBullet"/>
        <w:jc w:val="left"/>
      </w:pPr>
      <w:r>
        <w:rPr>
          <w:rFonts w:ascii="Verdana" w:hAnsi="Verdana"/>
          <w:sz w:val="22"/>
        </w:rPr>
        <w:t>Immediate cost savings with zero operational expenses</w:t>
      </w:r>
    </w:p>
    <w:p>
      <w:pPr>
        <w:pStyle w:val="ListBullet"/>
        <w:jc w:val="left"/>
      </w:pPr>
      <w:r>
        <w:rPr>
          <w:rFonts w:ascii="Verdana" w:hAnsi="Verdana"/>
          <w:sz w:val="22"/>
        </w:rPr>
        <w:t>Enhanced security posture through containerization</w:t>
      </w:r>
    </w:p>
    <w:p>
      <w:pPr>
        <w:pStyle w:val="ListBullet"/>
        <w:jc w:val="left"/>
      </w:pPr>
      <w:r>
        <w:rPr>
          <w:rFonts w:ascii="Verdana" w:hAnsi="Verdana"/>
          <w:sz w:val="22"/>
        </w:rPr>
        <w:t>Faster time-to-market for current 60% completed functionality</w:t>
      </w:r>
    </w:p>
    <w:p>
      <w:pPr>
        <w:pStyle w:val="ListBullet"/>
        <w:jc w:val="left"/>
      </w:pPr>
      <w:r>
        <w:rPr>
          <w:rFonts w:ascii="Verdana" w:hAnsi="Verdana"/>
          <w:sz w:val="22"/>
        </w:rPr>
        <w:t>Preserved integration benefits with AI models (Claude Sonnet, GPT)</w:t>
      </w:r>
    </w:p>
    <w:p>
      <w:pPr>
        <w:pStyle w:val="ListBullet"/>
        <w:jc w:val="left"/>
      </w:pPr>
      <w:r>
        <w:rPr>
          <w:rFonts w:ascii="Verdana" w:hAnsi="Verdana"/>
          <w:sz w:val="22"/>
        </w:rPr>
        <w:t>Maintained data sovereignty and compliance</w:t>
      </w:r>
    </w:p>
    <w:p>
      <w:pPr>
        <w:pStyle w:val="ListBullet"/>
        <w:jc w:val="left"/>
      </w:pPr>
      <w:r>
        <w:rPr>
          <w:rFonts w:ascii="Verdana" w:hAnsi="Verdana"/>
          <w:sz w:val="22"/>
        </w:rPr>
        <w:t>Demonstrated efficiency gains: 37.5% overall time savings in document generation workflows</w:t>
      </w:r>
    </w:p>
    <w:p>
      <w:pPr>
        <w:pStyle w:val="Heading3"/>
        <w:spacing w:before="240" w:after="120"/>
      </w:pPr>
      <w:r>
        <w:rPr>
          <w:rFonts w:ascii="Verdana" w:hAnsi="Verdana"/>
          <w:b/>
          <w:color w:val="46535E"/>
          <w:sz w:val="22"/>
        </w:rPr>
        <w:t>Trade-offs and Limitations</w:t>
      </w:r>
    </w:p>
    <w:p>
      <w:pPr>
        <w:pStyle w:val="ListBullet"/>
        <w:jc w:val="left"/>
      </w:pPr>
      <w:r>
        <w:rPr>
          <w:rFonts w:ascii="Verdana" w:hAnsi="Verdana"/>
          <w:sz w:val="22"/>
        </w:rPr>
        <w:t>Limited scalability for concurrent users</w:t>
      </w:r>
    </w:p>
    <w:p>
      <w:pPr>
        <w:pStyle w:val="ListBullet"/>
        <w:jc w:val="left"/>
      </w:pPr>
      <w:r>
        <w:rPr>
          <w:rFonts w:ascii="Verdana" w:hAnsi="Verdana"/>
          <w:sz w:val="22"/>
        </w:rPr>
        <w:t>Dependency on local infrastructure maintenance and support</w:t>
      </w:r>
    </w:p>
    <w:p>
      <w:pPr>
        <w:pStyle w:val="ListBullet"/>
        <w:jc w:val="left"/>
      </w:pPr>
      <w:r>
        <w:rPr>
          <w:rFonts w:ascii="Verdana" w:hAnsi="Verdana"/>
          <w:sz w:val="22"/>
        </w:rPr>
        <w:t>Requirement for Python expertise within the organization</w:t>
      </w:r>
    </w:p>
    <w:p>
      <w:pPr>
        <w:pStyle w:val="ListBullet"/>
        <w:jc w:val="left"/>
      </w:pPr>
      <w:r>
        <w:rPr>
          <w:rFonts w:ascii="Verdana" w:hAnsi="Verdana"/>
          <w:sz w:val="22"/>
        </w:rPr>
        <w:t>Potential single point of failure without redundancy</w:t>
      </w:r>
    </w:p>
    <w:p>
      <w:pPr>
        <w:pStyle w:val="ListBullet"/>
        <w:jc w:val="left"/>
      </w:pPr>
      <w:r>
        <w:rPr>
          <w:rFonts w:ascii="Verdana" w:hAnsi="Verdana"/>
          <w:sz w:val="22"/>
        </w:rPr>
        <w:t>Deferred cloud capabilities may require future architecture changes</w:t>
      </w:r>
    </w:p>
    <w:p>
      <w:pPr>
        <w:pStyle w:val="ListBullet"/>
        <w:jc w:val="left"/>
      </w:pPr>
      <w:r>
        <w:rPr>
          <w:rFonts w:ascii="Verdana" w:hAnsi="Verdana"/>
          <w:sz w:val="22"/>
        </w:rPr>
        <w:t>Increased validation time (75% increase) requiring process optimization</w:t>
      </w:r>
    </w:p>
    <w:p>
      <w:pPr>
        <w:pStyle w:val="Heading3"/>
        <w:spacing w:before="240" w:after="120"/>
      </w:pPr>
      <w:r>
        <w:rPr>
          <w:rFonts w:ascii="Verdana" w:hAnsi="Verdana"/>
          <w:b/>
          <w:color w:val="46535E"/>
          <w:sz w:val="22"/>
        </w:rPr>
        <w:t>Performance Metrics</w:t>
      </w:r>
    </w:p>
    <w:p>
      <w:pPr>
        <w:spacing w:line="276" w:lineRule="auto" w:after="160"/>
        <w:jc w:val="both"/>
      </w:pPr>
      <w:r>
        <w:rPr>
          <w:rFonts w:ascii="Verdana" w:hAnsi="Verdana"/>
          <w:color w:val="46535E"/>
          <w:sz w:val="22"/>
        </w:rPr>
        <w:t>Based on technical analysis, the implementation shows measurable improvements in workflow efficiency: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374351"/>
          </w:tcPr>
          <w:p>
            <w:pPr>
              <w:jc w:val="center"/>
            </w:pPr>
            <w:r>
              <w:rPr>
                <w:rFonts w:ascii="Verdana" w:hAnsi="Verdana"/>
                <w:b/>
                <w:color w:val="FFFFFF"/>
                <w:sz w:val="16"/>
              </w:rPr>
              <w:t>Workflow Phase</w:t>
            </w:r>
          </w:p>
        </w:tc>
        <w:tc>
          <w:tcPr>
            <w:tcW w:type="dxa" w:w="2016"/>
            <w:shd w:fill="374351"/>
          </w:tcPr>
          <w:p>
            <w:pPr>
              <w:jc w:val="center"/>
            </w:pPr>
            <w:r>
              <w:rPr>
                <w:rFonts w:ascii="Verdana" w:hAnsi="Verdana"/>
                <w:b/>
                <w:color w:val="FFFFFF"/>
                <w:sz w:val="16"/>
              </w:rPr>
              <w:t>Manual Approach</w:t>
            </w:r>
          </w:p>
        </w:tc>
        <w:tc>
          <w:tcPr>
            <w:tcW w:type="dxa" w:w="2016"/>
            <w:shd w:fill="374351"/>
          </w:tcPr>
          <w:p>
            <w:pPr>
              <w:jc w:val="center"/>
            </w:pPr>
            <w:r>
              <w:rPr>
                <w:rFonts w:ascii="Verdana" w:hAnsi="Verdana"/>
                <w:b/>
                <w:color w:val="FFFFFF"/>
                <w:sz w:val="16"/>
              </w:rPr>
              <w:t>AI-Assisted Approach</w:t>
            </w:r>
          </w:p>
        </w:tc>
        <w:tc>
          <w:tcPr>
            <w:tcW w:type="dxa" w:w="2016"/>
            <w:shd w:fill="374351"/>
          </w:tcPr>
          <w:p>
            <w:pPr>
              <w:jc w:val="center"/>
            </w:pPr>
            <w:r>
              <w:rPr>
                <w:rFonts w:ascii="Verdana" w:hAnsi="Verdana"/>
                <w:b/>
                <w:color w:val="FFFFFF"/>
                <w:sz w:val="16"/>
              </w:rPr>
              <w:t>Time Savings</w:t>
            </w:r>
          </w:p>
        </w:tc>
        <w:tc>
          <w:tcPr>
            <w:tcW w:type="dxa" w:w="2016"/>
            <w:shd w:fill="374351"/>
          </w:tcPr>
          <w:p>
            <w:pPr>
              <w:jc w:val="center"/>
            </w:pPr>
            <w:r>
              <w:rPr>
                <w:rFonts w:ascii="Verdana" w:hAnsi="Verdana"/>
                <w:b/>
                <w:color w:val="FFFFFF"/>
                <w:sz w:val="16"/>
              </w:rPr>
              <w:t>Productivity Ratio</w:t>
            </w:r>
          </w:p>
        </w:tc>
      </w:tr>
      <w:tr>
        <w:tc>
          <w:tcPr>
            <w:tcW w:type="dxa" w:w="2016"/>
          </w:tcPr>
          <w:p>
            <w:pPr>
              <w:jc w:val="center"/>
            </w:pPr>
            <w:r>
              <w:rPr>
                <w:rFonts w:ascii="Verdana" w:hAnsi="Verdana"/>
                <w:color w:val="46535E"/>
                <w:sz w:val="16"/>
              </w:rPr>
              <w:t>Content Generation</w:t>
            </w:r>
          </w:p>
        </w:tc>
        <w:tc>
          <w:tcPr>
            <w:tcW w:type="dxa" w:w="2016"/>
          </w:tcPr>
          <w:p>
            <w:pPr>
              <w:jc w:val="center"/>
            </w:pPr>
            <w:r>
              <w:rPr>
                <w:rFonts w:ascii="Verdana" w:hAnsi="Verdana"/>
                <w:color w:val="46535E"/>
                <w:sz w:val="16"/>
              </w:rPr>
              <w:t>70% of total time</w:t>
            </w:r>
          </w:p>
        </w:tc>
        <w:tc>
          <w:tcPr>
            <w:tcW w:type="dxa" w:w="2016"/>
          </w:tcPr>
          <w:p>
            <w:pPr>
              <w:jc w:val="center"/>
            </w:pPr>
            <w:r>
              <w:rPr>
                <w:rFonts w:ascii="Verdana" w:hAnsi="Verdana"/>
                <w:color w:val="46535E"/>
                <w:sz w:val="16"/>
              </w:rPr>
              <w:t>30% of total time</w:t>
            </w:r>
          </w:p>
        </w:tc>
        <w:tc>
          <w:tcPr>
            <w:tcW w:type="dxa" w:w="2016"/>
          </w:tcPr>
          <w:p>
            <w:pPr>
              <w:jc w:val="center"/>
            </w:pPr>
            <w:r>
              <w:rPr>
                <w:rFonts w:ascii="Verdana" w:hAnsi="Verdana"/>
                <w:color w:val="46535E"/>
                <w:sz w:val="16"/>
              </w:rPr>
              <w:t>+75% time saved</w:t>
            </w:r>
          </w:p>
        </w:tc>
        <w:tc>
          <w:tcPr>
            <w:tcW w:type="dxa" w:w="2016"/>
          </w:tcPr>
          <w:p>
            <w:pPr>
              <w:jc w:val="center"/>
            </w:pPr>
            <w:r>
              <w:rPr>
                <w:rFonts w:ascii="Verdana" w:hAnsi="Verdana"/>
                <w:color w:val="46535E"/>
                <w:sz w:val="16"/>
              </w:rPr>
              <w:t>4.0x faster</w:t>
            </w:r>
          </w:p>
        </w:tc>
      </w:tr>
      <w:tr>
        <w:tc>
          <w:tcPr>
            <w:tcW w:type="dxa" w:w="2016"/>
          </w:tcPr>
          <w:p>
            <w:pPr>
              <w:jc w:val="center"/>
            </w:pPr>
            <w:r>
              <w:rPr>
                <w:rFonts w:ascii="Verdana" w:hAnsi="Verdana"/>
                <w:color w:val="46535E"/>
                <w:sz w:val="16"/>
              </w:rPr>
              <w:t>Validation &amp; Review</w:t>
            </w:r>
          </w:p>
        </w:tc>
        <w:tc>
          <w:tcPr>
            <w:tcW w:type="dxa" w:w="2016"/>
          </w:tcPr>
          <w:p>
            <w:pPr>
              <w:jc w:val="center"/>
            </w:pPr>
            <w:r>
              <w:rPr>
                <w:rFonts w:ascii="Verdana" w:hAnsi="Verdana"/>
                <w:color w:val="46535E"/>
                <w:sz w:val="16"/>
              </w:rPr>
              <w:t>30% of total time</w:t>
            </w:r>
          </w:p>
        </w:tc>
        <w:tc>
          <w:tcPr>
            <w:tcW w:type="dxa" w:w="2016"/>
          </w:tcPr>
          <w:p>
            <w:pPr>
              <w:jc w:val="center"/>
            </w:pPr>
            <w:r>
              <w:rPr>
                <w:rFonts w:ascii="Verdana" w:hAnsi="Verdana"/>
                <w:color w:val="46535E"/>
                <w:sz w:val="16"/>
              </w:rPr>
              <w:t>40% of total time</w:t>
            </w:r>
          </w:p>
        </w:tc>
        <w:tc>
          <w:tcPr>
            <w:tcW w:type="dxa" w:w="2016"/>
          </w:tcPr>
          <w:p>
            <w:pPr>
              <w:jc w:val="center"/>
            </w:pPr>
            <w:r>
              <w:rPr>
                <w:rFonts w:ascii="Verdana" w:hAnsi="Verdana"/>
                <w:color w:val="46535E"/>
                <w:sz w:val="16"/>
              </w:rPr>
              <w:t>-75% time increase</w:t>
            </w:r>
          </w:p>
        </w:tc>
        <w:tc>
          <w:tcPr>
            <w:tcW w:type="dxa" w:w="2016"/>
          </w:tcPr>
          <w:p>
            <w:pPr>
              <w:jc w:val="center"/>
            </w:pPr>
            <w:r>
              <w:rPr>
                <w:rFonts w:ascii="Verdana" w:hAnsi="Verdana"/>
                <w:color w:val="46535E"/>
                <w:sz w:val="16"/>
              </w:rPr>
              <w:t>0.57x (slower)</w:t>
            </w:r>
          </w:p>
        </w:tc>
      </w:tr>
      <w:tr>
        <w:tc>
          <w:tcPr>
            <w:tcW w:type="dxa" w:w="2016"/>
          </w:tcPr>
          <w:p>
            <w:pPr>
              <w:jc w:val="center"/>
            </w:pPr>
            <w:r>
              <w:rPr>
                <w:rFonts w:ascii="Verdana" w:hAnsi="Verdana"/>
                <w:color w:val="46535E"/>
                <w:sz w:val="16"/>
              </w:rPr>
              <w:t>Overall Workflow</w:t>
            </w:r>
          </w:p>
        </w:tc>
        <w:tc>
          <w:tcPr>
            <w:tcW w:type="dxa" w:w="2016"/>
          </w:tcPr>
          <w:p>
            <w:pPr>
              <w:jc w:val="center"/>
            </w:pPr>
            <w:r>
              <w:rPr>
                <w:rFonts w:ascii="Verdana" w:hAnsi="Verdana"/>
                <w:color w:val="46535E"/>
                <w:sz w:val="16"/>
              </w:rPr>
              <w:t>100% baseline</w:t>
            </w:r>
          </w:p>
        </w:tc>
        <w:tc>
          <w:tcPr>
            <w:tcW w:type="dxa" w:w="2016"/>
          </w:tcPr>
          <w:p>
            <w:pPr>
              <w:jc w:val="center"/>
            </w:pPr>
            <w:r>
              <w:rPr>
                <w:rFonts w:ascii="Verdana" w:hAnsi="Verdana"/>
                <w:color w:val="46535E"/>
                <w:sz w:val="16"/>
              </w:rPr>
              <w:t>62.5% of baseline</w:t>
            </w:r>
          </w:p>
        </w:tc>
        <w:tc>
          <w:tcPr>
            <w:tcW w:type="dxa" w:w="2016"/>
          </w:tcPr>
          <w:p>
            <w:pPr>
              <w:jc w:val="center"/>
            </w:pPr>
            <w:r>
              <w:rPr>
                <w:rFonts w:ascii="Verdana" w:hAnsi="Verdana"/>
                <w:color w:val="46535E"/>
                <w:sz w:val="16"/>
              </w:rPr>
              <w:t>+37.5% time saved</w:t>
            </w:r>
          </w:p>
        </w:tc>
        <w:tc>
          <w:tcPr>
            <w:tcW w:type="dxa" w:w="2016"/>
          </w:tcPr>
          <w:p>
            <w:pPr>
              <w:jc w:val="center"/>
            </w:pPr>
            <w:r>
              <w:rPr>
                <w:rFonts w:ascii="Verdana" w:hAnsi="Verdana"/>
                <w:color w:val="46535E"/>
                <w:sz w:val="16"/>
              </w:rPr>
              <w:t>1.6x faster</w:t>
            </w:r>
          </w:p>
        </w:tc>
      </w:tr>
    </w:tbl>
    <w:p>
      <w:pPr>
        <w:pStyle w:val="Heading2"/>
        <w:spacing w:before="240" w:after="120"/>
      </w:pPr>
      <w:r>
        <w:rPr>
          <w:rFonts w:ascii="Verdana" w:hAnsi="Verdana"/>
          <w:b/>
          <w:color w:val="43627D"/>
          <w:sz w:val="27"/>
        </w:rPr>
        <w:t>Optimization and Future Considerations</w:t>
      </w:r>
    </w:p>
    <w:p>
      <w:pPr>
        <w:pStyle w:val="Heading3"/>
        <w:spacing w:before="240" w:after="120"/>
      </w:pPr>
      <w:r>
        <w:rPr>
          <w:rFonts w:ascii="Verdana" w:hAnsi="Verdana"/>
          <w:b/>
          <w:color w:val="46535E"/>
          <w:sz w:val="22"/>
        </w:rPr>
        <w:t>Identified Optimization Issues</w:t>
      </w:r>
    </w:p>
    <w:p>
      <w:pPr>
        <w:pStyle w:val="ListNumber"/>
        <w:jc w:val="left"/>
      </w:pPr>
      <w:r>
        <w:rPr>
          <w:rFonts w:ascii="Verdana" w:hAnsi="Verdana"/>
          <w:sz w:val="22"/>
        </w:rPr>
        <w:t>System Hallucinations: Implement AI Agent Response Evaluation (AI Judge) or conduct testing with project members from previous projects</w:t>
      </w:r>
    </w:p>
    <w:p>
      <w:pPr>
        <w:pStyle w:val="ListNumber"/>
        <w:jc w:val="left"/>
      </w:pPr>
      <w:r>
        <w:rPr>
          <w:rFonts w:ascii="Verdana" w:hAnsi="Verdana"/>
          <w:sz w:val="22"/>
        </w:rPr>
        <w:t>Unreliable Tool Use: Improve tool definitions with better annotations and parameter descriptions, consider multi-agent system for too many tools</w:t>
      </w:r>
    </w:p>
    <w:p>
      <w:pPr>
        <w:pStyle w:val="ListNumber"/>
        <w:jc w:val="left"/>
      </w:pPr>
      <w:r>
        <w:rPr>
          <w:rFonts w:ascii="Verdana" w:hAnsi="Verdana"/>
          <w:sz w:val="22"/>
        </w:rPr>
        <w:t>Unreliable Memory/Database Retrieval: Implement Corrective RAG, HYDE, Hybrid Search, and Agentic RAG</w:t>
      </w:r>
    </w:p>
    <w:p>
      <w:pPr>
        <w:pStyle w:val="ListNumber"/>
        <w:jc w:val="left"/>
      </w:pPr>
      <w:r>
        <w:rPr>
          <w:rFonts w:ascii="Verdana" w:hAnsi="Verdana"/>
          <w:sz w:val="22"/>
        </w:rPr>
        <w:t>Personalization Requirements: Evaluate need for Long-Term Memory (Episodic/Procedural) vs. temporary short memory</w:t>
      </w:r>
    </w:p>
    <w:p>
      <w:pPr>
        <w:pStyle w:val="Heading3"/>
        <w:spacing w:before="240" w:after="120"/>
      </w:pPr>
      <w:r>
        <w:rPr>
          <w:rFonts w:ascii="Verdana" w:hAnsi="Verdana"/>
          <w:b/>
          <w:color w:val="46535E"/>
          <w:sz w:val="22"/>
        </w:rPr>
        <w:t>Future Enhancement Strategies</w:t>
      </w:r>
    </w:p>
    <w:p>
      <w:pPr>
        <w:pStyle w:val="ListBullet"/>
        <w:jc w:val="left"/>
      </w:pPr>
      <w:r>
        <w:rPr>
          <w:rFonts w:ascii="Verdana" w:hAnsi="Verdana"/>
          <w:sz w:val="22"/>
        </w:rPr>
        <w:t>Accuracy Improvement through Fine-tuning on proprietary project data</w:t>
      </w:r>
    </w:p>
    <w:p>
      <w:pPr>
        <w:pStyle w:val="ListBullet"/>
        <w:jc w:val="left"/>
      </w:pPr>
      <w:r>
        <w:rPr>
          <w:rFonts w:ascii="Verdana" w:hAnsi="Verdana"/>
          <w:sz w:val="22"/>
        </w:rPr>
        <w:t>In-Context Learning optimization with enhanced context window management</w:t>
      </w:r>
    </w:p>
    <w:p>
      <w:pPr>
        <w:pStyle w:val="ListBullet"/>
        <w:jc w:val="left"/>
      </w:pPr>
      <w:r>
        <w:rPr>
          <w:rFonts w:ascii="Verdana" w:hAnsi="Verdana"/>
          <w:sz w:val="22"/>
        </w:rPr>
        <w:t>Advanced prompting techniques and strategies implementation</w:t>
      </w:r>
    </w:p>
    <w:p>
      <w:pPr>
        <w:pStyle w:val="ListBullet"/>
        <w:jc w:val="left"/>
      </w:pPr>
      <w:r>
        <w:rPr>
          <w:rFonts w:ascii="Verdana" w:hAnsi="Verdana"/>
          <w:sz w:val="22"/>
        </w:rPr>
        <w:t>Migration path to cloud deployment when scalability demands increase</w:t>
      </w:r>
    </w:p>
    <w:p>
      <w:pPr>
        <w:pStyle w:val="ListBullet"/>
        <w:jc w:val="left"/>
      </w:pPr>
      <w:r>
        <w:rPr>
          <w:rFonts w:ascii="Verdana" w:hAnsi="Verdana"/>
          <w:sz w:val="22"/>
        </w:rPr>
        <w:t>Integration with open-source LLM models (LLaMA 4 Scout, DeepSeek, Mistral) for cost optimization</w:t>
      </w:r>
    </w:p>
    <w:p>
      <w:pPr>
        <w:pStyle w:val="Heading2"/>
        <w:spacing w:before="240" w:after="120"/>
      </w:pPr>
      <w:r>
        <w:rPr>
          <w:rFonts w:ascii="Verdana" w:hAnsi="Verdana"/>
          <w:b/>
          <w:color w:val="43627D"/>
          <w:sz w:val="27"/>
        </w:rPr>
        <w:t>References</w:t>
      </w:r>
    </w:p>
    <w:p>
      <w:pPr>
        <w:pStyle w:val="ListBullet"/>
        <w:jc w:val="left"/>
      </w:pPr>
      <w:r>
        <w:rPr>
          <w:rFonts w:ascii="Verdana" w:hAnsi="Verdana"/>
          <w:sz w:val="22"/>
        </w:rPr>
        <w:t>MCP Tools Development Project Documentation</w:t>
      </w:r>
    </w:p>
    <w:p>
      <w:pPr>
        <w:pStyle w:val="ListBullet"/>
        <w:jc w:val="left"/>
      </w:pPr>
      <w:r>
        <w:rPr>
          <w:rFonts w:ascii="Verdana" w:hAnsi="Verdana"/>
          <w:sz w:val="22"/>
        </w:rPr>
        <w:t>Technical Analysis: KPI Formulas for Manual vs. AI-Assisted Work</w:t>
      </w:r>
    </w:p>
    <w:p>
      <w:pPr>
        <w:pStyle w:val="ListBullet"/>
        <w:jc w:val="left"/>
      </w:pPr>
      <w:r>
        <w:rPr>
          <w:rFonts w:ascii="Verdana" w:hAnsi="Verdana"/>
          <w:sz w:val="22"/>
        </w:rPr>
        <w:t>GitHub Copilot Extension Integration Documentation</w:t>
      </w:r>
    </w:p>
    <w:p>
      <w:pPr>
        <w:pStyle w:val="ListBullet"/>
        <w:jc w:val="left"/>
      </w:pPr>
      <w:r>
        <w:rPr>
          <w:rFonts w:ascii="Verdana" w:hAnsi="Verdana"/>
          <w:sz w:val="22"/>
        </w:rPr>
        <w:t>Claude Sonnet AI Model Performance Benchmarks</w:t>
      </w:r>
    </w:p>
    <w:p>
      <w:pPr>
        <w:pStyle w:val="ListBullet"/>
        <w:jc w:val="left"/>
      </w:pPr>
      <w:r>
        <w:rPr>
          <w:rFonts w:ascii="Verdana" w:hAnsi="Verdana"/>
          <w:sz w:val="22"/>
        </w:rPr>
        <w:t>Docker Security Best Practices for Containerized Applications</w:t>
      </w:r>
    </w:p>
    <w:p>
      <w:pPr>
        <w:pStyle w:val="ListBullet"/>
        <w:jc w:val="left"/>
      </w:pPr>
      <w:r>
        <w:rPr>
          <w:rFonts w:ascii="Verdana" w:hAnsi="Verdana"/>
          <w:sz w:val="22"/>
        </w:rPr>
        <w:t>Qiao et al. (2023) - Reasoning Methods Research in LLMs</w:t>
      </w:r>
    </w:p>
    <w:p>
      <w:pPr>
        <w:pStyle w:val="ListBullet"/>
        <w:jc w:val="left"/>
      </w:pPr>
      <w:r>
        <w:rPr>
          <w:rFonts w:ascii="Verdana" w:hAnsi="Verdana"/>
          <w:sz w:val="22"/>
        </w:rPr>
        <w:t>LLM Performance Benchmarking Standards and Metrics</w:t>
      </w:r>
    </w:p>
    <w:p>
      <w:r>
        <w:br w:type="page"/>
      </w:r>
    </w:p>
    <w:p>
      <w:pPr>
        <w:pStyle w:val="Heading2"/>
        <w:spacing w:before="240" w:after="120"/>
      </w:pPr>
      <w:r>
        <w:rPr>
          <w:rFonts w:ascii="Verdana" w:hAnsi="Verdana"/>
          <w:b/>
          <w:color w:val="43627D"/>
          <w:sz w:val="27"/>
        </w:rPr>
        <w:t>Appendix: Technical Context</w:t>
      </w:r>
    </w:p>
    <w:p>
      <w:pPr>
        <w:pStyle w:val="Heading3"/>
        <w:spacing w:before="240" w:after="120"/>
      </w:pPr>
      <w:r>
        <w:rPr>
          <w:rFonts w:ascii="Verdana" w:hAnsi="Verdana"/>
          <w:b/>
          <w:color w:val="46535E"/>
          <w:sz w:val="22"/>
        </w:rPr>
        <w:t>LLM Context and Billing Considerations</w:t>
      </w:r>
    </w:p>
    <w:p>
      <w:pPr>
        <w:spacing w:line="276" w:lineRule="auto" w:after="160"/>
        <w:jc w:val="both"/>
      </w:pPr>
      <w:r>
        <w:rPr>
          <w:rFonts w:ascii="Verdana" w:hAnsi="Verdana"/>
          <w:color w:val="46535E"/>
          <w:sz w:val="22"/>
        </w:rPr>
        <w:t>Large Language Models operate as token processing and generation systems, where tokens represent approximately 2-3 characters. Billing structures typically charge around $0.01 per million tokens, encompassing both input tokens (prompts + context + history) and output tokens (model responses). The Claude Sonnet 4 LLM currently provides a context window of 120k tokens, while advanced models like LLaMA 4 Scout offer up to 10M tokens.</w:t>
      </w:r>
    </w:p>
    <w:p>
      <w:pPr>
        <w:pStyle w:val="Heading3"/>
        <w:spacing w:before="240" w:after="120"/>
      </w:pPr>
      <w:r>
        <w:rPr>
          <w:rFonts w:ascii="Verdana" w:hAnsi="Verdana"/>
          <w:b/>
          <w:color w:val="46535E"/>
          <w:sz w:val="22"/>
        </w:rPr>
        <w:t>Model Architecture Considerations</w:t>
      </w:r>
    </w:p>
    <w:p>
      <w:pPr>
        <w:spacing w:line="276" w:lineRule="auto" w:after="160"/>
        <w:jc w:val="both"/>
      </w:pPr>
      <w:r>
        <w:rPr>
          <w:rFonts w:ascii="Verdana" w:hAnsi="Verdana"/>
          <w:color w:val="46535E"/>
          <w:sz w:val="22"/>
        </w:rPr>
        <w:t>The decision supports a three-role LLM implementation structure: System Role (context and guidelines), User Role (specific questions and tasks), and Assistant Role (LLM responses). This approach provides improved clarity, reduced ambiguity, and easier prompt management compared to single large prompts.</w:t>
      </w:r>
    </w:p>
    <w:p>
      <w:pPr>
        <w:spacing w:line="276" w:lineRule="auto" w:after="160"/>
        <w:jc w:val="both"/>
      </w:pPr>
      <w:r>
        <w:rPr>
          <w:rFonts w:ascii="Verdana" w:hAnsi="Verdana"/>
          <w:color w:val="46535E"/>
          <w:sz w:val="22"/>
        </w:rPr>
        <w:t>The following diagram illustrates the current MCP server prototype architecture that supports both deployment options:</w:t>
      </w:r>
    </w:p>
    <w:p>
      <w:pPr>
        <w:spacing w:line="276" w:lineRule="auto" w:after="160"/>
        <w:jc w:val="both"/>
      </w:pPr>
      <w:r>
        <w:rPr>
          <w:rFonts w:ascii="Verdana" w:hAnsi="Verdana"/>
          <w:color w:val="46535E"/>
          <w:sz w:val="22"/>
        </w:rPr>
        <w:t>[IMAGE: Current MCP Server Prototype Architecture - current_mcp_server_prototype_architecture.png]</w:t>
      </w:r>
    </w:p>
    <w:p>
      <w:pPr>
        <w:spacing w:line="276" w:lineRule="auto" w:after="160"/>
        <w:jc w:val="both"/>
      </w:pPr>
      <w:r>
        <w:rPr>
          <w:rFonts w:ascii="Verdana" w:hAnsi="Verdana"/>
          <w:color w:val="46535E"/>
          <w:sz w:val="22"/>
        </w:rPr>
        <w:t>Understanding how LLM models interact with MCP tools is crucial for optimization. The following diagram shows the generic interaction pattern:</w:t>
      </w:r>
    </w:p>
    <w:p>
      <w:pPr>
        <w:spacing w:line="276" w:lineRule="auto" w:after="160"/>
        <w:jc w:val="both"/>
      </w:pPr>
      <w:r>
        <w:rPr>
          <w:rFonts w:ascii="Verdana" w:hAnsi="Verdana"/>
          <w:color w:val="46535E"/>
          <w:sz w:val="22"/>
        </w:rPr>
        <w:t>[IMAGE: Generic Example of How LLM Interacts with Tools - generic_exampl_of_how_LLM_interacts with_toolse.png]</w:t>
      </w:r>
    </w:p>
    <w:p>
      <w:pPr>
        <w:spacing w:line="276" w:lineRule="auto" w:after="160"/>
        <w:jc w:val="both"/>
      </w:pPr>
      <w:r>
        <w:rPr>
          <w:rFonts w:ascii="Verdana" w:hAnsi="Verdana"/>
          <w:color w:val="46535E"/>
          <w:sz w:val="22"/>
        </w:rPr>
        <w:t>To address accuracy issues, various prompting techniques can be employed as shown in the following diagram:</w:t>
      </w:r>
    </w:p>
    <w:p>
      <w:pPr>
        <w:spacing w:line="276" w:lineRule="auto" w:after="160"/>
        <w:jc w:val="both"/>
      </w:pPr>
      <w:r>
        <w:rPr>
          <w:rFonts w:ascii="Verdana" w:hAnsi="Verdana"/>
          <w:color w:val="46535E"/>
          <w:sz w:val="22"/>
        </w:rPr>
        <w:t>[IMAGE: Prompting Techniques to Improve Accuracy - promting_techniques_to_improve_accuracy.png]</w:t>
      </w:r>
    </w:p>
    <w:p>
      <w:pPr>
        <w:spacing w:line="276" w:lineRule="auto" w:after="160"/>
        <w:jc w:val="both"/>
      </w:pPr>
      <w:r>
        <w:rPr>
          <w:rFonts w:ascii="Verdana" w:hAnsi="Verdana"/>
          <w:color w:val="46535E"/>
          <w:sz w:val="22"/>
        </w:rPr>
        <w:t>Additionally, reasoning techniques play a crucial role in improving accuracy and in-context learning capabilities:</w:t>
      </w:r>
    </w:p>
    <w:p>
      <w:pPr>
        <w:spacing w:line="276" w:lineRule="auto" w:after="160"/>
        <w:jc w:val="both"/>
      </w:pPr>
      <w:r>
        <w:rPr>
          <w:rFonts w:ascii="Verdana" w:hAnsi="Verdana"/>
          <w:color w:val="46535E"/>
          <w:sz w:val="22"/>
        </w:rPr>
        <w:t>[IMAGE: Reasoning Techniques to Increase Accuracy - reasoning_techinques_to_increase_accuracy_in-context_learning_is_also_present.png]</w:t>
      </w:r>
    </w:p>
    <w:p>
      <w:pPr>
        <w:spacing w:line="276" w:lineRule="auto" w:after="160"/>
        <w:jc w:val="both"/>
      </w:pPr>
      <w:r>
        <w:rPr>
          <w:rFonts w:ascii="Verdana" w:hAnsi="Verdana"/>
          <w:color w:val="46535E"/>
          <w:sz w:val="22"/>
        </w:rPr>
        <w:t>The implementation leverages in-context engineering principles to optimize LLM performance:</w:t>
      </w:r>
    </w:p>
    <w:p>
      <w:pPr>
        <w:spacing w:line="276" w:lineRule="auto" w:after="160"/>
        <w:jc w:val="both"/>
      </w:pPr>
      <w:r>
        <w:rPr>
          <w:rFonts w:ascii="Verdana" w:hAnsi="Verdana"/>
          <w:color w:val="46535E"/>
          <w:sz w:val="22"/>
        </w:rPr>
        <w:t>[IMAGE: In-Context Engineering Principles - in-context_contextengineering.png]</w:t>
      </w:r>
    </w:p>
    <w:sectPr w:rsidR="002F254D" w:rsidRPr="0068138C"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A901" w14:textId="77777777" w:rsidR="00F51B3D" w:rsidRDefault="00F51B3D" w:rsidP="002D518D">
      <w:r>
        <w:separator/>
      </w:r>
    </w:p>
  </w:endnote>
  <w:endnote w:type="continuationSeparator" w:id="0">
    <w:p w14:paraId="118973D9" w14:textId="77777777" w:rsidR="00F51B3D" w:rsidRDefault="00F51B3D"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D6CF" w14:textId="5CD02702"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387561E7" wp14:editId="4F32087D">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5D844F58" w14:textId="78281C2D"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561E7"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5D844F58" w14:textId="78281C2D"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5421AAC7" wp14:editId="75A9DD96">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1AAC7"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048BC65E" wp14:editId="49281560">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FB66" w14:textId="77777777" w:rsidR="00F51B3D" w:rsidRDefault="00F51B3D" w:rsidP="002D518D">
      <w:r>
        <w:separator/>
      </w:r>
    </w:p>
  </w:footnote>
  <w:footnote w:type="continuationSeparator" w:id="0">
    <w:p w14:paraId="7B4A5E24" w14:textId="77777777" w:rsidR="00F51B3D" w:rsidRDefault="00F51B3D"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C73B" w14:textId="1B058BAD" w:rsidR="003D095F" w:rsidRDefault="003D095F" w:rsidP="003D095F">
    <w:pPr>
      <w:pStyle w:val="Header"/>
    </w:pPr>
  </w:p>
  <w:p w14:paraId="3ECC2BB0" w14:textId="39B4CF7C" w:rsidR="0034289F" w:rsidRDefault="0034289F" w:rsidP="003D095F">
    <w:pPr>
      <w:pStyle w:val="Header"/>
    </w:pPr>
  </w:p>
  <w:p w14:paraId="6888AC00" w14:textId="3EEE4C9D"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119235EC" w14:textId="312B476C" w:rsidR="003E37ED" w:rsidRDefault="003E37ED" w:rsidP="0034289F">
    <w:pPr>
      <w:pStyle w:val="Header"/>
      <w:tabs>
        <w:tab w:val="clear" w:pos="9360"/>
        <w:tab w:val="right" w:pos="10080"/>
      </w:tabs>
    </w:pPr>
  </w:p>
  <w:p w14:paraId="645FC5E9"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B32D" w14:textId="3367649B" w:rsidR="00CB6FCC" w:rsidRDefault="00D050C4">
    <w:pPr>
      <w:pStyle w:val="Header"/>
    </w:pPr>
    <w:r w:rsidRPr="00C73908">
      <w:rPr>
        <w:noProof/>
      </w:rPr>
      <w:drawing>
        <wp:anchor distT="0" distB="0" distL="114300" distR="114300" simplePos="0" relativeHeight="251655168" behindDoc="1" locked="0" layoutInCell="1" allowOverlap="1" wp14:anchorId="1B48FBBA" wp14:editId="16E0D270">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208B6694" w14:textId="77777777" w:rsidR="00D51482" w:rsidRPr="0000104A" w:rsidRDefault="00D51482">
    <w:pPr>
      <w:pStyle w:val="Header"/>
      <w:rPr>
        <w:sz w:val="21"/>
        <w:szCs w:val="21"/>
      </w:rPr>
    </w:pPr>
  </w:p>
  <w:p w14:paraId="6C9676D3" w14:textId="2D26CFB9" w:rsidR="00D050C4" w:rsidRPr="0000104A" w:rsidRDefault="00D050C4">
    <w:pPr>
      <w:pStyle w:val="Header"/>
      <w:rPr>
        <w:sz w:val="21"/>
        <w:szCs w:val="21"/>
      </w:rPr>
    </w:pPr>
  </w:p>
  <w:p w14:paraId="44FBB9C2" w14:textId="77777777" w:rsidR="00D51482" w:rsidRPr="0000104A" w:rsidRDefault="00D51482">
    <w:pPr>
      <w:pStyle w:val="Header"/>
      <w:rPr>
        <w:sz w:val="21"/>
        <w:szCs w:val="21"/>
      </w:rPr>
    </w:pPr>
  </w:p>
  <w:p w14:paraId="78B08AFA" w14:textId="27D09F18" w:rsidR="00D050C4" w:rsidRPr="0000104A" w:rsidRDefault="00D050C4">
    <w:pPr>
      <w:pStyle w:val="Header"/>
      <w:rPr>
        <w:sz w:val="21"/>
        <w:szCs w:val="21"/>
      </w:rPr>
    </w:pPr>
  </w:p>
  <w:p w14:paraId="09742261" w14:textId="4757A1BA" w:rsidR="00D050C4" w:rsidRPr="0000104A" w:rsidRDefault="00D050C4">
    <w:pPr>
      <w:pStyle w:val="Header"/>
      <w:rPr>
        <w:sz w:val="21"/>
        <w:szCs w:val="21"/>
      </w:rPr>
    </w:pPr>
  </w:p>
  <w:p w14:paraId="07E44925" w14:textId="5BD6CB7C" w:rsidR="00D050C4" w:rsidRPr="0000104A" w:rsidRDefault="00D050C4">
    <w:pPr>
      <w:pStyle w:val="Header"/>
      <w:rPr>
        <w:sz w:val="21"/>
        <w:szCs w:val="21"/>
      </w:rPr>
    </w:pPr>
  </w:p>
  <w:p w14:paraId="5A4932FB" w14:textId="193C8464" w:rsidR="00D050C4" w:rsidRPr="0000104A" w:rsidRDefault="003B30B6" w:rsidP="003B30B6">
    <w:pPr>
      <w:pStyle w:val="Header"/>
      <w:tabs>
        <w:tab w:val="clear" w:pos="4680"/>
        <w:tab w:val="clear" w:pos="9360"/>
        <w:tab w:val="left" w:pos="8260"/>
      </w:tabs>
      <w:rPr>
        <w:sz w:val="21"/>
        <w:szCs w:val="21"/>
      </w:rPr>
    </w:pPr>
    <w:r>
      <w:rPr>
        <w:sz w:val="21"/>
        <w:szCs w:val="21"/>
      </w:rPr>
      <w:tab/>
    </w:r>
  </w:p>
  <w:p w14:paraId="363B4BAC" w14:textId="41AFA005" w:rsidR="00D050C4" w:rsidRPr="0000104A" w:rsidRDefault="003B30B6" w:rsidP="003B30B6">
    <w:pPr>
      <w:pStyle w:val="Header"/>
      <w:tabs>
        <w:tab w:val="clear" w:pos="4680"/>
        <w:tab w:val="clear" w:pos="9360"/>
        <w:tab w:val="left" w:pos="8260"/>
      </w:tabs>
      <w:rPr>
        <w:sz w:val="21"/>
        <w:szCs w:val="21"/>
      </w:rPr>
    </w:pPr>
    <w:r>
      <w:rPr>
        <w:sz w:val="21"/>
        <w:szCs w:val="21"/>
      </w:rPr>
      <w:tab/>
    </w:r>
  </w:p>
  <w:p w14:paraId="00224F1E" w14:textId="099ABE0B" w:rsidR="00D050C4" w:rsidRPr="0000104A" w:rsidRDefault="003B30B6" w:rsidP="003B30B6">
    <w:pPr>
      <w:pStyle w:val="Header"/>
      <w:tabs>
        <w:tab w:val="clear" w:pos="4680"/>
        <w:tab w:val="clear" w:pos="9360"/>
        <w:tab w:val="left" w:pos="8260"/>
      </w:tabs>
      <w:rPr>
        <w:sz w:val="21"/>
        <w:szCs w:val="21"/>
      </w:rPr>
    </w:pPr>
    <w:r>
      <w:rPr>
        <w:sz w:val="21"/>
        <w:szCs w:val="21"/>
      </w:rPr>
      <w:tab/>
    </w:r>
  </w:p>
  <w:p w14:paraId="5EB2FDEB" w14:textId="13C3FB30" w:rsidR="00D050C4" w:rsidRPr="0000104A" w:rsidRDefault="00D050C4">
    <w:pPr>
      <w:pStyle w:val="Header"/>
      <w:rPr>
        <w:sz w:val="21"/>
        <w:szCs w:val="21"/>
      </w:rPr>
    </w:pPr>
  </w:p>
  <w:p w14:paraId="6088199B" w14:textId="604B3FD9" w:rsidR="00D050C4" w:rsidRPr="0000104A" w:rsidRDefault="00D050C4">
    <w:pPr>
      <w:pStyle w:val="Header"/>
      <w:rPr>
        <w:sz w:val="21"/>
        <w:szCs w:val="21"/>
      </w:rPr>
    </w:pPr>
  </w:p>
  <w:p w14:paraId="41DD614A" w14:textId="31E78A56"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096FA6C9" w14:textId="1B5E1988" w:rsidR="00D050C4" w:rsidRPr="0000104A" w:rsidRDefault="00D050C4">
    <w:pPr>
      <w:pStyle w:val="Header"/>
      <w:rPr>
        <w:sz w:val="21"/>
        <w:szCs w:val="21"/>
      </w:rPr>
    </w:pPr>
  </w:p>
  <w:p w14:paraId="040625D7" w14:textId="3A4688AC" w:rsidR="00D050C4" w:rsidRPr="0000104A" w:rsidRDefault="002A6926" w:rsidP="002A6926">
    <w:pPr>
      <w:pStyle w:val="Header"/>
      <w:tabs>
        <w:tab w:val="clear" w:pos="4680"/>
        <w:tab w:val="clear" w:pos="9360"/>
        <w:tab w:val="left" w:pos="8952"/>
      </w:tabs>
      <w:rPr>
        <w:sz w:val="21"/>
        <w:szCs w:val="21"/>
      </w:rPr>
    </w:pPr>
    <w:r>
      <w:rPr>
        <w:sz w:val="21"/>
        <w:szCs w:val="21"/>
      </w:rPr>
      <w:tab/>
    </w:r>
  </w:p>
  <w:p w14:paraId="725AF338" w14:textId="2631B224" w:rsidR="00D050C4" w:rsidRPr="0000104A" w:rsidRDefault="00D050C4">
    <w:pPr>
      <w:pStyle w:val="Header"/>
      <w:rPr>
        <w:sz w:val="21"/>
        <w:szCs w:val="21"/>
      </w:rPr>
    </w:pPr>
  </w:p>
  <w:p w14:paraId="5B8BE039" w14:textId="2025E00C" w:rsidR="00D050C4" w:rsidRPr="0000104A" w:rsidRDefault="00D050C4">
    <w:pPr>
      <w:pStyle w:val="Header"/>
      <w:rPr>
        <w:sz w:val="21"/>
        <w:szCs w:val="21"/>
      </w:rPr>
    </w:pPr>
  </w:p>
  <w:p w14:paraId="6810F111" w14:textId="6CFD08AB" w:rsidR="00D050C4" w:rsidRPr="0000104A" w:rsidRDefault="00D050C4">
    <w:pPr>
      <w:pStyle w:val="Header"/>
      <w:rPr>
        <w:sz w:val="21"/>
        <w:szCs w:val="21"/>
      </w:rPr>
    </w:pPr>
  </w:p>
  <w:p w14:paraId="4A6E8526" w14:textId="634FD185"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7575B7DE" w14:textId="401BC7A5" w:rsidR="00D050C4" w:rsidRPr="0000104A" w:rsidRDefault="00D050C4" w:rsidP="00D51482">
    <w:pPr>
      <w:pStyle w:val="Header"/>
      <w:jc w:val="right"/>
      <w:rPr>
        <w:sz w:val="21"/>
        <w:szCs w:val="21"/>
      </w:rPr>
    </w:pPr>
  </w:p>
  <w:p w14:paraId="04C6D27F" w14:textId="5A860589" w:rsidR="00D050C4" w:rsidRPr="0000104A" w:rsidRDefault="00D050C4">
    <w:pPr>
      <w:pStyle w:val="Header"/>
      <w:rPr>
        <w:sz w:val="21"/>
        <w:szCs w:val="21"/>
      </w:rPr>
    </w:pPr>
  </w:p>
  <w:p w14:paraId="628F49D6" w14:textId="0594852F" w:rsidR="00D050C4" w:rsidRPr="0000104A" w:rsidRDefault="0048760D" w:rsidP="0048760D">
    <w:pPr>
      <w:pStyle w:val="Header"/>
      <w:tabs>
        <w:tab w:val="left" w:pos="4508"/>
      </w:tabs>
      <w:rPr>
        <w:sz w:val="21"/>
        <w:szCs w:val="21"/>
      </w:rPr>
    </w:pPr>
    <w:r>
      <w:rPr>
        <w:sz w:val="21"/>
        <w:szCs w:val="21"/>
      </w:rPr>
      <w:tab/>
    </w:r>
    <w:r>
      <w:rPr>
        <w:sz w:val="21"/>
        <w:szCs w:val="21"/>
      </w:rPr>
      <w:tab/>
    </w:r>
  </w:p>
  <w:p w14:paraId="2E2B80FE"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pStyle w:val="ListNumber"/>
      <w:lvlText w:val="%1."/>
      <w:lvlJc w:val="left"/>
      <w:pPr>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647D7"/>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3.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4.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14</TotalTime>
  <Pages>4</Pages>
  <Words>53</Words>
  <Characters>306</Characters>
  <Application>Microsoft Office Word</Application>
  <DocSecurity>0</DocSecurity>
  <Lines>39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Akash Pandey</cp:lastModifiedBy>
  <cp:revision>3</cp:revision>
  <dcterms:created xsi:type="dcterms:W3CDTF">2025-06-30T05:31:00Z</dcterms:created>
  <dcterms:modified xsi:type="dcterms:W3CDTF">2025-06-30T06:03:00Z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