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Caliper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Christof Karisch, Milan Davidovic, Christian Prohinig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Our test suite basically tests available methods of the “Marbles” chaincode provided as an example by Hyperledger Fabric. We also used a sample network provided by Hyperledger Fabric to run the benchmarks on. Methods we are testing are: </w:t>
      </w:r>
      <w:r w:rsidDel="00000000" w:rsidR="00000000" w:rsidRPr="00000000">
        <w:rPr>
          <w:rtl w:val="0"/>
        </w:rPr>
        <w:t xml:space="preserve">initMarble</w:t>
      </w:r>
      <w:r w:rsidDel="00000000" w:rsidR="00000000" w:rsidRPr="00000000">
        <w:rPr>
          <w:rtl w:val="0"/>
        </w:rPr>
        <w:t xml:space="preserve">, getHistoryForMarble, transferMarblesBasedOnColor, queryMarblesByOwner and delete.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All tests ran successfully. When testing the functions transferMarblesBasedOnColor and delete, the generated report shows disk writing activity.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Memory usage</w:t>
      </w:r>
      <w:r w:rsidDel="00000000" w:rsidR="00000000" w:rsidRPr="00000000">
        <w:rPr>
          <w:rtl w:val="0"/>
        </w:rPr>
        <w:br w:type="textWrapping"/>
        <w:t xml:space="preserve">The Peers have an average memory usage of 170MB - 200MB, the CAs have a memory usage of 9MB – 18MB, the orderer has a memory of about 14MB.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When testing the getHistoryByMarble function, the memory usage of the peers rises by 3MB. When testing the deleteMarble function it rises again by 2MB.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every additional test, the orderer utilizes about 2MB more of RAM.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memory usage of the CAs is stable over all tests.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CPU load</w:t>
      </w:r>
      <w:r w:rsidDel="00000000" w:rsidR="00000000" w:rsidRPr="00000000">
        <w:rPr>
          <w:rtl w:val="0"/>
        </w:rPr>
        <w:br w:type="textWrapping"/>
        <w:t xml:space="preserve">The peers utilize about 24% CPU load in the init method and about 11% in the other tests.</w:t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Tuning</w:t>
      </w:r>
    </w:p>
    <w:p w:rsidR="00000000" w:rsidDel="00000000" w:rsidP="00000000" w:rsidRDefault="00000000" w:rsidRPr="00000000" w14:paraId="0000000C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To get more accurate results, we increased the number of generated marbles to 250. To optimize the test runtime, we test every combination of a user and a color exactly one time. Since we initialize 7 colors and 4 users, we need exactly 28 tests. To accomplish best test coverage, we get the history of all generated marbles and delete all marbles.</w:t>
      </w:r>
    </w:p>
    <w:sectPr>
      <w:pgSz w:h="16838" w:w="11906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