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CAPGEMINI STATEMENT OF WORK TEMPLATE</w:t>
      </w:r>
    </w:p>
    <w:p/>
    <w:p>
      <w:r>
        <w:t>Template Version: 1.0</w:t>
      </w:r>
    </w:p>
    <w:p>
      <w:r>
        <w:t>Document Type: Capgemini-Specific Statement of Work</w:t>
      </w:r>
    </w:p>
    <w:p>
      <w:r>
        <w:t>Vendor: Capgemini</w:t>
      </w:r>
    </w:p>
    <w:p>
      <w:r>
        <w:t>Effective Date: March 5, 2024</w:t>
      </w:r>
    </w:p>
    <w:p/>
    <w:p/>
    <w:p>
      <w:pPr>
        <w:pStyle w:val="Heading1"/>
        <w:jc w:val="center"/>
      </w:pPr>
      <w:r>
        <w:t>METADATA TABLE</w:t>
      </w:r>
    </w:p>
    <w:p/>
    <w:p>
      <w:r>
        <w:t>Contract Type: Statement of Work (SOW)</w:t>
      </w:r>
    </w:p>
    <w:p>
      <w:r>
        <w:t>Vendor: Capgemini</w:t>
      </w:r>
    </w:p>
    <w:p>
      <w:r>
        <w:t>Effective Date: March 5, 2024</w:t>
      </w:r>
    </w:p>
    <w:p>
      <w:r>
        <w:t>Client: GlobalTech Inc</w:t>
      </w:r>
    </w:p>
    <w:p>
      <w:r>
        <w:t>Project Code: GT-MOD-2024-016</w:t>
      </w:r>
    </w:p>
    <w:p>
      <w:r>
        <w:t>Capgemini Engagement ID: CAP-GT-MOD-2024-004</w:t>
      </w:r>
    </w:p>
    <w:p>
      <w:r>
        <w:t>Document Version: 1.0</w:t>
      </w:r>
    </w:p>
    <w:p>
      <w:r>
        <w:t>Last Updated: March 2, 2024</w:t>
      </w:r>
    </w:p>
    <w:p>
      <w:r>
        <w:t>Prepared By: Marcus Johnson</w:t>
      </w:r>
    </w:p>
    <w:p>
      <w:r>
        <w:t>Approved By: Robert Martinez</w:t>
      </w:r>
    </w:p>
    <w:p>
      <w:r>
        <w:t>Capgemini Account Manager: Philippe Moreau</w:t>
      </w:r>
    </w:p>
    <w:p/>
    <w:p/>
    <w:p>
      <w:pPr>
        <w:pStyle w:val="Heading1"/>
        <w:jc w:val="center"/>
      </w:pPr>
      <w:r>
        <w:t>1. PROJECT OVERVIEW</w:t>
      </w:r>
    </w:p>
    <w:p/>
    <w:p>
      <w:r>
        <w:t>This Statement of Work ("SOW") sets forth the terms and conditions under which Capgemini Technology Services India Limited ("Capgemini") will provide professional services to GlobalTech Inc ("Client") for the Digital Platform Modernization project. This SOW is governed by the Master Services Agreement between Capgemini and Client dated November 15, 2023 and incorporates all terms and conditions contained therein.</w:t>
      </w:r>
    </w:p>
    <w:p/>
    <w:p>
      <w:r>
        <w:t>Capgemini shall leverage its proven methodologies, industry expertise, and global delivery capabilities to provide comprehensive platform modernization including cloud migration, application refactoring, and performance optimization. This engagement will utilize Capgemini's proprietary frameworks and accelerators to ensure efficient delivery and optimal outcomes for the Client.</w:t>
      </w:r>
    </w:p>
    <w:p/>
    <w:p>
      <w:r>
        <w:t>The project objective is to modernize legacy digital platforms and migrate to cloud-native architecture to improve scalability and performance utilizing Capgemini's expertise in cloud transformation and application modernization. Capgemini shall provide professional services including but not limited to application assessment, cloud migration, performance optimization, and user training in accordance with Capgemini's standard delivery methodologies and the specifications outlined in this document.</w:t>
      </w:r>
    </w:p>
    <w:p/>
    <w:p>
      <w:r>
        <w:t>This engagement is expected to commence on March 5, 2024 and conclude on December 5, 2024, subject to the terms and conditions set forth herein. The total estimated value of this engagement is $525,000 as detailed in the payment terms section. Capgemini's delivery will follow its established project governance framework and quality assurance processes.</w:t>
      </w:r>
    </w:p>
    <w:p/>
    <w:p>
      <w:pPr>
        <w:pStyle w:val="Heading1"/>
        <w:jc w:val="center"/>
      </w:pPr>
      <w:r>
        <w:t>2. SCOPE OF WORK</w:t>
      </w:r>
    </w:p>
    <w:p/>
    <w:p>
      <w:r>
        <w:t>Capgemini shall perform the following services and activities utilizing its global delivery model and proven methodologies:</w:t>
      </w:r>
    </w:p>
    <w:p/>
    <w:p>
      <w:r>
        <w:t>2.1 Primary Services</w:t>
      </w:r>
    </w:p>
    <w:p>
      <w:r>
        <w:t>Capgemini shall provide platform modernization services including but not limited to:</w:t>
      </w:r>
    </w:p>
    <w:p>
      <w:pPr>
        <w:pStyle w:val="ListBullet"/>
      </w:pPr>
      <w:r>
        <w:t>Legacy application assessment and modernization planning using Capgemini's proprietary tools and accelerators</w:t>
      </w:r>
    </w:p>
    <w:p>
      <w:pPr>
        <w:pStyle w:val="ListBullet"/>
      </w:pPr>
      <w:r>
        <w:t>Cloud migration and infrastructure optimization leveraging Capgemini's industry best practices</w:t>
      </w:r>
    </w:p>
    <w:p>
      <w:pPr>
        <w:pStyle w:val="ListBullet"/>
      </w:pPr>
      <w:r>
        <w:t>Application refactoring and performance tuning utilizing Capgemini's global delivery centers</w:t>
      </w:r>
    </w:p>
    <w:p>
      <w:pPr>
        <w:pStyle w:val="ListBullet"/>
      </w:pPr>
      <w:r>
        <w:t>DevOps implementation and automation applying Capgemini's proven methodologies</w:t>
      </w:r>
    </w:p>
    <w:p/>
    <w:p>
      <w:r>
        <w:t>2.2 Capgemini Value-Added Services</w:t>
      </w:r>
    </w:p>
    <w:p>
      <w:r>
        <w:t>In addition to primary services, Capgemini shall provide:</w:t>
      </w:r>
    </w:p>
    <w:p>
      <w:pPr>
        <w:pStyle w:val="ListBullet"/>
      </w:pPr>
      <w:r>
        <w:t>Access to Capgemini's knowledge management systems</w:t>
      </w:r>
    </w:p>
    <w:p>
      <w:pPr>
        <w:pStyle w:val="ListBullet"/>
      </w:pPr>
      <w:r>
        <w:t>Utilization of Capgemini's proprietary accelerators and tools</w:t>
      </w:r>
    </w:p>
    <w:p>
      <w:pPr>
        <w:pStyle w:val="ListBullet"/>
      </w:pPr>
      <w:r>
        <w:t>Application of Capgemini's industry-specific frameworks</w:t>
      </w:r>
    </w:p>
    <w:p>
      <w:pPr>
        <w:pStyle w:val="ListBullet"/>
      </w:pPr>
      <w:r>
        <w:t>Leverage of Capgemini's global best practices and lessons learned</w:t>
      </w:r>
    </w:p>
    <w:p/>
    <w:p>
      <w:r>
        <w:t>2.3 Delivery Model</w:t>
      </w:r>
    </w:p>
    <w:p>
      <w:r>
        <w:t>Capgemini shall utilize its Right-shore delivery model including:</w:t>
      </w:r>
    </w:p>
    <w:p>
      <w:pPr>
        <w:pStyle w:val="ListBullet"/>
      </w:pPr>
      <w:r>
        <w:t>Onsite resources at Client location: 25%</w:t>
      </w:r>
    </w:p>
    <w:p>
      <w:pPr>
        <w:pStyle w:val="ListBullet"/>
      </w:pPr>
      <w:r>
        <w:t>Nearshore resources from Capgemini Mexico delivery center: 25%</w:t>
      </w:r>
    </w:p>
    <w:p>
      <w:pPr>
        <w:pStyle w:val="ListBullet"/>
      </w:pPr>
      <w:r>
        <w:t>Offshore resources from Capgemini delivery centers: 50%</w:t>
      </w:r>
    </w:p>
    <w:p/>
    <w:p>
      <w:r>
        <w:t>2.4 Exclusions</w:t>
      </w:r>
    </w:p>
    <w:p>
      <w:r>
        <w:t>The following items are specifically excluded from this SOW:</w:t>
      </w:r>
    </w:p>
    <w:p>
      <w:pPr>
        <w:pStyle w:val="ListBullet"/>
      </w:pPr>
      <w:r>
        <w:t>Cloud infrastructure costs and licensing fees</w:t>
      </w:r>
    </w:p>
    <w:p>
      <w:pPr>
        <w:pStyle w:val="ListBullet"/>
      </w:pPr>
      <w:r>
        <w:t>Third-party software licensing beyond standard tools</w:t>
      </w:r>
    </w:p>
    <w:p>
      <w:pPr>
        <w:pStyle w:val="ListBullet"/>
      </w:pPr>
      <w:r>
        <w:t>Legacy system decommissioning and data archival</w:t>
      </w:r>
    </w:p>
    <w:p>
      <w:pPr>
        <w:pStyle w:val="ListBullet"/>
      </w:pPr>
      <w:r>
        <w:t>Services not explicitly covered by Capgemini's standard service offerings</w:t>
      </w:r>
    </w:p>
    <w:p>
      <w:pPr>
        <w:pStyle w:val="ListBullet"/>
      </w:pPr>
      <w:r>
        <w:t>Performance testing beyond basic functional validation</w:t>
      </w:r>
    </w:p>
    <w:p>
      <w:pPr>
        <w:pStyle w:val="ListBullet"/>
      </w:pPr>
      <w:r>
        <w:t>Security penetration testing and vulnerability assessments</w:t>
      </w:r>
    </w:p>
    <w:p>
      <w:pPr>
        <w:pStyle w:val="ListBullet"/>
      </w:pPr>
      <w:r>
        <w:t>Integration with systems not specified in the original requirements</w:t>
      </w:r>
    </w:p>
    <w:p>
      <w:pPr>
        <w:pStyle w:val="ListBullet"/>
      </w:pPr>
      <w:r>
        <w:t>Training for more than 20 users per application module</w:t>
      </w:r>
    </w:p>
    <w:p/>
    <w:p>
      <w:r>
        <w:t>Any services not explicitly included in this SOW shall require a separate written agreement or change order as outlined in Section 9.</w:t>
      </w:r>
    </w:p>
    <w:p/>
    <w:p>
      <w:pPr>
        <w:pStyle w:val="Heading1"/>
        <w:jc w:val="center"/>
      </w:pPr>
      <w:r>
        <w:t>3. DELIVERABLES</w:t>
      </w:r>
    </w:p>
    <w:p/>
    <w:p>
      <w:r>
        <w:t>Capgemini shall provide the following deliverables according to the specified timeline and Capgemini's quality standards:</w:t>
      </w:r>
    </w:p>
    <w:p/>
    <w:p>
      <w:r>
        <w:t>3.1 Phase 1 Deliverables</w:t>
      </w:r>
    </w:p>
    <w:p>
      <w:pPr>
        <w:pStyle w:val="ListBullet"/>
      </w:pPr>
      <w:r>
        <w:t>Application Assessment Report: Current state analysis following Capgemini template standards - Due: April 5, 2024</w:t>
      </w:r>
    </w:p>
    <w:p>
      <w:pPr>
        <w:pStyle w:val="ListBullet"/>
      </w:pPr>
      <w:r>
        <w:t>Modernization Strategy: Migration plan using Capgemini's proven frameworks - Due: April 22, 2024</w:t>
      </w:r>
    </w:p>
    <w:p>
      <w:pPr>
        <w:pStyle w:val="ListBullet"/>
      </w:pPr>
      <w:r>
        <w:t>Cloud Architecture Design: Target state architecture leveraging Capgemini accelerators - Due: May 10, 2024</w:t>
      </w:r>
    </w:p>
    <w:p/>
    <w:p>
      <w:r>
        <w:t>3.2 Phase 2 Deliverables</w:t>
      </w:r>
    </w:p>
    <w:p>
      <w:pPr>
        <w:pStyle w:val="ListBullet"/>
      </w:pPr>
      <w:r>
        <w:t>Modernized Applications: Refactored applications applying Capgemini methodologies - Due: September 15, 2024</w:t>
      </w:r>
    </w:p>
    <w:p>
      <w:pPr>
        <w:pStyle w:val="ListBullet"/>
      </w:pPr>
      <w:r>
        <w:t>Cloud Infrastructure: Deployed cloud environment utilizing Capgemini best practices - Due: October 15, 2024</w:t>
      </w:r>
    </w:p>
    <w:p/>
    <w:p>
      <w:r>
        <w:t>3.3 Final Deliverables</w:t>
      </w:r>
    </w:p>
    <w:p>
      <w:pPr>
        <w:pStyle w:val="ListBullet"/>
      </w:pPr>
      <w:r>
        <w:t>Production Platform: Fully operational modernized system with Capgemini quality certification - Due: November 15, 2024</w:t>
      </w:r>
    </w:p>
    <w:p>
      <w:pPr>
        <w:pStyle w:val="ListBullet"/>
      </w:pPr>
      <w:r>
        <w:t>Limited User Training: Basic training for up to 20 users including Capgemini knowledge transfer - Due: December 5, 2024</w:t>
      </w:r>
    </w:p>
    <w:p/>
    <w:p>
      <w:r>
        <w:t>All deliverables shall be provided in Capgemini's standard format and shall meet both Client requirements and Capgemini's internal quality standards as outlined in Section 6.</w:t>
      </w:r>
    </w:p>
    <w:p/>
    <w:p>
      <w:pPr>
        <w:pStyle w:val="Heading1"/>
        <w:jc w:val="center"/>
      </w:pPr>
      <w:r>
        <w:t>4. PROJECT TIMELINE</w:t>
      </w:r>
    </w:p>
    <w:p/>
    <w:p>
      <w:r>
        <w:t>Capgemini shall execute the project according to the following timeline using its proven project management methodology:</w:t>
      </w:r>
    </w:p>
    <w:p/>
    <w:p>
      <w:r>
        <w:t>Phase 1: Project Initiation (March 5, 2024 - May 10, 2024)</w:t>
      </w:r>
    </w:p>
    <w:p>
      <w:pPr>
        <w:pStyle w:val="ListBullet"/>
      </w:pPr>
      <w:r>
        <w:t>Week 1-2: Capgemini project kickoff and requirements gathering using standard templates</w:t>
      </w:r>
    </w:p>
    <w:p>
      <w:pPr>
        <w:pStyle w:val="ListBullet"/>
      </w:pPr>
      <w:r>
        <w:t>Week 3-4: Initial analysis using Capgemini's assessment frameworks</w:t>
      </w:r>
    </w:p>
    <w:p>
      <w:pPr>
        <w:pStyle w:val="ListBullet"/>
      </w:pPr>
      <w:r>
        <w:t>Week 5-6: Architecture design applying Capgemini methodologies</w:t>
      </w:r>
    </w:p>
    <w:p/>
    <w:p>
      <w:r>
        <w:t>Phase 2: Implementation (May 11, 2024 - October 15, 2024)</w:t>
      </w:r>
    </w:p>
    <w:p>
      <w:pPr>
        <w:pStyle w:val="ListBullet"/>
      </w:pPr>
      <w:r>
        <w:t>Week 7-10: Application modernization utilizing Capgemini delivery accelerators</w:t>
      </w:r>
    </w:p>
    <w:p>
      <w:pPr>
        <w:pStyle w:val="ListBullet"/>
      </w:pPr>
      <w:r>
        <w:t>Week 11-12: Testing and validation using Capgemini's quality assurance processes</w:t>
      </w:r>
    </w:p>
    <w:p>
      <w:pPr>
        <w:pStyle w:val="ListBullet"/>
      </w:pPr>
      <w:r>
        <w:t>Week 13-14: Cloud deployment using Capgemini templates and knowledge transfer protocols</w:t>
      </w:r>
    </w:p>
    <w:p/>
    <w:p>
      <w:r>
        <w:t>Phase 3: Project Closure (October 16, 2024 - December 5, 2024)</w:t>
      </w:r>
    </w:p>
    <w:p>
      <w:pPr>
        <w:pStyle w:val="ListBullet"/>
      </w:pPr>
      <w:r>
        <w:t>Week 15-16: Final deliverables and handover following Capgemini transition methodology</w:t>
      </w:r>
    </w:p>
    <w:p>
      <w:pPr>
        <w:pStyle w:val="ListBullet"/>
      </w:pPr>
      <w:r>
        <w:t>Week 17-18: Project closure using Capgemini's standard closure process and lessons learned capture</w:t>
      </w:r>
    </w:p>
    <w:p/>
    <w:p>
      <w:r>
        <w:t>Key milestones aligned with Capgemini's delivery governance:</w:t>
      </w:r>
    </w:p>
    <w:p>
      <w:pPr>
        <w:pStyle w:val="ListBullet"/>
      </w:pPr>
      <w:r>
        <w:t>Assessment Complete: April 5, 2024 - Capgemini Quality Gate 1</w:t>
      </w:r>
    </w:p>
    <w:p>
      <w:pPr>
        <w:pStyle w:val="ListBullet"/>
      </w:pPr>
      <w:r>
        <w:t>Modernization Complete: September 15, 2024 - Capgemini Quality Gate 2</w:t>
      </w:r>
    </w:p>
    <w:p>
      <w:pPr>
        <w:pStyle w:val="ListBullet"/>
      </w:pPr>
      <w:r>
        <w:t>Production Go-Live: November 15, 2024 - Capgemini Final Quality Gate</w:t>
      </w:r>
    </w:p>
    <w:p/>
    <w:p>
      <w:pPr>
        <w:pStyle w:val="Heading1"/>
        <w:jc w:val="center"/>
      </w:pPr>
      <w:r>
        <w:t>5. RESOURCE ALLOCATION</w:t>
      </w:r>
    </w:p>
    <w:p/>
    <w:p>
      <w:r>
        <w:t>5.1 Capgemini Resources</w:t>
      </w:r>
    </w:p>
    <w:p>
      <w:r>
        <w:t>Capgemini shall assign the following certified resources to this project:</w:t>
      </w:r>
    </w:p>
    <w:p>
      <w:pPr>
        <w:pStyle w:val="ListBullet"/>
      </w:pPr>
      <w:r>
        <w:t>Capgemini Project Manager: Laurent Dubois - 25 hours/week</w:t>
      </w:r>
    </w:p>
    <w:p>
      <w:pPr>
        <w:pStyle w:val="ListBullet"/>
      </w:pPr>
      <w:r>
        <w:t>Capgemini Technical Lead: Ravi Krishnan - 35 hours/week</w:t>
      </w:r>
    </w:p>
    <w:p>
      <w:pPr>
        <w:pStyle w:val="ListBullet"/>
      </w:pPr>
      <w:r>
        <w:t>Capgemini Senior Consultant: Ana Silva - 40 hours/week</w:t>
      </w:r>
    </w:p>
    <w:p>
      <w:pPr>
        <w:pStyle w:val="ListBullet"/>
      </w:pPr>
      <w:r>
        <w:t>Capgemini Consultant: Chen Wei - 30 hours/week</w:t>
      </w:r>
    </w:p>
    <w:p/>
    <w:p>
      <w:r>
        <w:t>5.2 Capgemini Resource Standards</w:t>
      </w:r>
    </w:p>
    <w:p>
      <w:r>
        <w:t>All Capgemini resources shall meet the following standards:</w:t>
      </w:r>
    </w:p>
    <w:p>
      <w:pPr>
        <w:pStyle w:val="ListBullet"/>
      </w:pPr>
      <w:r>
        <w:t>Certified in relevant Capgemini methodologies and tools</w:t>
      </w:r>
    </w:p>
    <w:p>
      <w:pPr>
        <w:pStyle w:val="ListBullet"/>
      </w:pPr>
      <w:r>
        <w:t>Minimum 4 years of experience in similar engagements</w:t>
      </w:r>
    </w:p>
    <w:p>
      <w:pPr>
        <w:pStyle w:val="ListBullet"/>
      </w:pPr>
      <w:r>
        <w:t>Completed Capgemini's mandatory training programs</w:t>
      </w:r>
    </w:p>
    <w:p>
      <w:pPr>
        <w:pStyle w:val="ListBullet"/>
      </w:pPr>
      <w:r>
        <w:t>Adherence to Capgemini's professional standards and code of conduct</w:t>
      </w:r>
    </w:p>
    <w:p/>
    <w:p>
      <w:r>
        <w:t>5.3 Client Resources</w:t>
      </w:r>
    </w:p>
    <w:p>
      <w:r>
        <w:t>The Client shall provide the following resources to support Capgemini's delivery:</w:t>
      </w:r>
    </w:p>
    <w:p>
      <w:pPr>
        <w:pStyle w:val="ListBullet"/>
      </w:pPr>
      <w:r>
        <w:t>Project Sponsor: Robert Martinez</w:t>
      </w:r>
    </w:p>
    <w:p>
      <w:pPr>
        <w:pStyle w:val="ListBullet"/>
      </w:pPr>
      <w:r>
        <w:t>Business Analyst: Marcus Johnson</w:t>
      </w:r>
    </w:p>
    <w:p>
      <w:pPr>
        <w:pStyle w:val="ListBullet"/>
      </w:pPr>
      <w:r>
        <w:t>Technical Contact: Linda Thompson</w:t>
      </w:r>
    </w:p>
    <w:p>
      <w:pPr>
        <w:pStyle w:val="ListBullet"/>
      </w:pPr>
      <w:r>
        <w:t>End User Representatives: IT Operations Team</w:t>
      </w:r>
    </w:p>
    <w:p/>
    <w:p>
      <w:r>
        <w:t>5.4 Resource Management</w:t>
      </w:r>
    </w:p>
    <w:p>
      <w:r>
        <w:t>Capgemini shall ensure adequate resource availability throughout the project duration and shall notify the Client immediately of any resource changes. All resource substitutions shall maintain equivalent or higher skill levels and shall be approved by the Client.</w:t>
      </w:r>
    </w:p>
    <w:p/>
    <w:p>
      <w:pPr>
        <w:pStyle w:val="Heading1"/>
        <w:jc w:val="center"/>
      </w:pPr>
      <w:r>
        <w:t>6. ACCEPTANCE CRITERIA</w:t>
      </w:r>
    </w:p>
    <w:p/>
    <w:p>
      <w:r>
        <w:t>6.1 Capgemini Quality Standards</w:t>
      </w:r>
    </w:p>
    <w:p>
      <w:r>
        <w:t>Each deliverable shall meet both Client requirements and Capgemini's internal quality standards before submission. Capgemini shall conduct internal quality reviews using its established quality assurance processes.</w:t>
      </w:r>
    </w:p>
    <w:p/>
    <w:p>
      <w:r>
        <w:t>6.2 Acceptance Process</w:t>
      </w:r>
    </w:p>
    <w:p>
      <w:pPr>
        <w:pStyle w:val="ListBullet"/>
      </w:pPr>
      <w:r>
        <w:t>Capgemini submits deliverable with completion notice and quality certification</w:t>
      </w:r>
    </w:p>
    <w:p>
      <w:pPr>
        <w:pStyle w:val="ListBullet"/>
      </w:pPr>
      <w:r>
        <w:t>Client reviews deliverable against specified criteria within 7 business days</w:t>
      </w:r>
    </w:p>
    <w:p>
      <w:pPr>
        <w:pStyle w:val="ListBullet"/>
      </w:pPr>
      <w:r>
        <w:t>Client provides written acceptance or rejection with detailed feedback</w:t>
      </w:r>
    </w:p>
    <w:p>
      <w:pPr>
        <w:pStyle w:val="ListBullet"/>
      </w:pPr>
      <w:r>
        <w:t>If rejected, Capgemini has 5 business days to address issues</w:t>
      </w:r>
    </w:p>
    <w:p>
      <w:pPr>
        <w:pStyle w:val="ListBullet"/>
      </w:pPr>
      <w:r>
        <w:t>Process repeats until deliverable meets both Client and Capgemini standards</w:t>
      </w:r>
    </w:p>
    <w:p/>
    <w:p>
      <w:r>
        <w:t>6.3 Acceptance Criteria Standards</w:t>
      </w:r>
    </w:p>
    <w:p>
      <w:r>
        <w:t>All deliverables must meet the following minimum standards:</w:t>
      </w:r>
    </w:p>
    <w:p>
      <w:pPr>
        <w:pStyle w:val="ListBullet"/>
      </w:pPr>
      <w:r>
        <w:t>Completeness according to specifications and Capgemini templates</w:t>
      </w:r>
    </w:p>
    <w:p>
      <w:pPr>
        <w:pStyle w:val="ListBullet"/>
      </w:pPr>
      <w:r>
        <w:t>Quality standards as defined in project requirements and Capgemini quality framework</w:t>
      </w:r>
    </w:p>
    <w:p>
      <w:pPr>
        <w:pStyle w:val="ListBullet"/>
      </w:pPr>
      <w:r>
        <w:t>Compliance with applicable regulations, standards, and Capgemini policies</w:t>
      </w:r>
    </w:p>
    <w:p>
      <w:pPr>
        <w:pStyle w:val="ListBullet"/>
      </w:pPr>
      <w:r>
        <w:t>Documentation requirements as specified using Capgemini standard formats</w:t>
      </w:r>
    </w:p>
    <w:p/>
    <w:p>
      <w:pPr>
        <w:pStyle w:val="Heading1"/>
        <w:jc w:val="center"/>
      </w:pPr>
      <w:r>
        <w:t>7. ASSUMPTIONS AND DEPENDENCIES</w:t>
      </w:r>
    </w:p>
    <w:p/>
    <w:p>
      <w:r>
        <w:t>7.1 Assumptions</w:t>
      </w:r>
    </w:p>
    <w:p>
      <w:pPr>
        <w:pStyle w:val="Heading2"/>
      </w:pPr>
      <w:r>
        <w:t>This SOW is based on the following assumptions:</w:t>
      </w:r>
    </w:p>
    <w:p>
      <w:pPr>
        <w:pStyle w:val="ListBullet"/>
      </w:pPr>
      <w:r>
        <w:t>Current application architecture is well-documented</w:t>
      </w:r>
    </w:p>
    <w:p>
      <w:pPr>
        <w:pStyle w:val="ListBullet"/>
      </w:pPr>
      <w:r>
        <w:t>Cloud infrastructure requirements are clearly defined</w:t>
      </w:r>
    </w:p>
    <w:p>
      <w:pPr>
        <w:pStyle w:val="ListBullet"/>
      </w:pPr>
      <w:r>
        <w:t>Performance requirements will not exceed current system capabilities</w:t>
      </w:r>
    </w:p>
    <w:p>
      <w:pPr>
        <w:pStyle w:val="ListBullet"/>
      </w:pPr>
      <w:r>
        <w:t>Client will provide necessary access to Capgemini resources</w:t>
      </w:r>
    </w:p>
    <w:p>
      <w:pPr>
        <w:pStyle w:val="ListBullet"/>
      </w:pPr>
      <w:r>
        <w:t>Capgemini's standard tools and methodologies are acceptable to Client</w:t>
      </w:r>
    </w:p>
    <w:p/>
    <w:p>
      <w:r>
        <w:t>7.2 Dependencies</w:t>
      </w:r>
    </w:p>
    <w:p>
      <w:pPr>
        <w:pStyle w:val="Heading2"/>
      </w:pPr>
      <w:r>
        <w:t>Project success is dependent upon:</w:t>
      </w:r>
    </w:p>
    <w:p>
      <w:pPr>
        <w:pStyle w:val="ListBullet"/>
      </w:pPr>
      <w:r>
        <w:t>Timely provision of Client resources and information</w:t>
      </w:r>
    </w:p>
    <w:p>
      <w:pPr>
        <w:pStyle w:val="ListBullet"/>
      </w:pPr>
      <w:r>
        <w:t>Access to required systems and environments for Capgemini team</w:t>
      </w:r>
    </w:p>
    <w:p>
      <w:pPr>
        <w:pStyle w:val="ListBullet"/>
      </w:pPr>
      <w:r>
        <w:t>Cloud platform availability and performance</w:t>
      </w:r>
    </w:p>
    <w:p>
      <w:pPr>
        <w:pStyle w:val="ListBullet"/>
      </w:pPr>
      <w:r>
        <w:t>Client approval of modernization approach</w:t>
      </w:r>
    </w:p>
    <w:p>
      <w:pPr>
        <w:pStyle w:val="ListBullet"/>
      </w:pPr>
      <w:r>
        <w:t>Limited scope as defined in exclusions section</w:t>
      </w:r>
    </w:p>
    <w:p>
      <w:pPr>
        <w:pStyle w:val="ListBullet"/>
      </w:pPr>
      <w:r>
        <w:t>Availability of Capgemini's global delivery infrastructure</w:t>
      </w:r>
    </w:p>
    <w:p/>
    <w:p>
      <w:r>
        <w:t>7.3 Risk Mitigation</w:t>
      </w:r>
    </w:p>
    <w:p>
      <w:r>
        <w:t>Capgemini shall apply its standard risk management framework to identify, assess, and mitigate project risks. 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$525,000 payable according to Capgemini's standard payment schedule below.</w:t>
      </w:r>
    </w:p>
    <w:p/>
    <w:p>
      <w:r>
        <w:t>8.2 Payment Schedule</w:t>
      </w:r>
    </w:p>
    <w:p>
      <w:pPr>
        <w:pStyle w:val="ListBullet"/>
      </w:pPr>
      <w:r>
        <w:t>Phase 1 Completion: $180,000 due within 30 days of Capgemini deliverable acceptance</w:t>
      </w:r>
    </w:p>
    <w:p>
      <w:pPr>
        <w:pStyle w:val="ListBullet"/>
      </w:pPr>
      <w:r>
        <w:t>Phase 2 Completion: $260,000 due within 30 days of Capgemini deliverable acceptance</w:t>
      </w:r>
    </w:p>
    <w:p>
      <w:pPr>
        <w:pStyle w:val="ListBullet"/>
      </w:pPr>
      <w:r>
        <w:t>Final Deliverables: $85,000 due within 30 days of project completion and Capgemini knowledge transfer</w:t>
      </w:r>
    </w:p>
    <w:p/>
    <w:p>
      <w:r>
        <w:t>8.3 Invoicing</w:t>
      </w:r>
    </w:p>
    <w:p>
      <w:r>
        <w:t>Capgemini shall submit invoices monthly for work completed according to its standard invoicing process. All invoices shall include:</w:t>
      </w:r>
    </w:p>
    <w:p>
      <w:pPr>
        <w:pStyle w:val="ListBullet"/>
      </w:pPr>
      <w:r>
        <w:t>Detailed description of work performed by Capgemini resources</w:t>
      </w:r>
    </w:p>
    <w:p>
      <w:pPr>
        <w:pStyle w:val="ListBullet"/>
      </w:pPr>
      <w:r>
        <w:t>Hours worked by resource type and location</w:t>
      </w:r>
    </w:p>
    <w:p>
      <w:pPr>
        <w:pStyle w:val="ListBullet"/>
      </w:pPr>
      <w:r>
        <w:t>Deliverables completed with Capgemini quality certification</w:t>
      </w:r>
    </w:p>
    <w:p>
      <w:pPr>
        <w:pStyle w:val="ListBullet"/>
      </w:pPr>
      <w:r>
        <w:t>Project code reference: GT-MOD-2024-016</w:t>
      </w:r>
    </w:p>
    <w:p>
      <w:pPr>
        <w:pStyle w:val="ListBullet"/>
      </w:pPr>
      <w:r>
        <w:t>Capgemini engagement ID: CAP-GT-MOD-2024-004</w:t>
      </w:r>
    </w:p>
    <w:p/>
    <w:p>
      <w:r>
        <w:t>Payment terms are Net 30 days from receipt of properly submitted Capgemini invoice.</w:t>
      </w:r>
    </w:p>
    <w:p/>
    <w:p>
      <w:r>
        <w:t>8.4 Expenses</w:t>
      </w:r>
    </w:p>
    <w:p>
      <w:r>
        <w:t>Pre-approved expenses shall be reimbursed at cost with appropriate documentation according to Capgemini's expense policy. Travel expenses require prior written approval from the Client and shall follow Capgemini's travel guidelines.</w:t>
      </w:r>
    </w:p>
    <w:p/>
    <w:p>
      <w:pPr>
        <w:pStyle w:val="Heading1"/>
        <w:jc w:val="center"/>
      </w:pPr>
      <w:r>
        <w:t>9. CHANGE MANAGEMENT</w:t>
      </w:r>
    </w:p>
    <w:p/>
    <w:p>
      <w:r>
        <w:t>9.1 Capgemini Change Request Process</w:t>
      </w:r>
    </w:p>
    <w:p>
      <w:r>
        <w:t>Any changes to this SOW must be documented through Capgemini's formal change request process including:</w:t>
      </w:r>
    </w:p>
    <w:p>
      <w:pPr>
        <w:pStyle w:val="ListBullet"/>
      </w:pPr>
      <w:r>
        <w:t>Written description of proposed change using Capgemini change request template</w:t>
      </w:r>
    </w:p>
    <w:p>
      <w:pPr>
        <w:pStyle w:val="ListBullet"/>
      </w:pPr>
      <w:r>
        <w:t>Impact analysis on scope, timeline, and cost conducted by Capgemini</w:t>
      </w:r>
    </w:p>
    <w:p>
      <w:pPr>
        <w:pStyle w:val="ListBullet"/>
      </w:pPr>
      <w:r>
        <w:t>Client approval before implementation</w:t>
      </w:r>
    </w:p>
    <w:p>
      <w:pPr>
        <w:pStyle w:val="ListBullet"/>
      </w:pPr>
      <w:r>
        <w:t>Updated SOW documentation following Capgemini standards</w:t>
      </w:r>
    </w:p>
    <w:p/>
    <w:p>
      <w:r>
        <w:t>9.2 Change Authorization</w:t>
      </w:r>
    </w:p>
    <w:p>
      <w:r>
        <w:t>Changes exceeding $25,000 require written approval from Robert Martinez and Capgemini account management. Minor changes may be approved by the designated Capgemini project manager.</w:t>
      </w:r>
    </w:p>
    <w:p/>
    <w:p>
      <w:r>
        <w:t>9.3 Change Implementation</w:t>
      </w:r>
    </w:p>
    <w:p>
      <w:r>
        <w:t>Approved changes shall be implemented according to revised timeline and specifications using Capgemini's change management methodology. No work on changes shall commence without proper authorization from both parties.</w:t>
      </w:r>
    </w:p>
    <w:p/>
    <w:p>
      <w:pPr>
        <w:pStyle w:val="Heading1"/>
        <w:jc w:val="center"/>
      </w:pPr>
      <w:r>
        <w:t>10. TERMS AND CONDITIONS</w:t>
      </w:r>
    </w:p>
    <w:p/>
    <w:p>
      <w:r>
        <w:t>10.1 Governing Agreement</w:t>
      </w:r>
    </w:p>
    <w:p>
      <w:r>
        <w:t>This SOW is governed by the Master Services Agreement between Capgemini and Client dated November 15,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 and Capgemini's confidentiality policies.</w:t>
      </w:r>
    </w:p>
    <w:p/>
    <w:p>
      <w:r>
        <w:t>10.3 Intellectual Property</w:t>
      </w:r>
    </w:p>
    <w:p>
      <w:r>
        <w:t>All work product created under this SOW shall be owned by the Client upon full payment. Capgemini retains rights to its proprietary methodologies, tools, accelerators, and general know-how developed prior to or independently of this engagement.</w:t>
      </w:r>
    </w:p>
    <w:p/>
    <w:p>
      <w:r>
        <w:t>10.4 Limitation of Liability</w:t>
      </w:r>
    </w:p>
    <w:p>
      <w:r>
        <w:t>Capgemini's liability under this SOW shall not exceed the total value of the contract. Neither party shall be liable for indirect, consequential, or punitive damages, subject to the limitations set forth in the MSA.</w:t>
      </w:r>
    </w:p>
    <w:p/>
    <w:p>
      <w:r>
        <w:t>10.5 Termination</w:t>
      </w:r>
    </w:p>
    <w:p>
      <w:r>
        <w:t>Either party may terminate this SOW with 45 days written notice. Upon termination, Capgemini shall be compensated for work completed and accepted, and shall provide transition assistance according to its standard procedures.</w:t>
      </w:r>
    </w:p>
    <w:p/>
    <w:p>
      <w:r>
        <w:t>10.6 Force Majeure</w:t>
      </w:r>
    </w:p>
    <w:p>
      <w:r>
        <w:t>Neither party shall be liable for delays or failures due to circumstances beyond their reasonable control including but not limited to acts of God, government actions, or natural disasters affecting Capgemini's delivery capabilities.</w:t>
      </w:r>
    </w:p>
    <w:p/>
    <w:p/>
    <w:p>
      <w:pPr>
        <w:pStyle w:val="Heading1"/>
        <w:jc w:val="center"/>
      </w:pPr>
      <w:r>
        <w:t>SIGNATURE BLOCK</w:t>
      </w:r>
    </w:p>
    <w:p/>
    <w:p>
      <w:r>
        <w:t>CLIENT: GlobalTech Inc</w:t>
      </w:r>
    </w:p>
    <w:p/>
    <w:p>
      <w:r>
        <w:t>By: _________________________    Date: ___________</w:t>
      </w:r>
    </w:p>
    <w:p>
      <w:r>
        <w:t>Name: Robert Martinez</w:t>
      </w:r>
    </w:p>
    <w:p>
      <w:r>
        <w:t>Title: Chief Information Officer</w:t>
      </w:r>
    </w:p>
    <w:p/>
    <w:p/>
    <w:p>
      <w:r>
        <w:t>CAPGEMINI: Capgemini Technology Services India Limited</w:t>
      </w:r>
    </w:p>
    <w:p/>
    <w:p>
      <w:r>
        <w:t>By: _________________________    Date: ___________</w:t>
      </w:r>
    </w:p>
    <w:p>
      <w:r>
        <w:t>Name: Laurent Dubois</w:t>
      </w:r>
    </w:p>
    <w:p>
      <w:r>
        <w:t>Title: Project Manager</w:t>
      </w:r>
    </w:p>
    <w:p/>
    <w:p>
      <w:r>
        <w:t>Account Manager: _________________________    Date: ___________</w:t>
      </w:r>
    </w:p>
    <w:p>
      <w:r>
        <w:t>Name: Philippe Moreau</w:t>
      </w:r>
    </w:p>
    <w:p>
      <w:r>
        <w:t>Title: Account Manager</w:t>
      </w:r>
    </w:p>
    <w:p/>
    <w:p/>
    <w:p>
      <w:pPr>
        <w:pStyle w:val="Heading2"/>
      </w:pPr>
      <w:r>
        <w:t>Document Control:</w:t>
      </w:r>
    </w:p>
    <w:p>
      <w:r>
        <w:t>Template ID: VENDOR_CAPGEMINI_SOW_v1</w:t>
      </w:r>
    </w:p>
    <w:p>
      <w:r>
        <w:t>Version: 1.0</w:t>
      </w:r>
    </w:p>
    <w:p>
      <w:r>
        <w:t>Capgemini Engagement ID: CAP-GT-MOD-2024-004</w:t>
      </w:r>
    </w:p>
    <w:p>
      <w:r>
        <w:t>Created: March 2, 2024</w:t>
      </w:r>
    </w:p>
    <w:p>
      <w:r>
        <w:t>Last Modified: March 2, 2024</w:t>
      </w:r>
    </w:p>
    <w:p>
      <w:r>
        <w:t>Next Review: December 5, 2024</w:t>
      </w:r>
    </w:p>
    <w:p>
      <w:r>
        <w:t>Capgemini Template Compliance: Verified</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