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PROFESSIONAL SERVICES AGREEMENT</w:t>
      </w:r>
    </w:p>
    <w:p/>
    <w:p>
      <w:r>
        <w:t>TechCorp Solutions Inc.</w:t>
      </w:r>
    </w:p>
    <w:p>
      <w:r>
        <w:t>Service Delivery Contract</w:t>
      </w:r>
    </w:p>
    <w:p/>
    <w:p>
      <w:r>
        <w:t>Contract Reference: TC-2024-018</w:t>
      </w:r>
    </w:p>
    <w:p>
      <w:r>
        <w:t>Execution Date: March 12, 2024</w:t>
      </w:r>
    </w:p>
    <w:p>
      <w:r>
        <w:t>Service Period: March 12, 2024 - September 12, 2024</w:t>
      </w:r>
    </w:p>
    <w:p/>
    <w:p>
      <w:r>
        <w:t>================================================================================</w:t>
      </w:r>
    </w:p>
    <w:p/>
    <w:p>
      <w:r>
        <w:t>CONTRACTING PARTIES</w:t>
      </w:r>
    </w:p>
    <w:p/>
    <w:p>
      <w:r>
        <w:t>Service Provider: TechCorp Solutions Inc.</w:t>
      </w:r>
    </w:p>
    <w:p>
      <w:r>
        <w:t>Address: 1234 Innovation Drive, Tech City, TC 12345</w:t>
      </w:r>
    </w:p>
    <w:p>
      <w:r>
        <w:t>Contact: John Smith, Director of Operations</w:t>
      </w:r>
    </w:p>
    <w:p>
      <w:r>
        <w:t>Phone: (555) 123-4567</w:t>
      </w:r>
    </w:p>
    <w:p>
      <w:r>
        <w:t>Email: john.smith@techcorp.com</w:t>
      </w:r>
    </w:p>
    <w:p/>
    <w:p>
      <w:r>
        <w:t>Client Organization: Acme Corp</w:t>
      </w:r>
    </w:p>
    <w:p>
      <w:r>
        <w:t>Address: 5678 Business Boulevard, Corporate City, CC 67890</w:t>
      </w:r>
    </w:p>
    <w:p>
      <w:r>
        <w:t>Contact: Michael Chen, Chief Technology Officer</w:t>
      </w:r>
    </w:p>
    <w:p>
      <w:r>
        <w:t>Phone: (555) 987-6543</w:t>
      </w:r>
    </w:p>
    <w:p>
      <w:r>
        <w:t>Email: michael.chen@acme.com</w:t>
      </w:r>
    </w:p>
    <w:p/>
    <w:p>
      <w:r>
        <w:t>================================================================================</w:t>
      </w:r>
    </w:p>
    <w:p/>
    <w:p>
      <w:r>
        <w:t>SERVICE DESCRIPTION</w:t>
      </w:r>
    </w:p>
    <w:p/>
    <w:p>
      <w:r>
        <w:t>TechCorp Solutions Inc. agrees to provide comprehensive IT consulting and implementation services to support Acme Corp's technology infrastructure modernization initiative. The services encompass system analysis, solution design, implementation support, and knowledge transfer activities.</w:t>
      </w:r>
    </w:p>
    <w:p/>
    <w:p>
      <w:r>
        <w:t>Primary Service Categories:</w:t>
      </w:r>
    </w:p>
    <w:p>
      <w:r>
        <w:t>• Infrastructure Assessment and Planning</w:t>
      </w:r>
    </w:p>
    <w:p>
      <w:r>
        <w:t>• Technology Solution Design and Architecture</w:t>
      </w:r>
    </w:p>
    <w:p>
      <w:r>
        <w:t>• Implementation Support and Project Management</w:t>
      </w:r>
    </w:p>
    <w:p>
      <w:r>
        <w:t>• Training and Knowledge Transfer Services</w:t>
      </w:r>
    </w:p>
    <w:p/>
    <w:p>
      <w:r>
        <w:t>The engagement focuses on modernizing legacy systems, improving operational efficiency, and establishing scalable technology foundations for future growth.</w:t>
      </w:r>
    </w:p>
    <w:p/>
    <w:p>
      <w:r>
        <w:t>================================================================================</w:t>
      </w:r>
    </w:p>
    <w:p/>
    <w:p>
      <w:r>
        <w:t>DELIVERABLE SCHEDULE</w:t>
      </w:r>
    </w:p>
    <w:p/>
    <w:p>
      <w:r>
        <w:t>Milestone 1: Infrastructure Assessment (Due: April 12, 2024)</w:t>
      </w:r>
    </w:p>
    <w:p>
      <w:r>
        <w:t>- Current state technology assessment</w:t>
      </w:r>
    </w:p>
    <w:p>
      <w:r>
        <w:t>- Gap analysis and recommendations report</w:t>
      </w:r>
    </w:p>
    <w:p>
      <w:r>
        <w:t>- Future state architecture blueprint</w:t>
      </w:r>
    </w:p>
    <w:p/>
    <w:p>
      <w:r>
        <w:t>Milestone 2: Solution Design (Due: May 15, 2024)</w:t>
      </w:r>
    </w:p>
    <w:p>
      <w:r>
        <w:t>- Detailed technical specifications</w:t>
      </w:r>
    </w:p>
    <w:p>
      <w:r>
        <w:t>- Implementation roadmap and timeline</w:t>
      </w:r>
    </w:p>
    <w:p>
      <w:r>
        <w:t>- Risk assessment and mitigation plan</w:t>
      </w:r>
    </w:p>
    <w:p/>
    <w:p>
      <w:r>
        <w:t>Milestone 3: Implementation Phase 1 (Due: July 15, 2024)</w:t>
      </w:r>
    </w:p>
    <w:p>
      <w:r>
        <w:t>- Core system deployment</w:t>
      </w:r>
    </w:p>
    <w:p>
      <w:r>
        <w:t>- Initial configuration and testing</w:t>
      </w:r>
    </w:p>
    <w:p>
      <w:r>
        <w:t>- User acceptance testing support</w:t>
      </w:r>
    </w:p>
    <w:p/>
    <w:p>
      <w:r>
        <w:t>Milestone 4: Implementation Phase 2 (Due: August 30, 2024)</w:t>
      </w:r>
    </w:p>
    <w:p>
      <w:r>
        <w:t>- Full system integration</w:t>
      </w:r>
    </w:p>
    <w:p>
      <w:r>
        <w:t>- Performance optimization</w:t>
      </w:r>
    </w:p>
    <w:p>
      <w:r>
        <w:t>- Security configuration and validation</w:t>
      </w:r>
    </w:p>
    <w:p/>
    <w:p>
      <w:r>
        <w:t>Milestone 5: Project Completion (Due: September 12, 2024)</w:t>
      </w:r>
    </w:p>
    <w:p>
      <w:r>
        <w:t>- Final system deployment</w:t>
      </w:r>
    </w:p>
    <w:p>
      <w:r>
        <w:t>- User training and documentation</w:t>
      </w:r>
    </w:p>
    <w:p>
      <w:r>
        <w:t>- Project closure and handover</w:t>
      </w:r>
    </w:p>
    <w:p/>
    <w:p>
      <w:r>
        <w:t>================================================================================</w:t>
      </w:r>
    </w:p>
    <w:p/>
    <w:p>
      <w:r>
        <w:t>FINANCIAL TERMS</w:t>
      </w:r>
    </w:p>
    <w:p/>
    <w:p>
      <w:r>
        <w:t>Total Contract Value: $295,000 USD</w:t>
      </w:r>
    </w:p>
    <w:p/>
    <w:p>
      <w:r>
        <w:t>Payment Structure:</w:t>
      </w:r>
    </w:p>
    <w:p>
      <w:r>
        <w:t>- Milestone 1 Completion: $65,000 (22%)</w:t>
      </w:r>
    </w:p>
    <w:p>
      <w:r>
        <w:t>- Milestone 2 Completion: $75,000 (25%)</w:t>
      </w:r>
    </w:p>
    <w:p>
      <w:r>
        <w:t>- Milestone 3 Completion: $85,000 (29%)</w:t>
      </w:r>
    </w:p>
    <w:p>
      <w:r>
        <w:t>- Milestone 4 Completion: $50,000 (17%)</w:t>
      </w:r>
    </w:p>
    <w:p>
      <w:r>
        <w:t>- Milestone 5 Completion: $20,000 (7%)</w:t>
      </w:r>
    </w:p>
    <w:p/>
    <w:p>
      <w:r>
        <w:t>Invoicing Terms:</w:t>
      </w:r>
    </w:p>
    <w:p>
      <w:r>
        <w:t>TechCorp will submit invoices within 5 business days of milestone completion. Payment is due within 45 days of invoice receipt. Late payments will incur a 1.5% monthly service charge.</w:t>
      </w:r>
    </w:p>
    <w:p/>
    <w:p>
      <w:r>
        <w:t>Expense Reimbursement:</w:t>
      </w:r>
    </w:p>
    <w:p>
      <w:r>
        <w:t>Pre-approved travel and material expenses will be reimbursed at cost with proper documentation. All expenses exceeding $500 require prior written approval.</w:t>
      </w:r>
    </w:p>
    <w:p/>
    <w:p>
      <w:r>
        <w:t>================================================================================</w:t>
      </w:r>
    </w:p>
    <w:p/>
    <w:p>
      <w:r>
        <w:t>PERFORMANCE STANDARDS</w:t>
      </w:r>
    </w:p>
    <w:p/>
    <w:p>
      <w:r>
        <w:t>Quality Assurance:</w:t>
      </w:r>
    </w:p>
    <w:p>
      <w:r>
        <w:t>All deliverables must meet industry standard quality criteria and pass client review processes. TechCorp maintains internal quality control procedures to ensure deliverable excellence.</w:t>
      </w:r>
    </w:p>
    <w:p/>
    <w:p>
      <w:r>
        <w:t>Service Level Commitments:</w:t>
      </w:r>
    </w:p>
    <w:p>
      <w:r>
        <w:t>- Response time for critical issues: 4 hours</w:t>
      </w:r>
    </w:p>
    <w:p>
      <w:r>
        <w:t>- Response time for standard requests: 24 hours</w:t>
      </w:r>
    </w:p>
    <w:p>
      <w:r>
        <w:t>- Availability during business hours: 99%</w:t>
      </w:r>
    </w:p>
    <w:p>
      <w:r>
        <w:t>- Project milestone adherence: 95%</w:t>
      </w:r>
    </w:p>
    <w:p/>
    <w:p>
      <w:r>
        <w:t>Review and Acceptance:</w:t>
      </w:r>
    </w:p>
    <w:p>
      <w:r>
        <w:t>Client has 10 business days to review and approve deliverables. Rejection must include specific feedback for remediation. TechCorp has 5 business days to address feedback and resubmit.</w:t>
      </w:r>
    </w:p>
    <w:p/>
    <w:p>
      <w:r>
        <w:t>================================================================================</w:t>
      </w:r>
    </w:p>
    <w:p/>
    <w:p>
      <w:r>
        <w:t>RISK MANAGEMENT</w:t>
      </w:r>
    </w:p>
    <w:p/>
    <w:p>
      <w:r>
        <w:t>Project Assumptions:</w:t>
      </w:r>
    </w:p>
    <w:p>
      <w:r>
        <w:t>- Client systems are accessible for assessment and modification</w:t>
      </w:r>
    </w:p>
    <w:p>
      <w:r>
        <w:t>- Required technical resources will be available as scheduled</w:t>
      </w:r>
    </w:p>
    <w:p>
      <w:r>
        <w:t>- Business requirements remain stable throughout engagement</w:t>
      </w:r>
    </w:p>
    <w:p>
      <w:r>
        <w:t>- Third-party integrations will function as documented</w:t>
      </w:r>
    </w:p>
    <w:p/>
    <w:p>
      <w:r>
        <w:t>Dependencies:</w:t>
      </w:r>
    </w:p>
    <w:p>
      <w:r>
        <w:t>- Timely client feedback and approvals</w:t>
      </w:r>
    </w:p>
    <w:p>
      <w:r>
        <w:t>- Access to production and test environments</w:t>
      </w:r>
    </w:p>
    <w:p>
      <w:r>
        <w:t>- Availability of key client personnel</w:t>
      </w:r>
    </w:p>
    <w:p>
      <w:r>
        <w:t>- Procurement of necessary software licenses</w:t>
      </w:r>
    </w:p>
    <w:p/>
    <w:p>
      <w:r>
        <w:t>Risk Mitigation:</w:t>
      </w:r>
    </w:p>
    <w:p>
      <w:r>
        <w:t>TechCorp will maintain regular communication with client stakeholders, provide weekly status updates, and escalate issues promptly to ensure project success.</w:t>
      </w:r>
    </w:p>
    <w:p/>
    <w:p>
      <w:r>
        <w:t>================================================================================</w:t>
      </w:r>
    </w:p>
    <w:p/>
    <w:p>
      <w:r>
        <w:t>LEGAL PROVISIONS</w:t>
      </w:r>
    </w:p>
    <w:p/>
    <w:p>
      <w:r>
        <w:t>Intellectual Property Rights:</w:t>
      </w:r>
    </w:p>
    <w:p>
      <w:r>
        <w:t>Client retains ownership of all custom developments and configurations. TechCorp retains rights to general methodologies, tools, and pre-existing intellectual property.</w:t>
      </w:r>
    </w:p>
    <w:p/>
    <w:p>
      <w:r>
        <w:t>Confidentiality:</w:t>
      </w:r>
    </w:p>
    <w:p>
      <w:r>
        <w:t>Both parties agree to maintain confidentiality of proprietary information shared during the engagement. Confidentiality obligations survive contract termination.</w:t>
      </w:r>
    </w:p>
    <w:p/>
    <w:p>
      <w:r>
        <w:t>Liability Limitations:</w:t>
      </w:r>
    </w:p>
    <w:p>
      <w:r>
        <w:t>TechCorp's total liability is limited to the contract value. Neither party is liable for indirect, consequential, or punitive damages.</w:t>
      </w:r>
    </w:p>
    <w:p/>
    <w:p>
      <w:r>
        <w:t>Contract Termination:</w:t>
      </w:r>
    </w:p>
    <w:p>
      <w:r>
        <w:t>Either party may terminate with 30 days written notice. TechCorp will be compensated for completed work and reasonable termination costs.</w:t>
      </w:r>
    </w:p>
    <w:p/>
    <w:p>
      <w:r>
        <w:t>Dispute Resolution:</w:t>
      </w:r>
    </w:p>
    <w:p>
      <w:r>
        <w:t>Disputes will be resolved through binding arbitration in accordance with commercial arbitration rules.</w:t>
      </w:r>
    </w:p>
    <w:p/>
    <w:p>
      <w:r>
        <w:t>================================================================================</w:t>
      </w:r>
    </w:p>
    <w:p/>
    <w:p>
      <w:r>
        <w:t>GOVERNANCE STRUCTURE</w:t>
      </w:r>
    </w:p>
    <w:p/>
    <w:p>
      <w:r>
        <w:t>Project Management:</w:t>
      </w:r>
    </w:p>
    <w:p>
      <w:r>
        <w:t>TechCorp will assign a dedicated project manager to oversee service delivery and maintain client communication.</w:t>
      </w:r>
    </w:p>
    <w:p/>
    <w:p>
      <w:r>
        <w:t>Steering Committee:</w:t>
      </w:r>
    </w:p>
    <w:p>
      <w:r>
        <w:t>Monthly steering committee meetings will review progress, address issues, and approve major decisions.</w:t>
      </w:r>
    </w:p>
    <w:p/>
    <w:p>
      <w:r>
        <w:t>Communication Protocol:</w:t>
      </w:r>
    </w:p>
    <w:p>
      <w:r>
        <w:t>- Weekly status reports</w:t>
      </w:r>
    </w:p>
    <w:p>
      <w:r>
        <w:t>- Bi-weekly progress meetings</w:t>
      </w:r>
    </w:p>
    <w:p>
      <w:r>
        <w:t>- Monthly executive briefings</w:t>
      </w:r>
    </w:p>
    <w:p>
      <w:r>
        <w:t>- Quarterly business reviews</w:t>
      </w:r>
    </w:p>
    <w:p/>
    <w:p>
      <w:r>
        <w:t>Change Control:</w:t>
      </w:r>
    </w:p>
    <w:p>
      <w:r>
        <w:t>Changes to scope, timeline, or budget require written approval from both parties through formal change request process.</w:t>
      </w:r>
    </w:p>
    <w:p/>
    <w:p>
      <w:r>
        <w:t>================================================================================</w:t>
      </w:r>
    </w:p>
    <w:p/>
    <w:p>
      <w:r>
        <w:t>EXECUTION</w:t>
      </w:r>
    </w:p>
    <w:p/>
    <w:p>
      <w:r>
        <w:t>This agreement becomes effective upon signature by authorized representatives of both parties.</w:t>
      </w:r>
    </w:p>
    <w:p/>
    <w:p>
      <w:r>
        <w:t>CLIENT SIGNATURE:</w:t>
      </w:r>
    </w:p>
    <w:p/>
    <w:p>
      <w:r>
        <w:t>_________________________    Date: ___________</w:t>
      </w:r>
    </w:p>
    <w:p>
      <w:r>
        <w:t>Michael Chen</w:t>
      </w:r>
    </w:p>
    <w:p>
      <w:r>
        <w:t>Chief Technology Officer</w:t>
      </w:r>
    </w:p>
    <w:p>
      <w:r>
        <w:t>Acme Corp</w:t>
      </w:r>
    </w:p>
    <w:p/>
    <w:p>
      <w:r>
        <w:t>SERVICE PROVIDER SIGNATURE:</w:t>
      </w:r>
    </w:p>
    <w:p/>
    <w:p>
      <w:r>
        <w:t>_________________________    Date: ___________</w:t>
      </w:r>
    </w:p>
    <w:p>
      <w:r>
        <w:t>John Smith</w:t>
      </w:r>
    </w:p>
    <w:p>
      <w:r>
        <w:t>Director of Operations</w:t>
      </w:r>
    </w:p>
    <w:p>
      <w:r>
        <w:t>TechCorp Solutions Inc.</w:t>
      </w:r>
    </w:p>
    <w:p/>
    <w:p>
      <w:r>
        <w:t>_________________________    Date: ___________</w:t>
      </w:r>
    </w:p>
    <w:p>
      <w:r>
        <w:t>Sarah Johnson</w:t>
      </w:r>
    </w:p>
    <w:p>
      <w:r>
        <w:t>Project Manager</w:t>
      </w:r>
    </w:p>
    <w:p>
      <w:r>
        <w:t>TechCorp Solutions Inc.</w:t>
      </w:r>
    </w:p>
    <w:p/>
    <w:p>
      <w:r>
        <w:t>================================================================================</w:t>
      </w:r>
    </w:p>
    <w:p/>
    <w:p>
      <w:r>
        <w:t>Contract Administration:</w:t>
      </w:r>
    </w:p>
    <w:p>
      <w:r>
        <w:t>Document ID: TC-PSA-2024-018</w:t>
      </w:r>
    </w:p>
    <w:p>
      <w:r>
        <w:t>Version: 1.0</w:t>
      </w:r>
    </w:p>
    <w:p>
      <w:r>
        <w:t>Prepared by: TechCorp Legal Department</w:t>
      </w:r>
    </w:p>
    <w:p>
      <w:r>
        <w:t>Review Date: September 12,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