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JobCore Style Sheet</w:t>
      </w:r>
    </w:p>
    <w:p>
      <w:pPr>
        <w:pStyle w:val="Subtitle"/>
      </w:pPr>
      <w:r>
        <w:t xml:space="preserve">v0.3, Jeff rulings of 2026-10-31 applied; mark up with Word comments and tracked changes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E1AF80" w:sz="4"/>
              <w:left w:val="single" w:color="E1AF80" w:sz="24"/>
              <w:bottom w:val="single" w:color="E1AF80" w:sz="4"/>
              <w:right w:val="single" w:color="E1AF80" w:sz="4"/>
            </w:tcBorders>
            <w:shd w:fill="F6F1E6" w:color="auto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pPr>
              <w:pStyle w:val="HowToBox"/>
            </w:pPr>
            <w:r>
              <w:t xml:space="preserve"/>
            </w:r>
            <w:r>
              <w:rPr>
                <w:rStyle w:val="Ident"/>
              </w:rPr>
              <w:t xml:space="preserve">How to read this sheet</w:t>
            </w:r>
            <w:r>
              <w:t xml:space="preserve"/>
            </w:r>
          </w:p>
          <w:p>
            <w:pPr>
              <w:pStyle w:val="HowToBox"/>
            </w:pPr>
            <w:r>
              <w:t xml:space="preserve"/>
            </w:r>
            <w:r>
              <w:rPr>
                <w:rStyle w:val="Ident"/>
              </w:rPr>
              <w:t xml:space="preserve">SET</w:t>
            </w:r>
            <w:r>
              <w:t xml:space="preserve"> means Jeff already ruled; the source is cited under the word. </w:t>
            </w:r>
            <w:r>
              <w:rPr>
                <w:rStyle w:val="Ident"/>
              </w:rPr>
              <w:t xml:space="preserve">PROPOSED</w:t>
            </w:r>
            <w:r>
              <w:t xml:space="preserve"> means read from the code as it is today, with no ruling yet. </w:t>
            </w:r>
            <w:r>
              <w:rPr>
                <w:rStyle w:val="Ident"/>
              </w:rPr>
              <w:t xml:space="preserve">OPEN</w:t>
            </w:r>
            <w:r>
              <w:t xml:space="preserve"> is a known loose end.</w:t>
            </w:r>
          </w:p>
          <w:p>
            <w:pPr>
              <w:pStyle w:val="HowToBox"/>
            </w:pPr>
            <w:r>
              <w:t xml:space="preserve">Mark up by adding a Word comment (or tracked change) on any row. Every PROPOSED row and each open question already carries a comment to reply to.</w:t>
            </w:r>
          </w:p>
          <w:p>
            <w:pPr>
              <w:pStyle w:val="HowToBox"/>
            </w:pPr>
            <w:r>
              <w:t xml:space="preserve">Pictures are drawn at true proportion and printed at 100%: 1 app pixel = 1 point. Callouts show padding, alignment and how a part resizes. Values come from </w:t>
            </w:r>
            <w:r>
              <w:rPr>
                <w:rStyle w:val="Ident"/>
              </w:rPr>
              <w:t xml:space="preserve">app/packages/ui/src/tokens.ts</w:t>
            </w:r>
            <w:r>
              <w:t xml:space="preserve">.</w:t>
            </w:r>
          </w:p>
          <w:p>
            <w:pPr>
              <w:pStyle w:val="HowToBox"/>
            </w:pPr>
            <w:r>
              <w:t xml:space="preserve">Spacing scale: xs 4, sm 6, md 10, lg 15, xl 20, xxl 28. Radius: sm 6, md 10, lg 16.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 xml:space="preserve">1. Global</w:t>
      </w:r>
    </w:p>
    <w:tbl>
      <w:tblPr>
        <w:tblStyle w:val="JCRuleTable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3900"/>
        <w:gridCol w:w="1500"/>
        <w:gridCol w:w="4680"/>
      </w:tblGrid>
      <w:tr>
        <w:trPr>
          <w:cantSplit/>
          <w:tblHeader/>
        </w:trPr>
        <w:tc>
          <w:tcPr>
            <w:tcW w:type="dxa" w:w="3900"/>
            <w:shd w:fill="1B2A4A" w:color="auto" w:val="clear"/>
          </w:tcPr>
          <w:p>
            <w:pPr>
              <w:pStyle w:val="RuleHead"/>
            </w:pPr>
            <w:r>
              <w:t xml:space="preserve">Rule</w:t>
            </w:r>
          </w:p>
        </w:tc>
        <w:tc>
          <w:tcPr>
            <w:tcW w:type="dxa" w:w="1500"/>
            <w:shd w:fill="1B2A4A" w:color="auto" w:val="clear"/>
          </w:tcPr>
          <w:p>
            <w:pPr>
              <w:pStyle w:val="RuleHead"/>
            </w:pPr>
            <w:r>
              <w:t xml:space="preserve">Status</w:t>
            </w:r>
          </w:p>
        </w:tc>
        <w:tc>
          <w:tcPr>
            <w:tcW w:type="dxa" w:w="4680"/>
            <w:shd w:fill="1B2A4A" w:color="auto" w:val="clear"/>
          </w:tcPr>
          <w:p>
            <w:pPr>
              <w:pStyle w:val="RuleHead"/>
            </w:pPr>
            <w:r>
              <w:t xml:space="preserve">Measures: padding, alignment, resizing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No bottom tab bar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Tabs sit along the top only (see section 4).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No NEW on-screen Back buttons; existing ones Jeff asked for stay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feedback-android-back-not-buttons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Navigation back is the Android </w:t>
            </w:r>
            <w:r>
              <w:rPr>
                <w:rStyle w:val="Ident"/>
              </w:rPr>
              <w:t xml:space="preserve">&lt;</w:t>
            </w:r>
            <w:r>
              <w:t xml:space="preserve"> button.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Android </w:t>
            </w:r>
            <w:r>
              <w:rPr>
                <w:rStyle w:val="Ident"/>
              </w:rPr>
              <w:t xml:space="preserve">&lt;</w:t>
            </w:r>
            <w:r>
              <w:t xml:space="preserve"> follows actual visit history, never a fixed parent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same as above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History order, not the screen hierarchy.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Every screen shows its screen-number badge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jobcore-screen-number-working-rules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Badge is part of the screen chrome.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Tight vertical padding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Row padding 6 max (see section 2).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Never inline-style a one-off; use the shared component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Change the shared component so every screen follows.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 xml:space="preserve">2. Spacing</w:t>
      </w:r>
    </w:p>
    <w:p>
      <w:pPr>
        <w:pStyle w:val="Spec"/>
      </w:pPr>
      <w:r>
        <w:t xml:space="preserve">Scale: xs 4, sm 6, md 10, lg 15, xl 20, xxl 28.</w:t>
      </w:r>
    </w:p>
    <w:tbl>
      <w:tblPr>
        <w:tblStyle w:val="JCRuleTable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3900"/>
        <w:gridCol w:w="1500"/>
        <w:gridCol w:w="4680"/>
      </w:tblGrid>
      <w:tr>
        <w:trPr>
          <w:cantSplit/>
          <w:tblHeader/>
        </w:trPr>
        <w:tc>
          <w:tcPr>
            <w:tcW w:type="dxa" w:w="3900"/>
            <w:shd w:fill="1B2A4A" w:color="auto" w:val="clear"/>
          </w:tcPr>
          <w:p>
            <w:pPr>
              <w:pStyle w:val="RuleHead"/>
            </w:pPr>
            <w:r>
              <w:t xml:space="preserve">Rule</w:t>
            </w:r>
          </w:p>
        </w:tc>
        <w:tc>
          <w:tcPr>
            <w:tcW w:type="dxa" w:w="1500"/>
            <w:shd w:fill="1B2A4A" w:color="auto" w:val="clear"/>
          </w:tcPr>
          <w:p>
            <w:pPr>
              <w:pStyle w:val="RuleHead"/>
            </w:pPr>
            <w:r>
              <w:t xml:space="preserve">Status</w:t>
            </w:r>
          </w:p>
        </w:tc>
        <w:tc>
          <w:tcPr>
            <w:tcW w:type="dxa" w:w="4680"/>
            <w:shd w:fill="1B2A4A" w:color="auto" w:val="clear"/>
          </w:tcPr>
          <w:p>
            <w:pPr>
              <w:pStyle w:val="RuleHead"/>
            </w:pPr>
            <w:r>
              <w:t xml:space="preserve">Measures: padding, alignment, resizing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Gap between related items (label/value, icon/text)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xs to sm (4 to 6), keep. Items align on their text baseline vertically; left-aligned horizontally.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Gap between rows / cards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sm (6).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Screen side gutter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md (10) left and right of the body.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Section gap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md to lg (10 to 15) between sections.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Vertical padding inside rows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sm (6) maximum, top and bottom.</w:t>
            </w:r>
          </w:p>
        </w:tc>
      </w:tr>
      <w:tr>
        <w:trPr>
          <w:cantSplit/>
        </w:trPr>
        <w:tc>
          <w:tcPr>
            <w:tcW w:type="dxa" w:w="10080"/>
            <w:gridSpan w:val="3"/>
            <w:tcMar>
              <w:top w:type="dxa" w:w="80"/>
              <w:left w:type="dxa" w:w="0"/>
              <w:bottom w:type="dxa" w:w="40"/>
              <w:right w:type="dxa" w:w="0"/>
            </w:tcMar>
          </w:tcPr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6400800" cy="1905000"/>
                  <wp:effectExtent t="0" r="0" b="0" l="0"/>
                  <wp:docPr id="1" name="spacing.png" descr="Spacing scale xs 4 to xxl 48" title="Spacing scale xs 4 to xxl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pec"/>
              <w:jc w:val="center"/>
            </w:pPr>
            <w:r>
              <w:t xml:space="preserve">The spacing scale at true size. Printed at 100%: 1 app px = 1 pt.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 xml:space="preserve">3. Headers / title bar</w:t>
      </w:r>
    </w:p>
    <w:tbl>
      <w:tblPr>
        <w:tblStyle w:val="JCRuleTable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3900"/>
        <w:gridCol w:w="1500"/>
        <w:gridCol w:w="4680"/>
      </w:tblGrid>
      <w:tr>
        <w:trPr>
          <w:cantSplit/>
          <w:tblHeader/>
        </w:trPr>
        <w:tc>
          <w:tcPr>
            <w:tcW w:type="dxa" w:w="3900"/>
            <w:shd w:fill="1B2A4A" w:color="auto" w:val="clear"/>
          </w:tcPr>
          <w:p>
            <w:pPr>
              <w:pStyle w:val="RuleHead"/>
            </w:pPr>
            <w:r>
              <w:t xml:space="preserve">Rule</w:t>
            </w:r>
          </w:p>
        </w:tc>
        <w:tc>
          <w:tcPr>
            <w:tcW w:type="dxa" w:w="1500"/>
            <w:shd w:fill="1B2A4A" w:color="auto" w:val="clear"/>
          </w:tcPr>
          <w:p>
            <w:pPr>
              <w:pStyle w:val="RuleHead"/>
            </w:pPr>
            <w:r>
              <w:t xml:space="preserve">Status</w:t>
            </w:r>
          </w:p>
        </w:tc>
        <w:tc>
          <w:tcPr>
            <w:tcW w:type="dxa" w:w="4680"/>
            <w:shd w:fill="1B2A4A" w:color="auto" w:val="clear"/>
          </w:tcPr>
          <w:p>
            <w:pPr>
              <w:pStyle w:val="RuleHead"/>
            </w:pPr>
            <w:r>
              <w:t xml:space="preserve">Measures: padding, alignment, resizing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Every screen uses the Admin &amp; Finance header (</w:t>
            </w:r>
            <w:r>
              <w:rPr>
                <w:rStyle w:val="Ident"/>
              </w:rPr>
              <w:t xml:space="preserve">AppChrome</w:t>
            </w:r>
            <w:r>
              <w:t xml:space="preserve">)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Hamburger at left, options menu at right, title bar between.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Blue title bar fills the row between the hamburger and the options menu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Resizing: the bar stretches to the space between the two menus; the menus never move.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Equal 10 px blue above and below the title text (was 14); side padding 20; both screens match sizing with the menu/options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Padding: 10 above, 10 below, 20 left and right. Vertical alignment: centred. Title text is centred horizontally.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Title names the screen it is on ("Field Tech-Assigned Jobs")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Long titles wrap inside the bar; the 10 px bands stay equal.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JOB screens only: title bar inset 10 px each side (was 5), the gap between title box and menus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Inset: 10 left, 10 right, on JOB screens only. Other screens use the full row.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BUG: tech login title bar clips text at the bottom</w:t>
            </w:r>
          </w:p>
        </w:tc>
        <w:tc>
          <w:tcPr>
            <w:tcW w:type="dxa" w:w="1500"/>
            <w:shd w:fill="E1EBF7" w:color="auto" w:val="clear"/>
          </w:tcPr>
          <w:p>
            <w:pPr>
              <w:pStyle w:val="CellText"/>
            </w:pPr>
            <w:r>
              <w:rPr>
                <w:rStyle w:val="OPENMark"/>
              </w:rPr>
              <w:t xml:space="preserve">OPEN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To fix.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Job title bar = left "Job #N"+date, centre customer block, right schedule link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Left block left-aligned, centre block centred, right link right-aligned.</w:t>
            </w:r>
          </w:p>
        </w:tc>
      </w:tr>
      <w:tr>
        <w:trPr>
          <w:cantSplit/>
        </w:trPr>
        <w:tc>
          <w:tcPr>
            <w:tcW w:type="dxa" w:w="10080"/>
            <w:gridSpan w:val="3"/>
            <w:tcMar>
              <w:top w:type="dxa" w:w="80"/>
              <w:left w:type="dxa" w:w="0"/>
              <w:bottom w:type="dxa" w:w="40"/>
              <w:right w:type="dxa" w:w="0"/>
            </w:tcMar>
          </w:tcPr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6400800" cy="4521200"/>
                  <wp:effectExtent t="0" r="0" b="0" l="0"/>
                  <wp:docPr id="1" name="titlebar.png" descr="Title bar with padding callouts" title="Title bar with padding callou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452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pec"/>
              <w:jc w:val="center"/>
            </w:pPr>
            <w:r>
              <w:t xml:space="preserve">Blue title bar: 10 px bands, 20 px side padding and the 10 px job inset. Printed at 100%: 1 app px = 1 pt.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 xml:space="preserve">4. Tabs</w:t>
      </w:r>
    </w:p>
    <w:tbl>
      <w:tblPr>
        <w:tblStyle w:val="JCRuleTable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3900"/>
        <w:gridCol w:w="1500"/>
        <w:gridCol w:w="4680"/>
      </w:tblGrid>
      <w:tr>
        <w:trPr>
          <w:cantSplit/>
          <w:tblHeader/>
        </w:trPr>
        <w:tc>
          <w:tcPr>
            <w:tcW w:type="dxa" w:w="3900"/>
            <w:shd w:fill="1B2A4A" w:color="auto" w:val="clear"/>
          </w:tcPr>
          <w:p>
            <w:pPr>
              <w:pStyle w:val="RuleHead"/>
            </w:pPr>
            <w:r>
              <w:t xml:space="preserve">Rule</w:t>
            </w:r>
          </w:p>
        </w:tc>
        <w:tc>
          <w:tcPr>
            <w:tcW w:type="dxa" w:w="1500"/>
            <w:shd w:fill="1B2A4A" w:color="auto" w:val="clear"/>
          </w:tcPr>
          <w:p>
            <w:pPr>
              <w:pStyle w:val="RuleHead"/>
            </w:pPr>
            <w:r>
              <w:t xml:space="preserve">Status</w:t>
            </w:r>
          </w:p>
        </w:tc>
        <w:tc>
          <w:tcPr>
            <w:tcW w:type="dxa" w:w="4680"/>
            <w:shd w:fill="1B2A4A" w:color="auto" w:val="clear"/>
          </w:tcPr>
          <w:p>
            <w:pPr>
              <w:pStyle w:val="RuleHead"/>
            </w:pPr>
            <w:r>
              <w:t xml:space="preserve">Measures: padding, alignment, resizing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Use </w:t>
            </w:r>
            <w:r>
              <w:rPr>
                <w:rStyle w:val="Ident"/>
              </w:rPr>
              <w:t xml:space="preserve">DefaultTabBar</w:t>
            </w:r>
            <w:r>
              <w:t xml:space="preserve">, never inline a tab bar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One shared component for every tab strip.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Anchored directly under the header, full width, outside the scrolling body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Resizing: tabs share the full width; the bar does not scroll with the page.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Tab font 13, padding top/bottom reduced by 3 px. Active tab: bold + sand background + 2 px #2563eb underline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Label 13 bold, centred both axes. Underline 2 px along the bottom edge.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Inactive tab: weight 400, sandInactive background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Label weight 400, same padding as active so tabs do not shift.</w:t>
            </w:r>
          </w:p>
        </w:tc>
      </w:tr>
      <w:tr>
        <w:trPr>
          <w:cantSplit/>
        </w:trPr>
        <w:tc>
          <w:tcPr>
            <w:tcW w:type="dxa" w:w="10080"/>
            <w:gridSpan w:val="3"/>
            <w:tcMar>
              <w:top w:type="dxa" w:w="80"/>
              <w:left w:type="dxa" w:w="0"/>
              <w:bottom w:type="dxa" w:w="40"/>
              <w:right w:type="dxa" w:w="0"/>
            </w:tcMar>
          </w:tcPr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6400800" cy="2730500"/>
                  <wp:effectExtent t="0" r="0" b="0" l="0"/>
                  <wp:docPr id="1" name="tabbar.png" descr="Tab bar active and inactive" title="Tab bar active and inac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273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pec"/>
              <w:jc w:val="center"/>
            </w:pPr>
            <w:r>
              <w:t xml:space="preserve">Active versus inactive tab with padding callouts. Printed at 100%: 1 app px = 1 pt.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 xml:space="preserve">5. Buttons</w:t>
      </w:r>
    </w:p>
    <w:tbl>
      <w:tblPr>
        <w:tblStyle w:val="JCRuleTable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3900"/>
        <w:gridCol w:w="1500"/>
        <w:gridCol w:w="4680"/>
      </w:tblGrid>
      <w:tr>
        <w:trPr>
          <w:cantSplit/>
          <w:tblHeader/>
        </w:trPr>
        <w:tc>
          <w:tcPr>
            <w:tcW w:type="dxa" w:w="3900"/>
            <w:shd w:fill="1B2A4A" w:color="auto" w:val="clear"/>
          </w:tcPr>
          <w:p>
            <w:pPr>
              <w:pStyle w:val="RuleHead"/>
            </w:pPr>
            <w:r>
              <w:t xml:space="preserve">Rule</w:t>
            </w:r>
          </w:p>
        </w:tc>
        <w:tc>
          <w:tcPr>
            <w:tcW w:type="dxa" w:w="1500"/>
            <w:shd w:fill="1B2A4A" w:color="auto" w:val="clear"/>
          </w:tcPr>
          <w:p>
            <w:pPr>
              <w:pStyle w:val="RuleHead"/>
            </w:pPr>
            <w:r>
              <w:t xml:space="preserve">Status</w:t>
            </w:r>
          </w:p>
        </w:tc>
        <w:tc>
          <w:tcPr>
            <w:tcW w:type="dxa" w:w="4680"/>
            <w:shd w:fill="1B2A4A" w:color="auto" w:val="clear"/>
          </w:tcPr>
          <w:p>
            <w:pPr>
              <w:pStyle w:val="RuleHead"/>
            </w:pPr>
            <w:r>
              <w:t xml:space="preserve">Measures: padding, alignment, resizing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PayrollButton</w:t>
            </w:r>
            <w:r>
              <w:t xml:space="preserve"> is THE button; </w:t>
            </w:r>
            <w:r>
              <w:rPr>
                <w:rStyle w:val="Ident"/>
              </w:rPr>
              <w:t xml:space="preserve">Button</w:t>
            </w:r>
            <w:r>
              <w:t xml:space="preserve">/</w:t>
            </w:r>
            <w:r>
              <w:rPr>
                <w:rStyle w:val="Ident"/>
              </w:rPr>
              <w:t xml:space="preserve">SandButton</w:t>
            </w:r>
            <w:r>
              <w:t xml:space="preserve"> are legacy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Use </w:t>
            </w:r>
            <w:r>
              <w:rPr>
                <w:rStyle w:val="Ident"/>
              </w:rPr>
              <w:t xml:space="preserve">PayrollButton</w:t>
            </w:r>
            <w:r>
              <w:t xml:space="preserve"> for every new button.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28 pt tall, 10 px side padding, radius 6, label 13/700 black centred both axes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Height 28. Padding 10 left and right. Radius 6. Label centred horizontally and vertically.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Width = label + padding only; never stretch, never pass width/flex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2026-10-20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Resizing: width grows with the label, never stretches to fill.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Default tone sand; disabled = one shade lighter than sandInactive (#F7F4EB); </w:t>
            </w:r>
            <w:r>
              <w:rPr>
                <w:rStyle w:val="Ident"/>
              </w:rPr>
              <w:t xml:space="preserve">danger</w:t>
            </w:r>
            <w:r>
              <w:t xml:space="preserve"> tone has white text, used only when Jeff asks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Sand fill by default; danger red is opt-in.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Selected state = 2 px blue bottom border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Border 2 px along the bottom edge, #2563eb.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~50 files still use legacy </w:t>
            </w:r>
            <w:r>
              <w:rPr>
                <w:rStyle w:val="Ident"/>
              </w:rPr>
              <w:t xml:space="preserve">Button</w:t>
            </w:r>
            <w:r>
              <w:t xml:space="preserve">; converted FIRST as part of this effort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Conversion sweep comes first.</w:t>
            </w:r>
          </w:p>
        </w:tc>
      </w:tr>
      <w:tr>
        <w:trPr>
          <w:cantSplit/>
        </w:trPr>
        <w:tc>
          <w:tcPr>
            <w:tcW w:type="dxa" w:w="10080"/>
            <w:gridSpan w:val="3"/>
            <w:tcMar>
              <w:top w:type="dxa" w:w="80"/>
              <w:left w:type="dxa" w:w="0"/>
              <w:bottom w:type="dxa" w:w="40"/>
              <w:right w:type="dxa" w:w="0"/>
            </w:tcMar>
          </w:tcPr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6400800" cy="2730500"/>
                  <wp:effectExtent t="0" r="0" b="0" l="0"/>
                  <wp:docPr id="1" name="btn_states.png" descr="PayrollButton states" title="PayrollButton sta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273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pec"/>
              <w:jc w:val="center"/>
            </w:pPr>
            <w:r>
              <w:t xml:space="preserve">PayrollButton default, disabled, danger and selected. Printed at 100%: 1 app px = 1 pt.</w:t>
            </w:r>
          </w:p>
        </w:tc>
      </w:tr>
      <w:tr>
        <w:trPr>
          <w:cantSplit/>
        </w:trPr>
        <w:tc>
          <w:tcPr>
            <w:tcW w:type="dxa" w:w="10080"/>
            <w:gridSpan w:val="3"/>
            <w:tcMar>
              <w:top w:type="dxa" w:w="80"/>
              <w:left w:type="dxa" w:w="0"/>
              <w:bottom w:type="dxa" w:w="40"/>
              <w:right w:type="dxa" w:w="0"/>
            </w:tcMar>
          </w:tcPr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6400800" cy="3429000"/>
                  <wp:effectExtent t="0" r="0" b="0" l="0"/>
                  <wp:docPr id="1" name="btn_resize.png" descr="PayrollButton resize flow" title="PayrollButton resize f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pec"/>
              <w:jc w:val="center"/>
            </w:pPr>
            <w:r>
              <w:t xml:space="preserve">Resize flow: width grows with the label, never stretches. Printed at 100%: 1 app px = 1 pt.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 xml:space="preserve">6. Pickers</w:t>
      </w:r>
    </w:p>
    <w:tbl>
      <w:tblPr>
        <w:tblStyle w:val="JCRuleTable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3900"/>
        <w:gridCol w:w="1500"/>
        <w:gridCol w:w="4680"/>
      </w:tblGrid>
      <w:tr>
        <w:trPr>
          <w:cantSplit/>
          <w:tblHeader/>
        </w:trPr>
        <w:tc>
          <w:tcPr>
            <w:tcW w:type="dxa" w:w="3900"/>
            <w:shd w:fill="1B2A4A" w:color="auto" w:val="clear"/>
          </w:tcPr>
          <w:p>
            <w:pPr>
              <w:pStyle w:val="RuleHead"/>
            </w:pPr>
            <w:r>
              <w:t xml:space="preserve">Rule</w:t>
            </w:r>
          </w:p>
        </w:tc>
        <w:tc>
          <w:tcPr>
            <w:tcW w:type="dxa" w:w="1500"/>
            <w:shd w:fill="1B2A4A" w:color="auto" w:val="clear"/>
          </w:tcPr>
          <w:p>
            <w:pPr>
              <w:pStyle w:val="RuleHead"/>
            </w:pPr>
            <w:r>
              <w:t xml:space="preserve">Status</w:t>
            </w:r>
          </w:p>
        </w:tc>
        <w:tc>
          <w:tcPr>
            <w:tcW w:type="dxa" w:w="4680"/>
            <w:shd w:fill="1B2A4A" w:color="auto" w:val="clear"/>
          </w:tcPr>
          <w:p>
            <w:pPr>
              <w:pStyle w:val="RuleHead"/>
            </w:pPr>
            <w:r>
              <w:t xml:space="preserve">Measures: padding, alignment, resizing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Every field-tech picker is </w:t>
            </w:r>
            <w:r>
              <w:rPr>
                <w:rStyle w:val="Ident"/>
              </w:rPr>
              <w:t xml:space="preserve">TechSelect</w:t>
            </w:r>
            <w:r>
              <w:t xml:space="preserve">: heading "Choose a Field Tech", sheet 80% wide max 320, centred larger text, grey #CED4DA dividers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Sheet width 80% of the screen, capped at 320, centred horizontally. Row text centred.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Non-tech selects keep plain </w:t>
            </w:r>
            <w:r>
              <w:rPr>
                <w:rStyle w:val="Ident"/>
              </w:rPr>
              <w:t xml:space="preserve">Select</w:t>
            </w:r>
            <w:r>
              <w:t xml:space="preserve"/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Plain </w:t>
            </w:r>
            <w:r>
              <w:rPr>
                <w:rStyle w:val="Ident"/>
              </w:rPr>
              <w:t xml:space="preserve">Select</w:t>
            </w:r>
            <w:r>
              <w:t xml:space="preserve"> is unchanged.</w:t>
            </w:r>
          </w:p>
        </w:tc>
      </w:tr>
      <w:tr>
        <w:trPr>
          <w:cantSplit/>
        </w:trPr>
        <w:tc>
          <w:tcPr>
            <w:tcW w:type="dxa" w:w="10080"/>
            <w:gridSpan w:val="3"/>
            <w:tcMar>
              <w:top w:type="dxa" w:w="80"/>
              <w:left w:type="dxa" w:w="0"/>
              <w:bottom w:type="dxa" w:w="40"/>
              <w:right w:type="dxa" w:w="0"/>
            </w:tcMar>
          </w:tcPr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6400800" cy="3175000"/>
                  <wp:effectExtent t="0" r="0" b="0" l="0"/>
                  <wp:docPr id="1" name="picker.png" descr="Picker sheet" title="Picker 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1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pec"/>
              <w:jc w:val="center"/>
            </w:pPr>
            <w:r>
              <w:t xml:space="preserve">The TechSelect sheet. Printed at 100%: 1 app px = 1 pt.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 xml:space="preserve">7. Lists (rows)</w:t>
      </w:r>
    </w:p>
    <w:tbl>
      <w:tblPr>
        <w:tblStyle w:val="JCRuleTable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3900"/>
        <w:gridCol w:w="1500"/>
        <w:gridCol w:w="4680"/>
      </w:tblGrid>
      <w:tr>
        <w:trPr>
          <w:cantSplit/>
          <w:tblHeader/>
        </w:trPr>
        <w:tc>
          <w:tcPr>
            <w:tcW w:type="dxa" w:w="3900"/>
            <w:shd w:fill="1B2A4A" w:color="auto" w:val="clear"/>
          </w:tcPr>
          <w:p>
            <w:pPr>
              <w:pStyle w:val="RuleHead"/>
            </w:pPr>
            <w:r>
              <w:t xml:space="preserve">Rule</w:t>
            </w:r>
          </w:p>
        </w:tc>
        <w:tc>
          <w:tcPr>
            <w:tcW w:type="dxa" w:w="1500"/>
            <w:shd w:fill="1B2A4A" w:color="auto" w:val="clear"/>
          </w:tcPr>
          <w:p>
            <w:pPr>
              <w:pStyle w:val="RuleHead"/>
            </w:pPr>
            <w:r>
              <w:t xml:space="preserve">Status</w:t>
            </w:r>
          </w:p>
        </w:tc>
        <w:tc>
          <w:tcPr>
            <w:tcW w:type="dxa" w:w="4680"/>
            <w:shd w:fill="1B2A4A" w:color="auto" w:val="clear"/>
          </w:tcPr>
          <w:p>
            <w:pPr>
              <w:pStyle w:val="RuleHead"/>
            </w:pPr>
            <w:r>
              <w:t xml:space="preserve">Measures: padding, alignment, resizing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Row min height 32 for tappable rows; thin divider line between rows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Min height 32. Divider 1 px #CED4DA. Row grows taller if the text wraps.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Never show raw UUIDs; show "Job #N" and drill into the job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Payments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The "Job #N" text is the tap target.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Primary text 14; secondary 13 (unchanged) in textLight/textMuted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Primary above secondary, both left-aligned, gap xs (4).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 xml:space="preserve">8. Empty states</w:t>
      </w:r>
    </w:p>
    <w:tbl>
      <w:tblPr>
        <w:tblStyle w:val="JCRuleTable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3900"/>
        <w:gridCol w:w="1500"/>
        <w:gridCol w:w="4680"/>
      </w:tblGrid>
      <w:tr>
        <w:trPr>
          <w:cantSplit/>
          <w:tblHeader/>
        </w:trPr>
        <w:tc>
          <w:tcPr>
            <w:tcW w:type="dxa" w:w="3900"/>
            <w:shd w:fill="1B2A4A" w:color="auto" w:val="clear"/>
          </w:tcPr>
          <w:p>
            <w:pPr>
              <w:pStyle w:val="RuleHead"/>
            </w:pPr>
            <w:r>
              <w:t xml:space="preserve">Rule</w:t>
            </w:r>
          </w:p>
        </w:tc>
        <w:tc>
          <w:tcPr>
            <w:tcW w:type="dxa" w:w="1500"/>
            <w:shd w:fill="1B2A4A" w:color="auto" w:val="clear"/>
          </w:tcPr>
          <w:p>
            <w:pPr>
              <w:pStyle w:val="RuleHead"/>
            </w:pPr>
            <w:r>
              <w:t xml:space="preserve">Status</w:t>
            </w:r>
          </w:p>
        </w:tc>
        <w:tc>
          <w:tcPr>
            <w:tcW w:type="dxa" w:w="4680"/>
            <w:shd w:fill="1B2A4A" w:color="auto" w:val="clear"/>
          </w:tcPr>
          <w:p>
            <w:pPr>
              <w:pStyle w:val="RuleHead"/>
            </w:pPr>
            <w:r>
              <w:t xml:space="preserve">Measures: padding, alignment, resizing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Use </w:t>
            </w:r>
            <w:r>
              <w:rPr>
                <w:rStyle w:val="Ident"/>
              </w:rPr>
              <w:t xml:space="preserve">EmptyState</w:t>
            </w:r>
            <w:r>
              <w:t xml:space="preserve">: centred, bold 16 title (text colour), 16 muted message, 12 padding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Padding 12 all round. Centred horizontally; centred vertically in the list area.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Message says what to do next, in plain words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One or two short sentences.</w:t>
            </w:r>
          </w:p>
        </w:tc>
      </w:tr>
      <w:tr>
        <w:trPr>
          <w:cantSplit/>
        </w:trPr>
        <w:tc>
          <w:tcPr>
            <w:tcW w:type="dxa" w:w="10080"/>
            <w:gridSpan w:val="3"/>
            <w:tcMar>
              <w:top w:type="dxa" w:w="80"/>
              <w:left w:type="dxa" w:w="0"/>
              <w:bottom w:type="dxa" w:w="40"/>
              <w:right w:type="dxa" w:w="0"/>
            </w:tcMar>
          </w:tcPr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6400800" cy="3302000"/>
                  <wp:effectExtent t="0" r="0" b="0" l="0"/>
                  <wp:docPr id="1" name="list_empty.png" descr="List rows and empty state" title="List rows and empty st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30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pec"/>
              <w:jc w:val="center"/>
            </w:pPr>
            <w:r>
              <w:t xml:space="preserve">List rows (section 7) and the empty state (section 8). Printed at 100%: 1 app px = 1 pt.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 xml:space="preserve">9. Color and type</w:t>
      </w:r>
    </w:p>
    <w:tbl>
      <w:tblPr>
        <w:tblStyle w:val="JCRuleTable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3900"/>
        <w:gridCol w:w="1500"/>
        <w:gridCol w:w="4680"/>
      </w:tblGrid>
      <w:tr>
        <w:trPr>
          <w:cantSplit/>
          <w:tblHeader/>
        </w:trPr>
        <w:tc>
          <w:tcPr>
            <w:tcW w:type="dxa" w:w="3900"/>
            <w:shd w:fill="1B2A4A" w:color="auto" w:val="clear"/>
          </w:tcPr>
          <w:p>
            <w:pPr>
              <w:pStyle w:val="RuleHead"/>
            </w:pPr>
            <w:r>
              <w:t xml:space="preserve">Rule</w:t>
            </w:r>
          </w:p>
        </w:tc>
        <w:tc>
          <w:tcPr>
            <w:tcW w:type="dxa" w:w="1500"/>
            <w:shd w:fill="1B2A4A" w:color="auto" w:val="clear"/>
          </w:tcPr>
          <w:p>
            <w:pPr>
              <w:pStyle w:val="RuleHead"/>
            </w:pPr>
            <w:r>
              <w:t xml:space="preserve">Status</w:t>
            </w:r>
          </w:p>
        </w:tc>
        <w:tc>
          <w:tcPr>
            <w:tcW w:type="dxa" w:w="4680"/>
            <w:shd w:fill="1B2A4A" w:color="auto" w:val="clear"/>
          </w:tcPr>
          <w:p>
            <w:pPr>
              <w:pStyle w:val="RuleHead"/>
            </w:pPr>
            <w:r>
              <w:t xml:space="preserve">Measures: padding, alignment, resizing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Brand navy #1B2A4A; sand #D9C7A0 replaces accent #E1AF80 in app screens only (accent token stays for website match); sandInactive becomes #F0EBDC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Jeff 2026-10-31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See the swatches below.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Status: success #2E7D32, danger #C62828, warning #FACC15, info #1976D2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tokens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See the swatches below.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Headings Poppins, body Inter; sizes h4 20, body 16, label 14, small 13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tokens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This document uses the same families.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No raw hex in new code (use tokens); known exception: #2563eb tab/selected blue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The blue is the only allowed raw value.</w:t>
            </w:r>
          </w:p>
        </w:tc>
      </w:tr>
    </w:tbl>
    <w:p>
      <w:pPr>
        <w:spacing w:after="60" w:before="0"/>
      </w:pPr>
    </w:p>
    <w:tbl>
      <w:tblPr>
        <w:tblStyle w:val="JCSwatchTable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1100"/>
        <w:gridCol w:w="1700"/>
        <w:gridCol w:w="1200"/>
        <w:gridCol w:w="6080"/>
      </w:tblGrid>
      <w:tr>
        <w:trPr>
          <w:cantSplit/>
          <w:tblHeader/>
        </w:trPr>
        <w:tc>
          <w:tcPr>
            <w:tcW w:type="dxa" w:w="1100"/>
            <w:shd w:fill="1B2A4A" w:color="auto" w:val="clear"/>
          </w:tcPr>
          <w:p>
            <w:pPr>
              <w:pStyle w:val="RuleHead"/>
            </w:pPr>
            <w:r>
              <w:t xml:space="preserve">Swatch</w:t>
            </w:r>
          </w:p>
        </w:tc>
        <w:tc>
          <w:tcPr>
            <w:tcW w:type="dxa" w:w="1700"/>
            <w:shd w:fill="1B2A4A" w:color="auto" w:val="clear"/>
          </w:tcPr>
          <w:p>
            <w:pPr>
              <w:pStyle w:val="RuleHead"/>
            </w:pPr>
            <w:r>
              <w:t xml:space="preserve">Token</w:t>
            </w:r>
          </w:p>
        </w:tc>
        <w:tc>
          <w:tcPr>
            <w:tcW w:type="dxa" w:w="1200"/>
            <w:shd w:fill="1B2A4A" w:color="auto" w:val="clear"/>
          </w:tcPr>
          <w:p>
            <w:pPr>
              <w:pStyle w:val="RuleHead"/>
            </w:pPr>
            <w:r>
              <w:t xml:space="preserve">Hex</w:t>
            </w:r>
          </w:p>
        </w:tc>
        <w:tc>
          <w:tcPr>
            <w:tcW w:type="dxa" w:w="6080"/>
            <w:shd w:fill="1B2A4A" w:color="auto" w:val="clear"/>
          </w:tcPr>
          <w:p>
            <w:pPr>
              <w:pStyle w:val="RuleHead"/>
            </w:pPr>
            <w:r>
              <w:t xml:space="preserve">Where it is used</w:t>
            </w:r>
          </w:p>
        </w:tc>
      </w:tr>
      <w:tr>
        <w:trPr>
          <w:cantSplit/>
        </w:trPr>
        <w:tc>
          <w:tcPr>
            <w:tcW w:type="dxa" w:w="1100"/>
            <w:shd w:fill="1B2A4A" w:color="auto" w:val="clear"/>
          </w:tcPr>
          <w:p>
            <w:pPr>
              <w:pStyle w:val="CellText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17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primary</w:t>
            </w:r>
            <w:r>
              <w:t xml:space="preserve"/>
            </w:r>
          </w:p>
        </w:tc>
        <w:tc>
          <w:tcPr>
            <w:tcW w:type="dxa" w:w="1200"/>
          </w:tcPr>
          <w:p>
            <w:pPr>
              <w:pStyle w:val="CellText"/>
            </w:pPr>
            <w:r>
              <w:t xml:space="preserve">#1B2A4A</w:t>
            </w:r>
          </w:p>
        </w:tc>
        <w:tc>
          <w:tcPr>
            <w:tcW w:type="dxa" w:w="6080"/>
          </w:tcPr>
          <w:p>
            <w:pPr>
              <w:pStyle w:val="CellText"/>
            </w:pPr>
            <w:r>
              <w:t xml:space="preserve">Brand navy: header, text on sand</w:t>
            </w:r>
          </w:p>
        </w:tc>
      </w:tr>
      <w:tr>
        <w:trPr>
          <w:cantSplit/>
        </w:trPr>
        <w:tc>
          <w:tcPr>
            <w:tcW w:type="dxa" w:w="1100"/>
            <w:shd w:fill="E1AF80" w:color="auto" w:val="clear"/>
          </w:tcPr>
          <w:p>
            <w:pPr>
              <w:pStyle w:val="CellText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17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accent</w:t>
            </w:r>
            <w:r>
              <w:t xml:space="preserve"/>
            </w:r>
          </w:p>
        </w:tc>
        <w:tc>
          <w:tcPr>
            <w:tcW w:type="dxa" w:w="1200"/>
          </w:tcPr>
          <w:p>
            <w:pPr>
              <w:pStyle w:val="CellText"/>
            </w:pPr>
            <w:r>
              <w:t xml:space="preserve">#E1AF80</w:t>
            </w:r>
          </w:p>
        </w:tc>
        <w:tc>
          <w:tcPr>
            <w:tcW w:type="dxa" w:w="6080"/>
          </w:tcPr>
          <w:p>
            <w:pPr>
              <w:pStyle w:val="CellText"/>
            </w:pPr>
            <w:r>
              <w:t xml:space="preserve">Gold accent (website match only; not used in app screens)</w:t>
            </w:r>
          </w:p>
        </w:tc>
      </w:tr>
      <w:tr>
        <w:trPr>
          <w:cantSplit/>
        </w:trPr>
        <w:tc>
          <w:tcPr>
            <w:tcW w:type="dxa" w:w="1100"/>
            <w:shd w:fill="D9C7A0" w:color="auto" w:val="clear"/>
          </w:tcPr>
          <w:p>
            <w:pPr>
              <w:pStyle w:val="CellText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17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sand</w:t>
            </w:r>
            <w:r>
              <w:t xml:space="preserve"/>
            </w:r>
          </w:p>
        </w:tc>
        <w:tc>
          <w:tcPr>
            <w:tcW w:type="dxa" w:w="1200"/>
          </w:tcPr>
          <w:p>
            <w:pPr>
              <w:pStyle w:val="CellText"/>
            </w:pPr>
            <w:r>
              <w:t xml:space="preserve">#D9C7A0</w:t>
            </w:r>
          </w:p>
        </w:tc>
        <w:tc>
          <w:tcPr>
            <w:tcW w:type="dxa" w:w="6080"/>
          </w:tcPr>
          <w:p>
            <w:pPr>
              <w:pStyle w:val="CellText"/>
            </w:pPr>
            <w:r>
              <w:t xml:space="preserve">Buttons and the active tab</w:t>
            </w:r>
          </w:p>
        </w:tc>
      </w:tr>
      <w:tr>
        <w:trPr>
          <w:cantSplit/>
        </w:trPr>
        <w:tc>
          <w:tcPr>
            <w:tcW w:type="dxa" w:w="1100"/>
            <w:shd w:fill="F0EBDC" w:color="auto" w:val="clear"/>
          </w:tcPr>
          <w:p>
            <w:pPr>
              <w:pStyle w:val="CellText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17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sandInactive</w:t>
            </w:r>
            <w:r>
              <w:t xml:space="preserve"/>
            </w:r>
          </w:p>
        </w:tc>
        <w:tc>
          <w:tcPr>
            <w:tcW w:type="dxa" w:w="1200"/>
          </w:tcPr>
          <w:p>
            <w:pPr>
              <w:pStyle w:val="CellText"/>
            </w:pPr>
            <w:r>
              <w:t xml:space="preserve">#F0EBDC</w:t>
            </w:r>
          </w:p>
        </w:tc>
        <w:tc>
          <w:tcPr>
            <w:tcW w:type="dxa" w:w="6080"/>
          </w:tcPr>
          <w:p>
            <w:pPr>
              <w:pStyle w:val="CellText"/>
            </w:pPr>
            <w:r>
              <w:t xml:space="preserve">Inactive tab</w:t>
            </w:r>
          </w:p>
        </w:tc>
      </w:tr>
      <w:tr>
        <w:trPr>
          <w:cantSplit/>
        </w:trPr>
        <w:tc>
          <w:tcPr>
            <w:tcW w:type="dxa" w:w="1100"/>
            <w:shd w:fill="F7F4EB" w:color="auto" w:val="clear"/>
          </w:tcPr>
          <w:p>
            <w:pPr>
              <w:pStyle w:val="CellText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17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disabled</w:t>
            </w:r>
            <w:r>
              <w:t xml:space="preserve"/>
            </w:r>
          </w:p>
        </w:tc>
        <w:tc>
          <w:tcPr>
            <w:tcW w:type="dxa" w:w="1200"/>
          </w:tcPr>
          <w:p>
            <w:pPr>
              <w:pStyle w:val="CellText"/>
            </w:pPr>
            <w:r>
              <w:t xml:space="preserve">#F7F4EB</w:t>
            </w:r>
          </w:p>
        </w:tc>
        <w:tc>
          <w:tcPr>
            <w:tcW w:type="dxa" w:w="6080"/>
          </w:tcPr>
          <w:p>
            <w:pPr>
              <w:pStyle w:val="CellText"/>
            </w:pPr>
            <w:r>
              <w:t xml:space="preserve">Disabled button (one shade lighter than sandInactive)</w:t>
            </w:r>
          </w:p>
        </w:tc>
      </w:tr>
      <w:tr>
        <w:trPr>
          <w:cantSplit/>
        </w:trPr>
        <w:tc>
          <w:tcPr>
            <w:tcW w:type="dxa" w:w="1100"/>
            <w:shd w:fill="2E7D32" w:color="auto" w:val="clear"/>
          </w:tcPr>
          <w:p>
            <w:pPr>
              <w:pStyle w:val="CellText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17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success</w:t>
            </w:r>
            <w:r>
              <w:t xml:space="preserve"/>
            </w:r>
          </w:p>
        </w:tc>
        <w:tc>
          <w:tcPr>
            <w:tcW w:type="dxa" w:w="1200"/>
          </w:tcPr>
          <w:p>
            <w:pPr>
              <w:pStyle w:val="CellText"/>
            </w:pPr>
            <w:r>
              <w:t xml:space="preserve">#2E7D32</w:t>
            </w:r>
          </w:p>
        </w:tc>
        <w:tc>
          <w:tcPr>
            <w:tcW w:type="dxa" w:w="6080"/>
          </w:tcPr>
          <w:p>
            <w:pPr>
              <w:pStyle w:val="CellText"/>
            </w:pPr>
            <w:r>
              <w:t xml:space="preserve">Status: success</w:t>
            </w:r>
          </w:p>
        </w:tc>
      </w:tr>
      <w:tr>
        <w:trPr>
          <w:cantSplit/>
        </w:trPr>
        <w:tc>
          <w:tcPr>
            <w:tcW w:type="dxa" w:w="1100"/>
            <w:shd w:fill="C62828" w:color="auto" w:val="clear"/>
          </w:tcPr>
          <w:p>
            <w:pPr>
              <w:pStyle w:val="CellText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17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danger</w:t>
            </w:r>
            <w:r>
              <w:t xml:space="preserve"/>
            </w:r>
          </w:p>
        </w:tc>
        <w:tc>
          <w:tcPr>
            <w:tcW w:type="dxa" w:w="1200"/>
          </w:tcPr>
          <w:p>
            <w:pPr>
              <w:pStyle w:val="CellText"/>
            </w:pPr>
            <w:r>
              <w:t xml:space="preserve">#C62828</w:t>
            </w:r>
          </w:p>
        </w:tc>
        <w:tc>
          <w:tcPr>
            <w:tcW w:type="dxa" w:w="6080"/>
          </w:tcPr>
          <w:p>
            <w:pPr>
              <w:pStyle w:val="CellText"/>
            </w:pPr>
            <w:r>
              <w:t xml:space="preserve">Status: danger</w:t>
            </w:r>
          </w:p>
        </w:tc>
      </w:tr>
      <w:tr>
        <w:trPr>
          <w:cantSplit/>
        </w:trPr>
        <w:tc>
          <w:tcPr>
            <w:tcW w:type="dxa" w:w="1100"/>
            <w:shd w:fill="FACC15" w:color="auto" w:val="clear"/>
          </w:tcPr>
          <w:p>
            <w:pPr>
              <w:pStyle w:val="CellText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17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warning</w:t>
            </w:r>
            <w:r>
              <w:t xml:space="preserve"/>
            </w:r>
          </w:p>
        </w:tc>
        <w:tc>
          <w:tcPr>
            <w:tcW w:type="dxa" w:w="1200"/>
          </w:tcPr>
          <w:p>
            <w:pPr>
              <w:pStyle w:val="CellText"/>
            </w:pPr>
            <w:r>
              <w:t xml:space="preserve">#FACC15</w:t>
            </w:r>
          </w:p>
        </w:tc>
        <w:tc>
          <w:tcPr>
            <w:tcW w:type="dxa" w:w="6080"/>
          </w:tcPr>
          <w:p>
            <w:pPr>
              <w:pStyle w:val="CellText"/>
            </w:pPr>
            <w:r>
              <w:t xml:space="preserve">Status: warning</w:t>
            </w:r>
          </w:p>
        </w:tc>
      </w:tr>
      <w:tr>
        <w:trPr>
          <w:cantSplit/>
        </w:trPr>
        <w:tc>
          <w:tcPr>
            <w:tcW w:type="dxa" w:w="1100"/>
            <w:shd w:fill="1976D2" w:color="auto" w:val="clear"/>
          </w:tcPr>
          <w:p>
            <w:pPr>
              <w:pStyle w:val="CellText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17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info</w:t>
            </w:r>
            <w:r>
              <w:t xml:space="preserve"/>
            </w:r>
          </w:p>
        </w:tc>
        <w:tc>
          <w:tcPr>
            <w:tcW w:type="dxa" w:w="1200"/>
          </w:tcPr>
          <w:p>
            <w:pPr>
              <w:pStyle w:val="CellText"/>
            </w:pPr>
            <w:r>
              <w:t xml:space="preserve">#1976D2</w:t>
            </w:r>
          </w:p>
        </w:tc>
        <w:tc>
          <w:tcPr>
            <w:tcW w:type="dxa" w:w="6080"/>
          </w:tcPr>
          <w:p>
            <w:pPr>
              <w:pStyle w:val="CellText"/>
            </w:pPr>
            <w:r>
              <w:t xml:space="preserve">Status: info</w:t>
            </w:r>
          </w:p>
        </w:tc>
      </w:tr>
      <w:tr>
        <w:trPr>
          <w:cantSplit/>
        </w:trPr>
        <w:tc>
          <w:tcPr>
            <w:tcW w:type="dxa" w:w="1100"/>
            <w:shd w:fill="2563EB" w:color="auto" w:val="clear"/>
          </w:tcPr>
          <w:p>
            <w:pPr>
              <w:pStyle w:val="CellText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17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blue</w:t>
            </w:r>
            <w:r>
              <w:t xml:space="preserve"/>
            </w:r>
          </w:p>
        </w:tc>
        <w:tc>
          <w:tcPr>
            <w:tcW w:type="dxa" w:w="1200"/>
          </w:tcPr>
          <w:p>
            <w:pPr>
              <w:pStyle w:val="CellText"/>
            </w:pPr>
            <w:r>
              <w:t xml:space="preserve">#2563EB</w:t>
            </w:r>
          </w:p>
        </w:tc>
        <w:tc>
          <w:tcPr>
            <w:tcW w:type="dxa" w:w="6080"/>
          </w:tcPr>
          <w:p>
            <w:pPr>
              <w:pStyle w:val="CellText"/>
            </w:pPr>
            <w:r>
              <w:t xml:space="preserve">Tab underline and selected state (known exception)</w:t>
            </w:r>
          </w:p>
        </w:tc>
      </w:tr>
      <w:tr>
        <w:trPr>
          <w:cantSplit/>
        </w:trPr>
        <w:tc>
          <w:tcPr>
            <w:tcW w:type="dxa" w:w="1100"/>
            <w:shd w:fill="CED4DA" w:color="auto" w:val="clear"/>
          </w:tcPr>
          <w:p>
            <w:pPr>
              <w:pStyle w:val="CellText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17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divider</w:t>
            </w:r>
            <w:r>
              <w:t xml:space="preserve"/>
            </w:r>
          </w:p>
        </w:tc>
        <w:tc>
          <w:tcPr>
            <w:tcW w:type="dxa" w:w="1200"/>
          </w:tcPr>
          <w:p>
            <w:pPr>
              <w:pStyle w:val="CellText"/>
            </w:pPr>
            <w:r>
              <w:t xml:space="preserve">#CED4DA</w:t>
            </w:r>
          </w:p>
        </w:tc>
        <w:tc>
          <w:tcPr>
            <w:tcW w:type="dxa" w:w="6080"/>
          </w:tcPr>
          <w:p>
            <w:pPr>
              <w:pStyle w:val="CellText"/>
            </w:pPr>
            <w:r>
              <w:t xml:space="preserve">Picker and list dividers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 xml:space="preserve">Rulings</w:t>
      </w:r>
    </w:p>
    <w:p>
      <w:pPr>
        <w:pStyle w:val="Spec"/>
      </w:pPr>
      <w:r>
        <w:t xml:space="preserve">Tighten top/bottom spacing and remove unneeded text wraps everywhere.</w:t>
      </w:r>
    </w:p>
    <w:p>
      <w:pPr>
        <w:pStyle w:val="Spec"/>
      </w:pPr>
      <w:r>
        <w:t xml:space="preserve">Question 3 is still open: forms, inputs, cards, dialogs, badges and toasts.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Inter">
    <w:charset w:val="00"/>
    <w:family w:val="swiss"/>
    <w:pitch w:val="variable"/>
    <w:embedRegular r:id="rId1" w:fontKey="{CDD0F99F-8507-4A1E-A2AB-76B93E0D9835}"/>
    <w:embedBold r:id="rId2" w:fontKey="{E6447BBC-0A01-461D-85C3-46402508C890}"/>
  </w:font>
  <w:font w:name="Poppins">
    <w:charset w:val="00"/>
    <w:family w:val="swiss"/>
    <w:pitch w:val="variable"/>
    <w:embedBold r:id="rId3" w:fontKey="{7316B387-0E1B-44CE-A87A-2F352E501B73}"/>
  </w:font>
  <w:font w:name="Poppins SemiBold">
    <w:charset w:val="00"/>
    <w:family w:val="swiss"/>
    <w:pitch w:val="variable"/>
    <w:embedRegular r:id="rId4" w:fontKey="{915595FB-881F-464D-85E5-C364F955EAB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Spec"/>
      <w:jc w:val="center"/>
    </w:pPr>
    <w:r>
      <w:t xml:space="preserve">JobCore Style Sheet v0.3  | 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mbedTrueTypeFonts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212529"/>
        <w:sz w:val="20"/>
        <w:szCs w:val="20"/>
      </w:rPr>
    </w:rPrDefault>
    <w:pPrDefault>
      <w:pPr>
        <w:spacing w:after="8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Poppins" w:cs="Poppins" w:eastAsia="Poppins" w:hAnsi="Poppins"/>
      <w:b/>
      <w:bCs/>
      <w:color w:val="1B2A4A"/>
      <w:sz w:val="52"/>
      <w:szCs w:val="52"/>
    </w:rPr>
  </w:style>
  <w:style w:type="paragraph" w:styleId="Subtitle">
    <w:name w:val="Subtitle"/>
    <w:basedOn w:val="Normal"/>
    <w:next w:val="Normal"/>
    <w:qFormat/>
    <w:pPr>
      <w:spacing w:after="160"/>
    </w:pPr>
    <w:rPr>
      <w:rFonts w:ascii="Inter" w:cs="Inter" w:eastAsia="Inter" w:hAnsi="Inter"/>
      <w:color w:val="495057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E1AF80" w:sz="8" w:space="2"/>
      </w:pBdr>
      <w:spacing w:after="120" w:before="360"/>
      <w:outlineLvl w:val="0"/>
    </w:pPr>
    <w:rPr>
      <w:rFonts w:ascii="Poppins" w:cs="Poppins" w:eastAsia="Poppins" w:hAnsi="Poppins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Poppins SemiBold" w:cs="Poppins SemiBold" w:eastAsia="Poppins SemiBold" w:hAnsi="Poppins SemiBold"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Poppins SemiBold" w:cs="Poppins SemiBold" w:eastAsia="Poppins SemiBold" w:hAnsi="Poppins SemiBold"/>
      <w:color w:val="495057"/>
      <w:sz w:val="23"/>
      <w:szCs w:val="23"/>
    </w:rPr>
  </w:style>
  <w:style w:type="paragraph" w:styleId="Spec">
    <w:name w:val="Spec"/>
    <w:basedOn w:val="Normal"/>
    <w:next w:val="Normal"/>
    <w:qFormat/>
    <w:pPr>
      <w:spacing w:after="40" w:before="0" w:line="240"/>
    </w:pPr>
    <w:rPr>
      <w:rFonts w:ascii="Inter" w:cs="Inter" w:eastAsia="Inter" w:hAnsi="Inter"/>
      <w:color w:val="868E96"/>
      <w:sz w:val="15"/>
      <w:szCs w:val="15"/>
    </w:rPr>
  </w:style>
  <w:style w:type="paragraph" w:styleId="CellText">
    <w:name w:val="Cell Text"/>
    <w:basedOn w:val="Normal"/>
    <w:qFormat/>
    <w:pPr>
      <w:spacing w:after="20" w:before="0" w:line="252"/>
    </w:pPr>
    <w:rPr>
      <w:rFonts w:ascii="Inter" w:cs="Inter" w:eastAsia="Inter" w:hAnsi="Inter"/>
      <w:sz w:val="18"/>
      <w:szCs w:val="18"/>
    </w:rPr>
  </w:style>
  <w:style w:type="paragraph" w:styleId="RuleHead">
    <w:name w:val="Rule Head"/>
    <w:basedOn w:val="CellText"/>
    <w:qFormat/>
    <w:pPr>
      <w:spacing w:after="0" w:before="0"/>
    </w:pPr>
    <w:rPr>
      <w:rFonts w:ascii="Inter" w:cs="Inter" w:eastAsia="Inter" w:hAnsi="Inter"/>
      <w:b/>
      <w:bCs/>
      <w:color w:val="FFFFFF"/>
      <w:sz w:val="18"/>
      <w:szCs w:val="18"/>
    </w:rPr>
  </w:style>
  <w:style w:type="paragraph" w:styleId="HowToBox">
    <w:name w:val="How To Box"/>
    <w:basedOn w:val="Normal"/>
    <w:qFormat/>
    <w:pPr>
      <w:spacing w:after="50" w:before="0" w:line="260"/>
    </w:pPr>
    <w:rPr>
      <w:rFonts w:ascii="Inter" w:cs="Inter" w:eastAsia="Inter" w:hAnsi="Inter"/>
      <w:sz w:val="18"/>
      <w:szCs w:val="18"/>
    </w:rPr>
  </w:style>
  <w:style w:type="character" w:styleId="SETMark">
    <w:name w:val="SET"/>
    <w:basedOn w:val="DefaultParagraphFont"/>
    <w:uiPriority w:val="99"/>
    <w:unhideWhenUsed/>
    <w:qFormat/>
    <w:rPr>
      <w:b/>
      <w:bCs/>
      <w:color w:val="2E7D32"/>
      <w:sz w:val="18"/>
      <w:szCs w:val="18"/>
    </w:rPr>
  </w:style>
  <w:style w:type="character" w:styleId="PROPOSEDMark">
    <w:name w:val="PROPOSED"/>
    <w:basedOn w:val="DefaultParagraphFont"/>
    <w:uiPriority w:val="99"/>
    <w:unhideWhenUsed/>
    <w:qFormat/>
    <w:rPr>
      <w:b/>
      <w:bCs/>
      <w:color w:val="8A5A00"/>
      <w:sz w:val="18"/>
      <w:szCs w:val="18"/>
    </w:rPr>
  </w:style>
  <w:style w:type="character" w:styleId="OPENMark">
    <w:name w:val="OPEN"/>
    <w:basedOn w:val="DefaultParagraphFont"/>
    <w:uiPriority w:val="99"/>
    <w:unhideWhenUsed/>
    <w:qFormat/>
    <w:rPr>
      <w:b/>
      <w:bCs/>
      <w:color w:val="1F4E8C"/>
      <w:sz w:val="18"/>
      <w:szCs w:val="18"/>
    </w:rPr>
  </w:style>
  <w:style w:type="character" w:styleId="Ident">
    <w:name w:val="Identifier"/>
    <w:basedOn w:val="DefaultParagraphFont"/>
    <w:uiPriority w:val="99"/>
    <w:unhideWhenUsed/>
    <w:qFormat/>
    <w:rPr>
      <w:b/>
      <w:bCs/>
      <w:color w:val="1B2A4A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JCRuleTable">
    <w:name w:val="Rule table"/>
    <w:basedOn w:val="TableNormal"/>
    <w:uiPriority w:val="59"/>
    <w:qFormat/>
    <w:tblPr>
      <w:tblBorders>
        <w:top w:val="single" w:sz="4" w:space="0" w:color="ADB5BD"/>
        <w:left w:val="single" w:sz="4" w:space="0" w:color="ADB5BD"/>
        <w:bottom w:val="single" w:sz="4" w:space="0" w:color="ADB5BD"/>
        <w:right w:val="single" w:sz="4" w:space="0" w:color="ADB5BD"/>
        <w:insideH w:val="single" w:sz="4" w:space="0" w:color="ADB5BD"/>
        <w:insideV w:val="single" w:sz="4" w:space="0" w:color="ADB5BD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rPr>
        <w:b/>
        <w:color w:val="FFFFFF"/>
      </w:rPr>
      <w:tcPr>
        <w:shd w:val="clear" w:color="auto" w:fill="1B2A4A"/>
      </w:tcPr>
    </w:tblStylePr>
  </w:style>
  <w:style w:type="table" w:customStyle="1" w:styleId="JCSwatchTable">
    <w:name w:val="Colour swatch table"/>
    <w:basedOn w:val="TableNormal"/>
    <w:uiPriority w:val="59"/>
    <w:qFormat/>
    <w:tblPr>
      <w:tblBorders>
        <w:top w:val="single" w:sz="4" w:space="0" w:color="ADB5BD"/>
        <w:left w:val="single" w:sz="4" w:space="0" w:color="ADB5BD"/>
        <w:bottom w:val="single" w:sz="4" w:space="0" w:color="ADB5BD"/>
        <w:right w:val="single" w:sz="4" w:space="0" w:color="ADB5BD"/>
        <w:insideH w:val="single" w:sz="4" w:space="0" w:color="ADB5BD"/>
        <w:insideV w:val="single" w:sz="4" w:space="0" w:color="ADB5BD"/>
      </w:tblBorders>
      <w:tblCellMar>
        <w:top w:w="50" w:type="dxa"/>
        <w:left w:w="100" w:type="dxa"/>
        <w:bottom w:w="50" w:type="dxa"/>
        <w:right w:w="100" w:type="dxa"/>
      </w:tblCellMar>
    </w:tblPr>
    <w:tblStylePr w:type="firstRow">
      <w:rPr>
        <w:b/>
        <w:color w:val="212529"/>
      </w:rPr>
      <w:tcPr>
        <w:shd w:val="clear" w:color="auto" w:fill="D9C7A0"/>
      </w:tcPr>
    </w:tblStyle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07535ea487ec90c8c86d7865798186e8d8bd771.png"/><Relationship Id="rId9" Type="http://schemas.openxmlformats.org/officeDocument/2006/relationships/image" Target="media/f216bfd95763f9fcf78a558af1d153030d78a1e1.png"/><Relationship Id="rId10" Type="http://schemas.openxmlformats.org/officeDocument/2006/relationships/image" Target="media/968f67c059a2cf2bfe2c76b42dfb673896132093.png"/><Relationship Id="rId11" Type="http://schemas.openxmlformats.org/officeDocument/2006/relationships/image" Target="media/cdab9ed4d9734ea27e75d50b6e1c1f04ea8babb4.png"/><Relationship Id="rId12" Type="http://schemas.openxmlformats.org/officeDocument/2006/relationships/image" Target="media/b07ff2d89e0347282d21a8c29535a09a4406049c.png"/><Relationship Id="rId13" Type="http://schemas.openxmlformats.org/officeDocument/2006/relationships/image" Target="media/4174609931e147716506e540f531dce67f94ba69.png"/><Relationship Id="rId14" Type="http://schemas.openxmlformats.org/officeDocument/2006/relationships/image" Target="media/33c661ca051bd832a868ad09aae88a6fca4641a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JobCore Style Sheet v0.3</dc:title>
  <dc:creator>JobCore</dc:creator>
  <cp:lastModifiedBy>Un-named</cp:lastModifiedBy>
  <cp:revision>1</cp:revision>
  <dcterms:created xsi:type="dcterms:W3CDTF">2026-10-31T19:40:45.658Z</dcterms:created>
  <dcterms:modified xsi:type="dcterms:W3CDTF">2026-10-31T19:40:45.659Z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