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0" w:lineRule="auto"/>
        <w:jc w:val="center"/>
      </w:pPr>
      <w:r>
        <w:rPr>
          <w:rFonts w:ascii="微软雅黑" w:hAnsi="微软雅黑" w:eastAsia="微软雅黑"/>
          <w:b/>
          <w:i w:val="0"/>
          <w:color w:val="1A1A1A"/>
          <w:sz w:val="40"/>
          <w:spacing w:val="60"/>
        </w:rPr>
        <w:t>陈　奇</w:t>
      </w:r>
    </w:p>
    <w:p>
      <w:pPr>
        <w:keepNext w:val="0"/>
        <w:spacing w:before="60" w:after="50" w:line="240" w:lineRule="auto"/>
        <w:jc w:val="center"/>
      </w:pPr>
      <w:r>
        <w:rPr>
          <w:rFonts w:ascii="微软雅黑" w:hAnsi="微软雅黑" w:eastAsia="微软雅黑"/>
          <w:b/>
          <w:i w:val="0"/>
          <w:color w:val="0F4C81"/>
          <w:sz w:val="22"/>
        </w:rPr>
        <w:t>产品经理 / 解决方案顾问</w:t>
      </w:r>
      <w:r>
        <w:rPr>
          <w:rFonts w:ascii="微软雅黑" w:hAnsi="微软雅黑" w:eastAsia="微软雅黑"/>
          <w:b w:val="0"/>
          <w:i w:val="0"/>
          <w:color w:val="5A5A5A"/>
          <w:sz w:val="20"/>
        </w:rPr>
        <w:t xml:space="preserve">　·　制造业研发数字化　/　BOM　/　PLM</w:t>
      </w:r>
    </w:p>
    <w:p>
      <w:pPr>
        <w:keepNext w:val="0"/>
        <w:spacing w:before="0" w:after="0" w:line="240" w:lineRule="auto"/>
        <w:jc w:val="center"/>
      </w:pPr>
      <w:r>
        <w:rPr>
          <w:rFonts w:ascii="微软雅黑" w:hAnsi="微软雅黑" w:eastAsia="微软雅黑"/>
          <w:b w:val="0"/>
          <w:i w:val="0"/>
          <w:color w:val="5A5A5A"/>
          <w:sz w:val="18"/>
        </w:rPr>
        <w:t>9 年经验　·　PMP 认证　·　18171280693　·　cq18171280693@163.com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核 心 优 势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9 年主轴：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标准化工程师 → PLM 实施顾问 → BOM 产品经理，业务规则、系统落地、产品迭代三段能力各有交付物，其中两次从 0 到 1（纽恩泰研发标准体系 + 达索 EPDM、小米自研「一套BOM」）。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BOM / 物料 / 变更全流程：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ENOVIA、EPDM、金蝶 PLM、用友 PLM 四套系统完整经历上线、数据迁移与运维；物料编码与分类、BOM 结构与版本、ECR / ECN 流程固化均为亲手设计。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产品成果可量化：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小米「一套BOM」一期上线后，研发维护的 BOM 由 5 套收敛为 1 套，工作量降 25%、操作步骤少 44%、骨架搭建操作量降 83%。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甲乙双方视角：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在明阳、芬尼克兹、纽恩泰搭过内部标准体系，在钛闻交付继峰、蔚来（PIMS / NIO22）、沃飞航空等标杆项目，能把业务语言直接翻成研发可执行的建模方案。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工 作 经 历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小米集团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产品经理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2025.05 – 至今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「一套BOM」产品 · 需求主理人（手机业务线 · 从 0 到 1）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定义超级 BOM 模型：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以设计 BOM（超级 BOM）为唯一数据源，按特征与使用规则自动衍生计划、试产、量产等多类应用 BOM，替代原先每阶段重复搭 7 套 BOM 的链路；累计覆盖 10+ 应用项目、3000+ 物料，输出研发 / 供应链 / IT 的单一数据口径。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主导需求与方案：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访谈 42 个复杂场景、与 12 个业务相关方完成 27 次共创会，先统一手机与汽车两套术语，再收敛出「特征 + 产品结构 + 使用规则」三要素模型，一套模型同时支持正向搭建与反向搭建；交付 PRD 49 个功能点、350+ 条业务规则；并统筹需求池与迭代节奏，与研发十大领域、DCC、PM、供应链共同定优先级与验收标准。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承接三类高复杂模块：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规则引擎叠加替代、多供、一物一码、状态卡控四层约束；四类应用 BOM 各设独立解算逻辑；变更拆为 7 类场景并逐类定义版本升级与流程路径，试产变更采用 By Lot 锁定（仅锁已改图纸批次）。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交付结果：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2025 年 10 月一期上线，Q22 三个项目完成 6 轮试产验证，未因 BOM 问题影响备料或试产；实测研发维护 BOM 5 套减为 1 套、工作量降 25%、操作步骤少 44%（研发传料 6 步变 2 步）、骨架搭建操作量降 83%、板端 BOM 平均变更次数降半。11 月起推广至 5 个新项目。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上海钛闻软件技术有限公司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实施顾问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2022.06 – 2025.05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面向汽车、航空、零部件行业的 PLM 实施交付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继峰：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主导历史数据迁移与 V5 PowerBy 模块实施，自定实施计划，攻克数据映射与校验难点，项目按期交付。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蔚来 PIMS：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实施项目管理、文档管理、更改管理三大模块，重构流程配置，兼顾系统稳定性与业务贴合度。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蔚来 NIO22：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完成 BOM 管理、更改管理、PSE 协同设计数据交换及企业应用集成，打通设计、工艺、制造三段数据链路，消除跨系统重复录入与人工核对。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沃飞航空 PLM：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承接库管理与变更管理模块，以流程梳理 + 分角色培训推上线，上线后客户可自主维护库结构与变更流程。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三年独立承担多个百万级项目，从需求调研、蓝图设计到上线推广全程主导，继峰、蔚来、沃飞 4 个项目先后落地。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广东纽恩泰新能源科技发展有限公司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标准化主管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2021.04 – 2022.06</w:t>
      </w:r>
    </w:p>
    <w:p>
      <w:pPr>
        <w:keepNext/>
        <w:spacing w:before="30" w:after="70" w:line="264" w:lineRule="auto"/>
      </w:pPr>
      <w:r>
        <w:rPr>
          <w:rFonts w:ascii="微软雅黑" w:hAnsi="微软雅黑" w:eastAsia="微软雅黑"/>
          <w:b w:val="0"/>
          <w:i w:val="0"/>
          <w:color w:val="0F4C81"/>
          <w:sz w:val="16"/>
        </w:rPr>
        <w:t xml:space="preserve">▸ </w:t>
      </w:r>
      <w:r>
        <w:rPr>
          <w:rFonts w:ascii="微软雅黑" w:hAnsi="微软雅黑" w:eastAsia="微软雅黑"/>
          <w:b w:val="0"/>
          <w:i w:val="0"/>
          <w:color w:val="5A5A5A"/>
          <w:sz w:val="18"/>
        </w:rPr>
        <w:t>研发标准体系建设与 PLM 信息化落地（从 0 到 1）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建体系：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统一三条主线——物料（重要度、分类、与材料关联）、图纸（历史档案补充、模板规范、标准件与模型库）、变更（流程优化、表单规范、范围管理），落成可执行的研发标准。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落系统：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 PLM 项目经理身份主导达索 EPDM 上线全周期（组建项目组 → 蓝图设计 → 系统实现 → 测试 → 上线 → 推广培训 → 运维），对进度、范围与上线结果负最终责任。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固化：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图纸、文档、物料、标准化、变更管理收进同一平台，研发过程由人工盯办转为流程留痕，可追溯、可审计。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广东芬尼克兹节能设备有限公司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标准化工程师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2019.11 – 2021.04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管住物料源头：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主导通用性审查、物料精简与编码新增管控，从源头压制一物多码。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维护 BOM 数据与金蝶 PLM 日常管理及问题处理；重构物料模块流程模板，新增物料走标准路径，替代线下沟通。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明阳智慧能源集团股份公司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20"/>
        </w:rPr>
        <w:t>标准化工程师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2017.07 – 2019.11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承担物料标准化与 BOM 数据维护，兼管用友 PLM，并参与达索 PDM 系统上线。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主抓 BOM 变更与准确率：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以变更流程规范叠加数据核对机制，保障用友 ERP 中的 BOM 数据可直接使用。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重 点 项 目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达索 EPDM 系统上线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18"/>
        </w:rPr>
        <w:t>项目经理 · 纽恩泰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2021.04 – 2022.06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从零搭研发信息化底座：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摸清各业务部门现状，输出业务落地方案与系统实现方案，再用 PLM 固化研发体系。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全周期带队：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组建项目组、蓝图设计、系统实现、测试、上线、推广培训全程带下，对上线结果担责。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落地成效：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上线后制度与规范覆盖图纸、文档、物料、标准化、变更管理五大模块，研发体系从文件规定变为系统约束。</w:t>
      </w:r>
    </w:p>
    <w:p>
      <w:pPr>
        <w:keepNext/>
        <w:tabs>
          <w:tab w:pos="10205" w:val="right"/>
        </w:tabs>
        <w:spacing w:before="120" w:after="20" w:line="240" w:lineRule="auto"/>
      </w:pPr>
      <w:r>
        <w:rPr>
          <w:rFonts w:ascii="微软雅黑" w:hAnsi="微软雅黑" w:eastAsia="微软雅黑"/>
          <w:b/>
          <w:i w:val="0"/>
          <w:color w:val="1A1A1A"/>
          <w:sz w:val="21"/>
        </w:rPr>
        <w:t>达索 ENOVIA PLM 二期上线</w:t>
      </w:r>
      <w:r>
        <w:rPr>
          <w:rFonts w:ascii="微软雅黑" w:hAnsi="微软雅黑" w:eastAsia="微软雅黑"/>
          <w:b w:val="0"/>
          <w:i w:val="0"/>
          <w:color w:val="3A3A3A"/>
          <w:sz w:val="20"/>
        </w:rPr>
        <w:t xml:space="preserve">　</w:t>
      </w:r>
      <w:r>
        <w:rPr>
          <w:rFonts w:ascii="微软雅黑" w:hAnsi="微软雅黑" w:eastAsia="微软雅黑"/>
          <w:b/>
          <w:i w:val="0"/>
          <w:color w:val="0F4C81"/>
          <w:sz w:val="18"/>
        </w:rPr>
        <w:t>核心成员 · 明阳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2017.07 – 2019.11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二期从系统测试跟到上线：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承担关键模块验证、问题跟踪与推广培训。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把一期管理要求逐条落进系统，形成可复用的标准化机制，并持续承担优化与运维支持。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技 能 与 工 具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系统：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达索 ENOVIA / EPDM、金蝶 PLM、用友 PLM、小米自研 BOM 系统；PLM 与 ERP 间的 BOM 数据打通。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方法：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物料编码与分类、超级 BOM 与特征配置、应用 BOM 衍生、图纸与文档管理、ECR / ECN 变更流程、研发标准体系。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产品：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需求调研访谈、数据模型设计、PRD 撰写、方案设计与评审、迭代验收、上线推广。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/>
          <w:i w:val="0"/>
          <w:color w:val="1A1A1A"/>
          <w:sz w:val="19"/>
        </w:rPr>
        <w:t>项目与行业：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百万级项目全周期管理（蓝图 → 上线 → 运维），PMP 持证；覆盖新能源装备、风电、汽车及零部件、航空、手机消费电子。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教 育 经 历</w:t>
      </w:r>
    </w:p>
    <w:p>
      <w:pPr>
        <w:keepNext w:val="0"/>
        <w:tabs>
          <w:tab w:pos="10205" w:val="right"/>
        </w:tabs>
        <w:spacing w:before="100" w:after="40" w:line="240" w:lineRule="auto"/>
      </w:pPr>
      <w:r>
        <w:rPr>
          <w:rFonts w:ascii="微软雅黑" w:hAnsi="微软雅黑" w:eastAsia="微软雅黑"/>
          <w:b/>
          <w:i w:val="0"/>
          <w:color w:val="1A1A1A"/>
          <w:sz w:val="20"/>
        </w:rPr>
        <w:t>湖北工业大学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 xml:space="preserve">　工商管理 · 本科（专本同读）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2014.09 – 2018.06</w:t>
      </w:r>
    </w:p>
    <w:p>
      <w:pPr>
        <w:keepNext w:val="0"/>
        <w:tabs>
          <w:tab w:pos="10205" w:val="right"/>
        </w:tabs>
        <w:spacing w:before="0" w:after="0" w:line="240" w:lineRule="auto"/>
      </w:pPr>
      <w:r>
        <w:rPr>
          <w:rFonts w:ascii="微软雅黑" w:hAnsi="微软雅黑" w:eastAsia="微软雅黑"/>
          <w:b/>
          <w:i w:val="0"/>
          <w:color w:val="1A1A1A"/>
          <w:sz w:val="20"/>
        </w:rPr>
        <w:t>湖北工业大学工程技术学院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 xml:space="preserve">　机电一体化 · 专科</w:t>
      </w:r>
      <w:r>
        <w:rPr>
          <w:rFonts w:ascii="微软雅黑" w:hAnsi="微软雅黑" w:eastAsia="微软雅黑"/>
          <w:b w:val="0"/>
          <w:i w:val="0"/>
          <w:color w:val="8C8C8C"/>
          <w:sz w:val="17"/>
        </w:rPr>
        <w:tab/>
        <w:t>2014.09 – 2017.06</w:t>
      </w:r>
    </w:p>
    <w:p>
      <w:pPr>
        <w:keepNext/>
        <w:pBdr>
          <w:left w:val="single" w:sz="24" w:space="5" w:color="0F4C81"/>
          <w:bottom w:val="single" w:sz="6" w:space="3" w:color="D6DCE4"/>
        </w:pBdr>
        <w:spacing w:before="170" w:after="80" w:line="240" w:lineRule="auto"/>
        <w:ind w:left="34"/>
      </w:pPr>
      <w:r>
        <w:rPr>
          <w:rFonts w:ascii="微软雅黑" w:hAnsi="微软雅黑" w:eastAsia="微软雅黑"/>
          <w:b/>
          <w:i w:val="0"/>
          <w:color w:val="0F4C81"/>
          <w:sz w:val="21"/>
          <w:spacing w:val="32"/>
        </w:rPr>
        <w:t>证 书 与 荣 誉</w:t>
      </w:r>
    </w:p>
    <w:p>
      <w:pPr>
        <w:spacing w:before="0" w:after="30" w:line="293" w:lineRule="auto"/>
        <w:ind w:left="249" w:hanging="249"/>
        <w:jc w:val="left"/>
      </w:pPr>
      <w:r>
        <w:rPr>
          <w:rFonts w:ascii="微软雅黑" w:hAnsi="微软雅黑" w:eastAsia="微软雅黑"/>
          <w:b w:val="0"/>
          <w:i w:val="0"/>
          <w:color w:val="7FA3C0"/>
          <w:sz w:val="15"/>
        </w:rPr>
        <w:t xml:space="preserve">▪  </w:t>
      </w:r>
      <w:r>
        <w:rPr>
          <w:rFonts w:ascii="微软雅黑" w:hAnsi="微软雅黑" w:eastAsia="微软雅黑"/>
          <w:b w:val="0"/>
          <w:i w:val="0"/>
          <w:color w:val="3A3A3A"/>
          <w:sz w:val="19"/>
        </w:rPr>
        <w:t>PMP 项目管理专业人士资格认证　|　广东纽恩泰 / 广东芬尼克兹　年度先进个人</w:t>
      </w:r>
    </w:p>
    <w:sectPr w:rsidR="00FC693F" w:rsidRPr="0006063C" w:rsidSect="00034616">
      <w:pgSz w:w="11906" w:h="16838"/>
      <w:pgMar w:top="680" w:right="850" w:bottom="652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93" w:lineRule="auto"/>
    </w:pPr>
    <w:rPr>
      <w:rFonts w:ascii="微软雅黑" w:hAnsi="微软雅黑" w:eastAsia="微软雅黑"/>
      <w:color w:val="3A3A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