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40" w:lineRule="auto"/>
        <w:jc w:val="center"/>
      </w:pPr>
      <w:r>
        <w:rPr>
          <w:rFonts w:ascii="微软雅黑" w:hAnsi="微软雅黑" w:eastAsia="微软雅黑"/>
          <w:b/>
          <w:i w:val="0"/>
          <w:color w:val="1A1A1A"/>
          <w:sz w:val="40"/>
          <w:spacing w:val="60"/>
        </w:rPr>
        <w:t>陈　奇</w:t>
      </w:r>
    </w:p>
    <w:p>
      <w:pPr>
        <w:keepNext w:val="0"/>
        <w:spacing w:before="60" w:after="50" w:line="240" w:lineRule="auto"/>
        <w:jc w:val="center"/>
      </w:pPr>
      <w:r>
        <w:rPr>
          <w:rFonts w:ascii="微软雅黑" w:hAnsi="微软雅黑" w:eastAsia="微软雅黑"/>
          <w:b/>
          <w:i w:val="0"/>
          <w:color w:val="0F4C81"/>
          <w:sz w:val="22"/>
        </w:rPr>
        <w:t>产品经理 / 解决方案顾问</w:t>
      </w:r>
      <w:r>
        <w:rPr>
          <w:rFonts w:ascii="微软雅黑" w:hAnsi="微软雅黑" w:eastAsia="微软雅黑"/>
          <w:b w:val="0"/>
          <w:i w:val="0"/>
          <w:color w:val="5A5A5A"/>
          <w:sz w:val="20"/>
        </w:rPr>
        <w:t xml:space="preserve">　·　制造业研发数字化　/　BOM　/　PLM</w:t>
      </w:r>
    </w:p>
    <w:p>
      <w:pPr>
        <w:keepNext w:val="0"/>
        <w:spacing w:before="0" w:after="0" w:line="240" w:lineRule="auto"/>
        <w:jc w:val="center"/>
      </w:pPr>
      <w:r>
        <w:rPr>
          <w:rFonts w:ascii="微软雅黑" w:hAnsi="微软雅黑" w:eastAsia="微软雅黑"/>
          <w:b w:val="0"/>
          <w:i w:val="0"/>
          <w:color w:val="5A5A5A"/>
          <w:sz w:val="18"/>
        </w:rPr>
        <w:t>9 年经验　·　PMP 认证　·　18171280693　·　cq18171280693@163.com</w:t>
      </w:r>
    </w:p>
    <w:p>
      <w:pPr>
        <w:keepNext/>
        <w:pBdr>
          <w:left w:val="single" w:sz="24" w:space="5" w:color="0F4C81"/>
          <w:bottom w:val="single" w:sz="6" w:space="3" w:color="D6DCE4"/>
        </w:pBdr>
        <w:spacing w:before="170" w:after="80" w:line="240" w:lineRule="auto"/>
        <w:ind w:left="34"/>
      </w:pPr>
      <w:r>
        <w:rPr>
          <w:rFonts w:ascii="微软雅黑" w:hAnsi="微软雅黑" w:eastAsia="微软雅黑"/>
          <w:b/>
          <w:i w:val="0"/>
          <w:color w:val="0F4C81"/>
          <w:sz w:val="21"/>
          <w:spacing w:val="32"/>
        </w:rPr>
        <w:t>核 心 优 势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9 年主轴：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标准化工程师 → PLM 实施顾问 → BOM 产品经理，业务规则、系统落地、产品迭代三段能力各有交付物，其中两次从 0 到 1（装备制造标准体系 + 达索 EPDM、消费电子自研 BOM 平台）。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BOM / 物料 / 变更全流程：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ENOVIA、EPDM、金蝶 PLM、用友 PLM 四套系统完整经历上线、数据迁移与运维；物料编码与分类、BOM 结构与版本、ECR / ECN 流程固化均为亲手设计。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产品成果可量化：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BOM 统一平台一期上线后，研发维护的 BOM 由 5 套收敛为 1 套，工作量降 25%、操作步骤少 44%、骨架搭建操作量降 83%。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甲乙双方视角：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在明阳、芬尼克兹、纽恩泰搭过内部标准体系，在钛闻交付汽车零部件、新能源整车、低空航空等标杆项目，能把业务语言直接翻成研发可执行的建模方案。</w:t>
      </w:r>
    </w:p>
    <w:p>
      <w:pPr>
        <w:keepNext/>
        <w:pBdr>
          <w:left w:val="single" w:sz="24" w:space="5" w:color="0F4C81"/>
          <w:bottom w:val="single" w:sz="6" w:space="3" w:color="D6DCE4"/>
        </w:pBdr>
        <w:spacing w:before="170" w:after="80" w:line="240" w:lineRule="auto"/>
        <w:ind w:left="34"/>
      </w:pPr>
      <w:r>
        <w:rPr>
          <w:rFonts w:ascii="微软雅黑" w:hAnsi="微软雅黑" w:eastAsia="微软雅黑"/>
          <w:b/>
          <w:i w:val="0"/>
          <w:color w:val="0F4C81"/>
          <w:sz w:val="21"/>
          <w:spacing w:val="32"/>
        </w:rPr>
        <w:t>工 作 经 历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小米集团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20"/>
        </w:rPr>
        <w:t>产品经理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2025.05 – 至今</w:t>
      </w:r>
    </w:p>
    <w:p>
      <w:pPr>
        <w:keepNext/>
        <w:spacing w:before="30" w:after="70" w:line="264" w:lineRule="auto"/>
      </w:pPr>
      <w:r>
        <w:rPr>
          <w:rFonts w:ascii="微软雅黑" w:hAnsi="微软雅黑" w:eastAsia="微软雅黑"/>
          <w:b w:val="0"/>
          <w:i w:val="0"/>
          <w:color w:val="0F4C81"/>
          <w:sz w:val="16"/>
        </w:rPr>
        <w:t xml:space="preserve">▸ </w:t>
      </w:r>
      <w:r>
        <w:rPr>
          <w:rFonts w:ascii="微软雅黑" w:hAnsi="微软雅黑" w:eastAsia="微软雅黑"/>
          <w:b w:val="0"/>
          <w:i w:val="0"/>
          <w:color w:val="5A5A5A"/>
          <w:sz w:val="18"/>
        </w:rPr>
        <w:t>BOM 统一平台 · 需求主理人（手机业务线 · 从 0 到 1）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定义超级 BOM 模型：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以设计 BOM（超级 BOM）为唯一数据源，按特征与使用规则自动衍生计划、试产、量产等多类应用 BOM，替代原先每阶段重复搭 7 套 BOM 的链路；累计覆盖 10+ 应用项目、3000+ 物料，输出研发 / 供应链 / IT 的单一数据口径。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主导需求与方案：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访谈 42 个复杂场景、与 12 个业务相关方完成 27 次共创会，先统一手机与汽车两套术语，再收敛出「特征 + 产品结构 + 使用规则」三要素模型，一套模型同时支持正向搭建与反向搭建；交付 PRD 49 个功能点、350+ 条业务规则；并统筹需求池与迭代节奏，与研发各领域、DCC、PM、供应链共同定优先级与验收标准。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承接三类高复杂模块：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规则引擎叠加替代、多供、一物一码、状态卡控四层约束；四类应用 BOM 各设独立解算逻辑；变更拆为 7 类场景并逐类定义版本升级与流程路径，试产变更采用 By Lot 锁定（仅锁已改图纸批次）。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交付结果：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2025 年 10 月一期上线，三个量产机型完成 6 轮试产验证，未因 BOM 问题影响备料或试产；实测研发维护 BOM 5 套减为 1 套、工作量降 25%、操作步骤少 44%（研发传料 6 步变 2 步）、骨架搭建操作量降 83%、板端 BOM 平均变更次数降半。11 月起推广至 5 个新项目。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上海钛闻软件技术有限公司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20"/>
        </w:rPr>
        <w:t>实施顾问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2022.06 – 2025.05</w:t>
      </w:r>
    </w:p>
    <w:p>
      <w:pPr>
        <w:keepNext/>
        <w:spacing w:before="30" w:after="70" w:line="264" w:lineRule="auto"/>
      </w:pPr>
      <w:r>
        <w:rPr>
          <w:rFonts w:ascii="微软雅黑" w:hAnsi="微软雅黑" w:eastAsia="微软雅黑"/>
          <w:b w:val="0"/>
          <w:i w:val="0"/>
          <w:color w:val="0F4C81"/>
          <w:sz w:val="16"/>
        </w:rPr>
        <w:t xml:space="preserve">▸ </w:t>
      </w:r>
      <w:r>
        <w:rPr>
          <w:rFonts w:ascii="微软雅黑" w:hAnsi="微软雅黑" w:eastAsia="微软雅黑"/>
          <w:b w:val="0"/>
          <w:i w:val="0"/>
          <w:color w:val="5A5A5A"/>
          <w:sz w:val="18"/>
        </w:rPr>
        <w:t>面向汽车、航空、零部件行业的 PLM 实施交付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汽车零部件：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主导历史数据迁移与 V5 核心模块实施，自定实施计划，攻克数据映射与校验难点，项目按期交付。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新能源整车 · 项目管理平台：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实施项目管理、文档管理、更改管理三大模块，重构流程配置，兼顾系统稳定性与业务贴合度。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新能源整车 · BOM 与协同设计：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完成 BOM 管理、更改管理、PSE 协同设计数据交换及企业应用集成，打通设计、工艺、制造三段数据链路，消除跨系统重复录入。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低空航空 · 库与变更管理：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承接库管理与变更管理模块，以流程梳理 + 分角色培训推上线，上线后客户可自主维护库结构与变更流程。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三年独立承担多个百万级项目，从需求调研、蓝图设计到上线推广全程主导，4 个项目先后落地。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广东纽恩泰新能源科技发展有限公司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20"/>
        </w:rPr>
        <w:t>标准化主管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2021.04 – 2022.06</w:t>
      </w:r>
    </w:p>
    <w:p>
      <w:pPr>
        <w:keepNext/>
        <w:spacing w:before="30" w:after="70" w:line="264" w:lineRule="auto"/>
      </w:pPr>
      <w:r>
        <w:rPr>
          <w:rFonts w:ascii="微软雅黑" w:hAnsi="微软雅黑" w:eastAsia="微软雅黑"/>
          <w:b w:val="0"/>
          <w:i w:val="0"/>
          <w:color w:val="0F4C81"/>
          <w:sz w:val="16"/>
        </w:rPr>
        <w:t xml:space="preserve">▸ </w:t>
      </w:r>
      <w:r>
        <w:rPr>
          <w:rFonts w:ascii="微软雅黑" w:hAnsi="微软雅黑" w:eastAsia="微软雅黑"/>
          <w:b w:val="0"/>
          <w:i w:val="0"/>
          <w:color w:val="5A5A5A"/>
          <w:sz w:val="18"/>
        </w:rPr>
        <w:t>研发标准体系建设与 PLM 信息化落地（从 0 到 1）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建体系：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统一三条主线——物料（重要度、分类、与材料关联）、图纸（历史档案补充、模板规范、标准件与模型库）、变更（流程优化、表单规范、范围管理），落成可执行的研发标准。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落系统：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以 PLM 项目经理身份主导达索 EPDM 上线全周期（组建项目组 → 蓝图设计 → 系统实现 → 测试 → 上线 → 推广培训 → 运维），对进度、范围与上线结果负最终责任。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固化：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图纸、文档、物料、标准化、变更管理收进同一平台，研发过程由人工盯办转为流程留痕，可追溯、可审计。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广东芬尼克兹节能设备有限公司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20"/>
        </w:rPr>
        <w:t>标准化工程师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2019.11 – 2021.04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管住物料源头：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主导通用性审查、物料精简与编码新增管控，从源头压制一物多码。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维护 BOM 数据与金蝶 PLM 日常管理及问题处理；重构物料模块流程模板，新增物料走标准路径，替代线下沟通。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明阳智慧能源集团股份公司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20"/>
        </w:rPr>
        <w:t>标准化工程师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2017.07 – 2019.11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承担物料标准化与 BOM 数据维护，兼管用友 PLM，并参与达索 PDM 系统上线。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主抓 BOM 变更与准确率：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以变更流程规范叠加数据核对机制，保障用友 ERP 中的 BOM 数据可直接使用。</w:t>
      </w:r>
    </w:p>
    <w:p>
      <w:pPr>
        <w:keepNext/>
        <w:pBdr>
          <w:left w:val="single" w:sz="24" w:space="5" w:color="0F4C81"/>
          <w:bottom w:val="single" w:sz="6" w:space="3" w:color="D6DCE4"/>
        </w:pBdr>
        <w:spacing w:before="170" w:after="80" w:line="240" w:lineRule="auto"/>
        <w:ind w:left="34"/>
      </w:pPr>
      <w:r>
        <w:rPr>
          <w:rFonts w:ascii="微软雅黑" w:hAnsi="微软雅黑" w:eastAsia="微软雅黑"/>
          <w:b/>
          <w:i w:val="0"/>
          <w:color w:val="0F4C81"/>
          <w:sz w:val="21"/>
          <w:spacing w:val="32"/>
        </w:rPr>
        <w:t>重 点 项 目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达索 EPDM 系统上线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18"/>
        </w:rPr>
        <w:t>项目经理 · 纽恩泰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2021.04 – 2022.06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从零搭研发信息化底座：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摸清各业务部门现状，输出业务落地方案与系统实现方案，再用 PLM 固化研发体系。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全周期带队：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组建项目组、蓝图设计、系统实现、测试、上线、推广培训全程带下，对上线结果担责。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落地成效：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上线后制度与规范覆盖图纸、文档、物料、标准化、变更管理五大模块，研发体系从文件规定变为系统约束。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达索 ENOVIA PLM 二期上线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18"/>
        </w:rPr>
        <w:t>核心成员 · 明阳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2017.07 – 2019.11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二期从系统测试跟到上线：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承担关键模块验证、问题跟踪与推广培训。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把一期管理要求逐条落进系统，形成可复用的标准化机制，并持续承担优化与运维支持。</w:t>
      </w:r>
    </w:p>
    <w:p>
      <w:pPr>
        <w:keepNext/>
        <w:pBdr>
          <w:left w:val="single" w:sz="24" w:space="5" w:color="0F4C81"/>
          <w:bottom w:val="single" w:sz="6" w:space="3" w:color="D6DCE4"/>
        </w:pBdr>
        <w:spacing w:before="170" w:after="80" w:line="240" w:lineRule="auto"/>
        <w:ind w:left="34"/>
      </w:pPr>
      <w:r>
        <w:rPr>
          <w:rFonts w:ascii="微软雅黑" w:hAnsi="微软雅黑" w:eastAsia="微软雅黑"/>
          <w:b/>
          <w:i w:val="0"/>
          <w:color w:val="0F4C81"/>
          <w:sz w:val="21"/>
          <w:spacing w:val="32"/>
        </w:rPr>
        <w:t>技 能 与 工 具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系统：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达索 ENOVIA / EPDM、金蝶 PLM、用友 PLM、自研 BOM 系统；PLM 与 ERP 间的 BOM 数据打通。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方法：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物料编码与分类、超级 BOM 与特征配置、应用 BOM 衍生、图纸与文档管理、ECR / ECN 变更流程、研发标准体系。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产品：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需求调研访谈、数据模型设计、PRD 撰写、方案设计与评审、迭代验收、上线推广。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项目与行业：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百万级项目全周期管理（蓝图 → 上线 → 运维），PMP 持证；覆盖新能源装备、风电、汽车及零部件、航空、手机消费电子。</w:t>
      </w:r>
    </w:p>
    <w:p>
      <w:pPr>
        <w:keepNext/>
        <w:pBdr>
          <w:left w:val="single" w:sz="24" w:space="5" w:color="0F4C81"/>
          <w:bottom w:val="single" w:sz="6" w:space="3" w:color="D6DCE4"/>
        </w:pBdr>
        <w:spacing w:before="170" w:after="80" w:line="240" w:lineRule="auto"/>
        <w:ind w:left="34"/>
      </w:pPr>
      <w:r>
        <w:rPr>
          <w:rFonts w:ascii="微软雅黑" w:hAnsi="微软雅黑" w:eastAsia="微软雅黑"/>
          <w:b/>
          <w:i w:val="0"/>
          <w:color w:val="0F4C81"/>
          <w:sz w:val="21"/>
          <w:spacing w:val="32"/>
        </w:rPr>
        <w:t>教 育 经 历</w:t>
      </w:r>
    </w:p>
    <w:p>
      <w:pPr>
        <w:keepNext w:val="0"/>
        <w:tabs>
          <w:tab w:pos="10205" w:val="right"/>
        </w:tabs>
        <w:spacing w:before="100" w:after="40" w:line="240" w:lineRule="auto"/>
      </w:pPr>
      <w:r>
        <w:rPr>
          <w:rFonts w:ascii="微软雅黑" w:hAnsi="微软雅黑" w:eastAsia="微软雅黑"/>
          <w:b/>
          <w:i w:val="0"/>
          <w:color w:val="1A1A1A"/>
          <w:sz w:val="20"/>
        </w:rPr>
        <w:t>湖北工业大学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 xml:space="preserve">　工商管理 · 本科（专本同读）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2014.09 – 2018.06</w:t>
      </w:r>
    </w:p>
    <w:p>
      <w:pPr>
        <w:keepNext w:val="0"/>
        <w:tabs>
          <w:tab w:pos="10205" w:val="right"/>
        </w:tabs>
        <w:spacing w:before="0" w:after="0" w:line="240" w:lineRule="auto"/>
      </w:pPr>
      <w:r>
        <w:rPr>
          <w:rFonts w:ascii="微软雅黑" w:hAnsi="微软雅黑" w:eastAsia="微软雅黑"/>
          <w:b/>
          <w:i w:val="0"/>
          <w:color w:val="1A1A1A"/>
          <w:sz w:val="20"/>
        </w:rPr>
        <w:t>湖北工业大学工程技术学院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 xml:space="preserve">　机电一体化 · 专科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2014.09 – 2017.06</w:t>
      </w:r>
    </w:p>
    <w:p>
      <w:pPr>
        <w:keepNext/>
        <w:pBdr>
          <w:left w:val="single" w:sz="24" w:space="5" w:color="0F4C81"/>
          <w:bottom w:val="single" w:sz="6" w:space="3" w:color="D6DCE4"/>
        </w:pBdr>
        <w:spacing w:before="170" w:after="80" w:line="240" w:lineRule="auto"/>
        <w:ind w:left="34"/>
      </w:pPr>
      <w:r>
        <w:rPr>
          <w:rFonts w:ascii="微软雅黑" w:hAnsi="微软雅黑" w:eastAsia="微软雅黑"/>
          <w:b/>
          <w:i w:val="0"/>
          <w:color w:val="0F4C81"/>
          <w:sz w:val="21"/>
          <w:spacing w:val="32"/>
        </w:rPr>
        <w:t>证 书 与 荣 誉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PMP 项目管理专业人士资格认证　|　广东纽恩泰 / 广东芬尼克兹　年度先进个人</w:t>
      </w:r>
    </w:p>
    <w:sectPr w:rsidR="00FC693F" w:rsidRPr="0006063C" w:rsidSect="00034616">
      <w:pgSz w:w="11906" w:h="16838"/>
      <w:pgMar w:top="680" w:right="850" w:bottom="652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93" w:lineRule="auto"/>
    </w:pPr>
    <w:rPr>
      <w:rFonts w:ascii="微软雅黑" w:hAnsi="微软雅黑" w:eastAsia="微软雅黑"/>
      <w:color w:val="3A3A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