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408521">
      <w:pPr>
        <w:pStyle w:val="31"/>
        <w:jc w:val="center"/>
      </w:pPr>
      <w:r>
        <w:rPr>
          <w:rFonts w:ascii="Times New Roman" w:hAnsi="Times New Roman" w:eastAsia="黑体"/>
        </w:rPr>
        <w:t>Homework 2: Image Stitching</w:t>
      </w:r>
    </w:p>
    <w:p w14:paraId="3D403268">
      <w:pPr>
        <w:pStyle w:val="26"/>
        <w:jc w:val="center"/>
      </w:pPr>
      <w:r>
        <w:rPr>
          <w:rFonts w:ascii="Times New Roman" w:hAnsi="Times New Roman" w:eastAsia="黑体"/>
        </w:rPr>
        <w:t>图像拼接实验报告</w:t>
      </w:r>
    </w:p>
    <w:p w14:paraId="62DA9D71">
      <w:r>
        <w:t>姓名：刘洋    学号：2500012966</w:t>
      </w:r>
    </w:p>
    <w:p w14:paraId="77D6D3D6">
      <w:r>
        <w:t>实验日期：2026 年 10 月 16 日</w:t>
      </w:r>
    </w:p>
    <w:p w14:paraId="0789A624">
      <w:pPr>
        <w:pStyle w:val="3"/>
      </w:pPr>
      <w:r>
        <w:t>实验目标与实现思路</w:t>
      </w:r>
    </w:p>
    <w:p w14:paraId="46B76E0C">
      <w:pPr>
        <w:ind w:firstLine="416"/>
        <w:rPr>
          <w:lang w:eastAsia="zh-CN"/>
        </w:rPr>
      </w:pPr>
      <w:r>
        <w:t>使用 Harris 角点与梯度方向直方图建立局部对应，通过 DLT 和 RANSAC 估计单应变换，再以逆向映射和覆盖权重融合完成双图拼接及多帧全景。</w:t>
      </w:r>
      <w:r>
        <w:rPr>
          <w:lang w:eastAsia="zh-CN"/>
        </w:rPr>
        <w:t>基础流程使用自行实现的检测、描述和单应估计。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0"/>
        <w:gridCol w:w="7138"/>
      </w:tblGrid>
      <w:tr w14:paraId="78BA80A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700" w:type="dxa"/>
            <w:tcBorders>
              <w:top w:val="single" w:color="333333" w:sz="4" w:space="0"/>
              <w:left w:val="nil"/>
              <w:bottom w:val="single" w:color="333333" w:sz="4" w:space="0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059A54">
            <w:pPr>
              <w:spacing w:after="0" w:line="260" w:lineRule="exact"/>
            </w:pPr>
            <w:r>
              <w:rPr>
                <w:sz w:val="18"/>
              </w:rPr>
              <w:t>模块</w:t>
            </w:r>
          </w:p>
        </w:tc>
        <w:tc>
          <w:tcPr>
            <w:tcW w:w="7138" w:type="dxa"/>
            <w:tcBorders>
              <w:top w:val="single" w:color="333333" w:sz="4" w:space="0"/>
              <w:left w:val="nil"/>
              <w:bottom w:val="single" w:color="333333" w:sz="4" w:space="0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FE456F">
            <w:pPr>
              <w:spacing w:after="0" w:line="260" w:lineRule="exact"/>
            </w:pPr>
            <w:r>
              <w:rPr>
                <w:sz w:val="18"/>
              </w:rPr>
              <w:t>实际参数</w:t>
            </w:r>
          </w:p>
        </w:tc>
      </w:tr>
      <w:tr w14:paraId="1AF35B6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E64B87">
            <w:pPr>
              <w:spacing w:after="0" w:line="260" w:lineRule="exact"/>
            </w:pPr>
            <w:r>
              <w:rPr>
                <w:sz w:val="18"/>
              </w:rPr>
              <w:t>梯度与 Harris</w:t>
            </w:r>
          </w:p>
        </w:tc>
        <w:tc>
          <w:tcPr>
            <w:tcW w:w="7138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EC5130">
            <w:pPr>
              <w:spacing w:after="0" w:line="260" w:lineRule="exact"/>
            </w:pPr>
            <w:r>
              <w:rPr>
                <w:sz w:val="18"/>
              </w:rPr>
              <w:t>float64；Gaussian σ=1；Sobel；reflect；k=0.04</w:t>
            </w:r>
          </w:p>
        </w:tc>
      </w:tr>
      <w:tr w14:paraId="13A66EE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075F42">
            <w:pPr>
              <w:spacing w:after="0" w:line="260" w:lineRule="exact"/>
            </w:pPr>
            <w:r>
              <w:rPr>
                <w:sz w:val="18"/>
              </w:rPr>
              <w:t>角点选择</w:t>
            </w:r>
          </w:p>
        </w:tc>
        <w:tc>
          <w:tcPr>
            <w:tcW w:w="7138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DE27B8">
            <w:pPr>
              <w:spacing w:after="0" w:line="260" w:lineRule="exact"/>
            </w:pPr>
            <w:r>
              <w:rPr>
                <w:sz w:val="18"/>
              </w:rPr>
              <w:t>平滑窗口 9×9；阈值 0.01 max(R)；NMS 半径 5</w:t>
            </w:r>
          </w:p>
        </w:tc>
      </w:tr>
      <w:tr w14:paraId="16017BC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FA2C99">
            <w:pPr>
              <w:spacing w:after="0" w:line="260" w:lineRule="exact"/>
            </w:pPr>
            <w:r>
              <w:rPr>
                <w:sz w:val="18"/>
              </w:rPr>
              <w:t>描述子与匹配</w:t>
            </w:r>
          </w:p>
        </w:tc>
        <w:tc>
          <w:tcPr>
            <w:tcW w:w="7138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8DD3C2">
            <w:pPr>
              <w:spacing w:after="0" w:line="260" w:lineRule="exact"/>
            </w:pPr>
            <w:r>
              <w:rPr>
                <w:sz w:val="18"/>
              </w:rPr>
              <w:t>16×16 邻域；4×4 cells；每 cell 8 bins；ratio=0.6</w:t>
            </w:r>
          </w:p>
        </w:tc>
      </w:tr>
      <w:tr w14:paraId="2EE77CD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0" w:type="dxa"/>
            <w:tcBorders>
              <w:top w:val="nil"/>
              <w:left w:val="nil"/>
              <w:bottom w:val="single" w:color="333333" w:sz="4" w:space="0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F6C4B5">
            <w:pPr>
              <w:spacing w:after="0" w:line="260" w:lineRule="exact"/>
            </w:pPr>
            <w:r>
              <w:rPr>
                <w:sz w:val="18"/>
              </w:rPr>
              <w:t>RANSAC</w:t>
            </w:r>
          </w:p>
        </w:tc>
        <w:tc>
          <w:tcPr>
            <w:tcW w:w="7138" w:type="dxa"/>
            <w:tcBorders>
              <w:top w:val="nil"/>
              <w:left w:val="nil"/>
              <w:bottom w:val="single" w:color="333333" w:sz="4" w:space="0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E539CF">
            <w:pPr>
              <w:spacing w:after="0" w:line="260" w:lineRule="exact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 xml:space="preserve">1000 次；重投影阈值 3 </w:t>
            </w:r>
            <w:r>
              <w:rPr>
                <w:rFonts w:hint="eastAsia"/>
                <w:sz w:val="18"/>
                <w:lang w:eastAsia="zh-CN"/>
              </w:rPr>
              <w:t>pixel</w:t>
            </w:r>
          </w:p>
        </w:tc>
      </w:tr>
    </w:tbl>
    <w:p w14:paraId="01ABFD67">
      <w:pPr>
        <w:spacing w:after="120" w:line="20" w:lineRule="exact"/>
        <w:rPr>
          <w:lang w:eastAsia="zh-CN"/>
        </w:rPr>
      </w:pPr>
    </w:p>
    <w:p w14:paraId="3E2507A0">
      <w:pPr>
        <w:pStyle w:val="3"/>
        <w:rPr>
          <w:lang w:eastAsia="zh-CN"/>
        </w:rPr>
      </w:pPr>
      <w:r>
        <w:rPr>
          <w:lang w:eastAsia="zh-CN"/>
        </w:rPr>
        <w:t>1  Harris 角点检测</w:t>
      </w:r>
    </w:p>
    <w:p w14:paraId="2DA2493D">
      <w:pPr>
        <w:ind w:firstLine="416"/>
        <w:rPr>
          <w:lang w:eastAsia="zh-CN"/>
        </w:rPr>
      </w:pPr>
      <w:r>
        <w:rPr>
          <w:lang w:eastAsia="zh-CN"/>
        </w:rPr>
        <w:t>先将 BGR 转为灰度并转换为浮点数</w:t>
      </w:r>
      <w:r>
        <w:rPr>
          <w:rFonts w:hint="eastAsia"/>
          <w:lang w:eastAsia="zh-CN"/>
        </w:rPr>
        <w:t>，然后</w:t>
      </w:r>
      <w:r>
        <w:rPr>
          <w:lang w:eastAsia="zh-CN"/>
        </w:rPr>
        <w:t>Gaussian 预平滑抑制噪声；Sobel 分别沿列、行计算 Ix、Iy。</w:t>
      </w:r>
    </w:p>
    <w:p w14:paraId="45E077E9">
      <w:pPr>
        <w:spacing w:line="240" w:lineRule="auto"/>
        <w:jc w:val="center"/>
      </w:pPr>
      <m:oMathPara>
        <m:oMath>
          <m:r>
            <m:rPr/>
            <w:rPr>
              <w:rFonts w:ascii="Cambria Math" w:hAnsi="Cambria Math"/>
            </w:rPr>
            <m:t xml:space="preserve">M = 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m:rPr/>
                      <w:rPr>
                        <w:rFonts w:ascii="Cambria Math" w:hAnsi="Cambria Math"/>
                      </w:rPr>
                      <m:t xml:space="preserve">G ∗ 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 w:hAnsi="Cambria Math"/>
                              </w:rPr>
                              <m:t>I</m:t>
                            </m:r>
                            <m:ctrlPr>
                              <w:rPr>
                                <w:rFonts w:ascii="Cambria Math" w:hAnsi="Cambria Math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 w:hAnsi="Cambria Math"/>
                              </w:rPr>
                              <m:t>x</m:t>
                            </m: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ub>
                        </m:sSub>
                        <m:ctrlPr>
                          <w:rPr>
                            <w:rFonts w:ascii="Cambria Math" w:hAnsi="Cambria Math"/>
                          </w:rPr>
                        </m:ctrlPr>
                      </m:e>
                      <m:sup>
                        <m:r>
                          <m:rPr/>
                          <w:rPr>
                            <w:rFonts w:ascii="Cambria Math" w:hAnsi="Cambria Math"/>
                          </w:rPr>
                          <m:t>2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sup>
                    </m:sSup>
                    <m:ctrlPr>
                      <w:rPr>
                        <w:rFonts w:ascii="Cambria Math" w:hAnsi="Cambria Math"/>
                      </w:rPr>
                    </m:ctrlPr>
                  </m:e>
                  <m:e>
                    <m:r>
                      <m:rPr/>
                      <w:rPr>
                        <w:rFonts w:ascii="Cambria Math" w:hAnsi="Cambria Math"/>
                      </w:rPr>
                      <m:t>G ∗ (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/>
                          <w:rPr>
                            <w:rFonts w:ascii="Cambria Math" w:hAnsi="Cambria Math"/>
                          </w:rPr>
                          <m:t>I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 w:hAnsi="Cambria Math"/>
                          </w:rPr>
                          <m:t>x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/>
                          <w:rPr>
                            <w:rFonts w:ascii="Cambria Math" w:hAnsi="Cambria Math"/>
                          </w:rPr>
                          <m:t>I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 w:hAnsi="Cambria Math"/>
                          </w:rPr>
                          <m:t>y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sub>
                    </m:sSub>
                    <m:r>
                      <m:rPr/>
                      <w:rPr>
                        <w:rFonts w:ascii="Cambria Math" w:hAnsi="Cambria Math"/>
                      </w:rPr>
                      <m:t>)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</m:mr>
                <m:mr>
                  <m:e>
                    <m:r>
                      <m:rPr/>
                      <w:rPr>
                        <w:rFonts w:ascii="Cambria Math" w:hAnsi="Cambria Math"/>
                      </w:rPr>
                      <m:t>G ∗ (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/>
                          <w:rPr>
                            <w:rFonts w:ascii="Cambria Math" w:hAnsi="Cambria Math"/>
                          </w:rPr>
                          <m:t>I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 w:hAnsi="Cambria Math"/>
                          </w:rPr>
                          <m:t>x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/>
                          <w:rPr>
                            <w:rFonts w:ascii="Cambria Math" w:hAnsi="Cambria Math"/>
                          </w:rPr>
                          <m:t>I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 w:hAnsi="Cambria Math"/>
                          </w:rPr>
                          <m:t>y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sub>
                    </m:sSub>
                    <m:r>
                      <m:rPr/>
                      <w:rPr>
                        <w:rFonts w:ascii="Cambria Math" w:hAnsi="Cambria Math"/>
                      </w:rPr>
                      <m:t>)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e>
                    <m:r>
                      <m:rPr/>
                      <w:rPr>
                        <w:rFonts w:ascii="Cambria Math" w:hAnsi="Cambria Math"/>
                      </w:rPr>
                      <m:t xml:space="preserve">G ∗ 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 w:hAnsi="Cambria Math"/>
                              </w:rPr>
                              <m:t>I</m:t>
                            </m:r>
                            <m:ctrlPr>
                              <w:rPr>
                                <w:rFonts w:ascii="Cambria Math" w:hAnsi="Cambria Math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 w:hAnsi="Cambria Math"/>
                              </w:rPr>
                              <m:t>y</m:t>
                            </m: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ub>
                        </m:sSub>
                        <m:ctrlPr>
                          <w:rPr>
                            <w:rFonts w:ascii="Cambria Math" w:hAnsi="Cambria Math"/>
                          </w:rPr>
                        </m:ctrlPr>
                      </m:e>
                      <m:sup>
                        <m:r>
                          <m:rPr/>
                          <w:rPr>
                            <w:rFonts w:ascii="Cambria Math" w:hAnsi="Cambria Math"/>
                          </w:rPr>
                          <m:t>2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sup>
                    </m:sSup>
                    <m:ctrlPr>
                      <w:rPr>
                        <w:rFonts w:ascii="Cambria Math" w:hAnsi="Cambria Math"/>
                      </w:rPr>
                    </m:ctrlPr>
                  </m:e>
                </m:mr>
              </m:m>
              <m:ctrlPr>
                <w:rPr>
                  <w:rFonts w:ascii="Cambria Math" w:hAnsi="Cambria Math"/>
                </w:rPr>
              </m:ctrlPr>
            </m:e>
          </m:d>
        </m:oMath>
      </m:oMathPara>
    </w:p>
    <w:p w14:paraId="4F64FBD0">
      <w:pPr>
        <w:spacing w:line="240" w:lineRule="auto"/>
        <w:jc w:val="center"/>
      </w:pPr>
      <m:oMathPara>
        <m:oMath>
          <m:r>
            <m:rPr/>
            <w:rPr>
              <w:rFonts w:ascii="Cambria Math" w:hAnsi="Cambria Math"/>
            </w:rPr>
            <m:t xml:space="preserve">R = det(M) − k · 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/>
                <w:rPr>
                  <w:rFonts w:ascii="Cambria Math" w:hAnsi="Cambria Math"/>
                </w:rPr>
                <m:t>tr(M)</m:t>
              </m:r>
              <m:ctrlPr>
                <w:rPr>
                  <w:rFonts w:ascii="Cambria Math" w:hAnsi="Cambria Math"/>
                </w:rPr>
              </m:ctrlPr>
            </m:e>
            <m:sup>
              <m:r>
                <m:rPr/>
                <w:rPr>
                  <w:rFonts w:ascii="Cambria Math" w:hAnsi="Cambria Math"/>
                </w:rPr>
                <m:t>2</m:t>
              </m:r>
              <m:ctrlPr>
                <w:rPr>
                  <w:rFonts w:ascii="Cambria Math" w:hAnsi="Cambria Math"/>
                </w:rPr>
              </m:ctrlPr>
            </m:sup>
          </m:sSup>
        </m:oMath>
      </m:oMathPara>
    </w:p>
    <w:p w14:paraId="701D300E">
      <w:pPr>
        <w:ind w:firstLine="416"/>
        <w:rPr>
          <w:lang w:eastAsia="zh-CN"/>
        </w:rPr>
      </w:pPr>
      <w:r>
        <w:rPr>
          <w:lang w:eastAsia="zh-CN"/>
        </w:rPr>
        <w:t>保留超过阈值且在 11×11 邻域中达到局部最大值的像素，去除图像外缘 5 像素区域。1_1.jpg 检出 210 个角点，主要分布在屋顶、道路交汇及纹理变化明显处。低响应平坦区域被抑制。</w:t>
      </w:r>
    </w:p>
    <w:p w14:paraId="2AC96C98">
      <w:pPr>
        <w:rPr>
          <w:lang w:eastAsia="zh-CN"/>
        </w:rPr>
      </w:pPr>
      <w:r>
        <w:rPr>
          <w:lang w:eastAsia="zh-CN"/>
        </w:rPr>
        <w:br w:type="page"/>
      </w:r>
    </w:p>
    <w:p w14:paraId="0C57BF17">
      <w:pPr>
        <w:pStyle w:val="4"/>
        <w:rPr>
          <w:lang w:eastAsia="zh-CN"/>
        </w:rPr>
      </w:pPr>
      <w:r>
        <w:rPr>
          <w:lang w:eastAsia="zh-CN"/>
        </w:rPr>
        <w:t>1.1  梯度、角点响应与检测结果</w:t>
      </w:r>
    </w:p>
    <w:p w14:paraId="1D4A8DDB">
      <w:pPr>
        <w:keepNext/>
        <w:spacing w:after="60" w:line="240" w:lineRule="auto"/>
        <w:jc w:val="center"/>
      </w:pPr>
      <w:r>
        <w:drawing>
          <wp:inline distT="0" distB="0" distL="0" distR="0">
            <wp:extent cx="4850130" cy="3429000"/>
            <wp:effectExtent l="0" t="0" r="0" b="0"/>
            <wp:docPr id="1" name="Picture 1" descr="图 1：1_1.jpg 的横向梯度、纵向梯度、Harris 响应和角点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图 1：1_1.jpg 的横向梯度、纵向梯度、Harris 响应和角点。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50539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0BC63">
      <w:pPr>
        <w:pStyle w:val="15"/>
        <w:spacing w:after="160" w:line="260" w:lineRule="exact"/>
        <w:jc w:val="center"/>
        <w:rPr>
          <w:lang w:eastAsia="zh-CN"/>
        </w:rPr>
      </w:pPr>
      <w:r>
        <w:rPr>
          <w:b w:val="0"/>
          <w:lang w:eastAsia="zh-CN"/>
        </w:rPr>
        <w:t>图 1：1_1.jpg 的横向梯度、纵向梯度、Harris 响应和角点。</w:t>
      </w:r>
    </w:p>
    <w:p w14:paraId="78B7F3C9">
      <w:pPr>
        <w:pStyle w:val="3"/>
      </w:pPr>
      <w:r>
        <w:t>2  梯度直方图描述子</w:t>
      </w:r>
    </w:p>
    <w:p w14:paraId="44104D59">
      <w:pPr>
        <w:spacing w:line="240" w:lineRule="auto"/>
        <w:jc w:val="center"/>
      </w:pPr>
      <m:oMathPara>
        <m:oMath>
          <m:r>
            <m:rPr/>
            <w:rPr>
              <w:rFonts w:ascii="Cambria Math" w:hAnsi="Cambria Math"/>
            </w:rPr>
            <m:t xml:space="preserve">m = 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>
              <m:ctrlPr>
                <w:rPr>
                  <w:rFonts w:ascii="Cambria Math" w:hAnsi="Cambria Math"/>
                </w:rPr>
              </m:ctrlPr>
            </m:deg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</w:rPr>
                        <m:t>I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/>
                        </w:rPr>
                        <m:t>x</m:t>
                      </m:r>
                      <m:ctrlPr>
                        <w:rPr>
                          <w:rFonts w:ascii="Cambria Math" w:hAnsi="Cambria Math"/>
                        </w:rPr>
                      </m:ctrlPr>
                    </m:sub>
                  </m:sSub>
                  <m:ctrlPr>
                    <w:rPr>
                      <w:rFonts w:ascii="Cambria Math" w:hAnsi="Cambria Math"/>
                    </w:rPr>
                  </m:ctrlPr>
                </m:e>
                <m:sup>
                  <m:r>
                    <m:rPr/>
                    <w:rPr>
                      <w:rFonts w:ascii="Cambria Math" w:hAnsi="Cambria Math"/>
                    </w:rPr>
                    <m:t>2</m:t>
                  </m:r>
                  <m:ctrlPr>
                    <w:rPr>
                      <w:rFonts w:ascii="Cambria Math" w:hAnsi="Cambria Math"/>
                    </w:rPr>
                  </m:ctrlPr>
                </m:sup>
              </m:sSup>
              <m:r>
                <m:rPr/>
                <w:rPr>
                  <w:rFonts w:ascii="Cambria Math" w:hAnsi="Cambria Math"/>
                </w:rPr>
                <m:t xml:space="preserve"> + 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</w:rPr>
                        <m:t>I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/>
                        </w:rPr>
                        <m:t>y</m:t>
                      </m:r>
                      <m:ctrlPr>
                        <w:rPr>
                          <w:rFonts w:ascii="Cambria Math" w:hAnsi="Cambria Math"/>
                        </w:rPr>
                      </m:ctrlPr>
                    </m:sub>
                  </m:sSub>
                  <m:ctrlPr>
                    <w:rPr>
                      <w:rFonts w:ascii="Cambria Math" w:hAnsi="Cambria Math"/>
                    </w:rPr>
                  </m:ctrlPr>
                </m:e>
                <m:sup>
                  <m:r>
                    <m:rPr/>
                    <w:rPr>
                      <w:rFonts w:ascii="Cambria Math" w:hAnsi="Cambria Math"/>
                    </w:rPr>
                    <m:t>2</m:t>
                  </m:r>
                  <m:ctrlPr>
                    <w:rPr>
                      <w:rFonts w:ascii="Cambria Math" w:hAnsi="Cambria Math"/>
                    </w:rPr>
                  </m:ctrlPr>
                </m:sup>
              </m:sSup>
              <m:ctrlPr>
                <w:rPr>
                  <w:rFonts w:ascii="Cambria Math" w:hAnsi="Cambria Math"/>
                </w:rPr>
              </m:ctrlPr>
            </m:e>
          </m:rad>
          <m:r>
            <m:rPr/>
            <w:rPr>
              <w:rFonts w:ascii="Cambria Math" w:hAnsi="Cambria Math"/>
            </w:rPr>
            <m:t>， θ = atan2(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/>
                <w:rPr>
                  <w:rFonts w:ascii="Cambria Math" w:hAnsi="Cambria Math"/>
                </w:rPr>
                <m:t>I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m:rPr/>
                <w:rPr>
                  <w:rFonts w:ascii="Cambria Math" w:hAnsi="Cambria Math"/>
                </w:rPr>
                <m:t>y</m:t>
              </m:r>
              <m:ctrlPr>
                <w:rPr>
                  <w:rFonts w:ascii="Cambria Math" w:hAnsi="Cambria Math"/>
                </w:rPr>
              </m:ctrlPr>
            </m:sub>
          </m:sSub>
          <m:r>
            <m:rPr/>
            <w:rPr>
              <w:rFonts w:ascii="Cambria Math" w:hAnsi="Cambria Math"/>
            </w:rPr>
            <m:t xml:space="preserve">,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/>
                <w:rPr>
                  <w:rFonts w:ascii="Cambria Math" w:hAnsi="Cambria Math"/>
                </w:rPr>
                <m:t>I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m:rPr/>
                <w:rPr>
                  <w:rFonts w:ascii="Cambria Math" w:hAnsi="Cambria Math"/>
                </w:rPr>
                <m:t>x</m:t>
              </m:r>
              <m:ctrlPr>
                <w:rPr>
                  <w:rFonts w:ascii="Cambria Math" w:hAnsi="Cambria Math"/>
                </w:rPr>
              </m:ctrlPr>
            </m:sub>
          </m:sSub>
          <m:r>
            <m:rPr/>
            <w:rPr>
              <w:rFonts w:ascii="Cambria Math" w:hAnsi="Cambria Math"/>
            </w:rPr>
            <m:t>) mod 2π</m:t>
          </m:r>
        </m:oMath>
      </m:oMathPara>
    </w:p>
    <w:p w14:paraId="40741564">
      <w:pPr>
        <w:ind w:firstLine="416"/>
        <w:rPr>
          <w:lang w:eastAsia="zh-CN"/>
        </w:rPr>
      </w:pPr>
      <w:r>
        <w:rPr>
          <w:lang w:eastAsia="zh-CN"/>
        </w:rPr>
        <w:t>以角点为中心截取 16×16 邻域，划分为 4×4 个 cell，每个 cell 为 4×4 像素。先用整个邻域的 36-bin 幅值加权方向直方图估计主方向，再从每个梯度方向中减去主方向，并将结果映射回 [0, 2</w:t>
      </w:r>
      <w:r>
        <w:t>π</w:t>
      </w:r>
      <w:r>
        <w:rPr>
          <w:lang w:eastAsia="zh-CN"/>
        </w:rPr>
        <w:t>)。</w:t>
      </w:r>
    </w:p>
    <w:p w14:paraId="406570CC">
      <w:pPr>
        <w:spacing w:line="240" w:lineRule="auto"/>
        <w:jc w:val="center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/>
                <w:rPr>
                  <w:rFonts w:ascii="Cambria Math" w:hAnsi="Cambria Math"/>
                </w:rPr>
                <m:t>θ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m:rPr/>
                <w:rPr>
                  <w:rFonts w:ascii="Cambria Math" w:hAnsi="Cambria Math"/>
                </w:rPr>
                <m:t>rel</m:t>
              </m:r>
              <m:ctrlPr>
                <w:rPr>
                  <w:rFonts w:ascii="Cambria Math" w:hAnsi="Cambria Math"/>
                </w:rPr>
              </m:ctrlPr>
            </m:sub>
          </m:sSub>
          <m:r>
            <m:rPr/>
            <w:rPr>
              <w:rFonts w:ascii="Cambria Math" w:hAnsi="Cambria Math"/>
            </w:rPr>
            <m:t xml:space="preserve"> = (θ −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/>
                <w:rPr>
                  <w:rFonts w:ascii="Cambria Math" w:hAnsi="Cambria Math"/>
                </w:rPr>
                <m:t>θ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m:rPr/>
                <w:rPr>
                  <w:rFonts w:ascii="Cambria Math" w:hAnsi="Cambria Math"/>
                </w:rPr>
                <m:t>dominant</m:t>
              </m:r>
              <m:ctrlPr>
                <w:rPr>
                  <w:rFonts w:ascii="Cambria Math" w:hAnsi="Cambria Math"/>
                </w:rPr>
              </m:ctrlPr>
            </m:sub>
          </m:sSub>
          <m:r>
            <m:rPr/>
            <w:rPr>
              <w:rFonts w:ascii="Cambria Math" w:hAnsi="Cambria Math"/>
            </w:rPr>
            <m:t>) mod 2π， L = 4 × 4 × 8 = 128</m:t>
          </m:r>
        </m:oMath>
      </m:oMathPara>
    </w:p>
    <w:p w14:paraId="015C8636">
      <w:pPr>
        <w:ind w:firstLine="416"/>
        <w:rPr>
          <w:lang w:eastAsia="zh-CN"/>
        </w:rPr>
      </w:pPr>
      <w:r>
        <w:rPr>
          <w:lang w:eastAsia="zh-CN"/>
        </w:rPr>
        <w:t>各 cell 将梯度幅值累计到最近的 8 个方向之一，拼接后对整个 128 维向量做 L2 归一化。描述子的顺序始终与角点列表一致。无法截取完整邻域时，当前实现返回全零描述子。结合第 4 组实测效果评估。本次第 4 组匹配的几何一致性较好。</w:t>
      </w:r>
    </w:p>
    <w:p w14:paraId="55956383">
      <w:pPr>
        <w:pStyle w:val="3"/>
        <w:rPr>
          <w:lang w:eastAsia="zh-CN"/>
        </w:rPr>
      </w:pPr>
      <w:r>
        <w:rPr>
          <w:lang w:eastAsia="zh-CN"/>
        </w:rPr>
        <w:t>3  局部特征匹配</w:t>
      </w:r>
    </w:p>
    <w:p w14:paraId="5F1784A3">
      <w:pPr>
        <w:ind w:firstLine="416"/>
        <w:rPr>
          <w:rFonts w:hint="eastAsia"/>
          <w:lang w:eastAsia="zh-CN"/>
        </w:rPr>
      </w:pPr>
      <w:r>
        <w:rPr>
          <w:lang w:eastAsia="zh-CN"/>
        </w:rPr>
        <w:t>复用提供的 feature_matching：以欧氏距离比较描述子，最近邻与次近邻距离之比不大于 0.6 时接受，并通过已有逻辑限制重复配对</w:t>
      </w:r>
      <w:r>
        <w:rPr>
          <w:rFonts w:hint="eastAsia"/>
          <w:lang w:eastAsia="zh-CN"/>
        </w:rPr>
        <w:t>。</w:t>
      </w:r>
    </w:p>
    <w:p w14:paraId="244843AC">
      <w:pPr>
        <w:rPr>
          <w:lang w:eastAsia="zh-CN"/>
        </w:rPr>
      </w:pPr>
      <w:r>
        <w:rPr>
          <w:lang w:eastAsia="zh-CN"/>
        </w:rPr>
        <w:br w:type="page"/>
      </w:r>
    </w:p>
    <w:p w14:paraId="0358EAE4">
      <w:pPr>
        <w:pStyle w:val="4"/>
        <w:rPr>
          <w:lang w:eastAsia="zh-CN"/>
        </w:rPr>
      </w:pPr>
      <w:r>
        <w:rPr>
          <w:lang w:eastAsia="zh-CN"/>
        </w:rPr>
        <w:t>3.1  普通图像对与旋转测试的匹配可视化</w:t>
      </w:r>
    </w:p>
    <w:p w14:paraId="0537D24C">
      <w:pPr>
        <w:keepNext/>
        <w:spacing w:after="60" w:line="240" w:lineRule="auto"/>
        <w:jc w:val="center"/>
      </w:pPr>
      <w:r>
        <w:drawing>
          <wp:inline distT="0" distB="0" distL="0" distR="0">
            <wp:extent cx="5612130" cy="1982470"/>
            <wp:effectExtent l="0" t="0" r="0" b="0"/>
            <wp:docPr id="2" name="Picture 2" descr="图 2：第 1 组 Q3 原始匹配，47 对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图 2：第 1 组 Q3 原始匹配，47 对。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384" cy="1982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8B5A31">
      <w:pPr>
        <w:pStyle w:val="15"/>
        <w:spacing w:after="160" w:line="260" w:lineRule="exact"/>
        <w:jc w:val="center"/>
        <w:rPr>
          <w:lang w:eastAsia="zh-CN"/>
        </w:rPr>
      </w:pPr>
      <w:r>
        <w:rPr>
          <w:b w:val="0"/>
          <w:lang w:eastAsia="zh-CN"/>
        </w:rPr>
        <w:t>图 2：第 1 组 Q3 原始匹配，47 对。</w:t>
      </w:r>
    </w:p>
    <w:p w14:paraId="020FE691">
      <w:pPr>
        <w:keepNext/>
        <w:spacing w:after="60" w:line="240" w:lineRule="auto"/>
        <w:jc w:val="center"/>
      </w:pPr>
      <w:r>
        <w:drawing>
          <wp:inline distT="0" distB="0" distL="0" distR="0">
            <wp:extent cx="5612130" cy="1982470"/>
            <wp:effectExtent l="0" t="0" r="0" b="0"/>
            <wp:docPr id="3" name="Picture 3" descr="图 3：旋转／缩放测试 4_1.jpg 与 4_2.jpg，62 对原始匹配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图 3：旋转／缩放测试 4_1.jpg 与 4_2.jpg，62 对原始匹配。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384" cy="1982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CF735">
      <w:pPr>
        <w:pStyle w:val="15"/>
        <w:spacing w:after="160" w:line="260" w:lineRule="exact"/>
        <w:jc w:val="center"/>
        <w:rPr>
          <w:lang w:eastAsia="zh-CN"/>
        </w:rPr>
      </w:pPr>
      <w:r>
        <w:rPr>
          <w:b w:val="0"/>
          <w:lang w:eastAsia="zh-CN"/>
        </w:rPr>
        <w:t>图 3：旋转／缩放测试 4_1.jpg 与 4_2.jpg，62 对原始匹配。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0"/>
        <w:gridCol w:w="2360"/>
        <w:gridCol w:w="1800"/>
        <w:gridCol w:w="1600"/>
        <w:gridCol w:w="1978"/>
      </w:tblGrid>
      <w:tr w14:paraId="64C3142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100" w:type="dxa"/>
            <w:tcBorders>
              <w:top w:val="single" w:color="333333" w:sz="4" w:space="0"/>
              <w:left w:val="nil"/>
              <w:bottom w:val="single" w:color="333333" w:sz="4" w:space="0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747E62">
            <w:pPr>
              <w:spacing w:after="0" w:line="260" w:lineRule="exact"/>
            </w:pPr>
            <w:r>
              <w:rPr>
                <w:sz w:val="18"/>
              </w:rPr>
              <w:t>图像对</w:t>
            </w:r>
          </w:p>
        </w:tc>
        <w:tc>
          <w:tcPr>
            <w:tcW w:w="2360" w:type="dxa"/>
            <w:tcBorders>
              <w:top w:val="single" w:color="333333" w:sz="4" w:space="0"/>
              <w:left w:val="nil"/>
              <w:bottom w:val="single" w:color="333333" w:sz="4" w:space="0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211CB7">
            <w:pPr>
              <w:spacing w:after="0" w:line="260" w:lineRule="exact"/>
            </w:pPr>
            <w:r>
              <w:rPr>
                <w:sz w:val="18"/>
              </w:rPr>
              <w:t>角点数 1 / 2</w:t>
            </w:r>
          </w:p>
        </w:tc>
        <w:tc>
          <w:tcPr>
            <w:tcW w:w="1800" w:type="dxa"/>
            <w:tcBorders>
              <w:top w:val="single" w:color="333333" w:sz="4" w:space="0"/>
              <w:left w:val="nil"/>
              <w:bottom w:val="single" w:color="333333" w:sz="4" w:space="0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576B46">
            <w:pPr>
              <w:spacing w:after="0" w:line="260" w:lineRule="exact"/>
            </w:pPr>
            <w:r>
              <w:rPr>
                <w:sz w:val="18"/>
              </w:rPr>
              <w:t>Q3 匹配数</w:t>
            </w:r>
          </w:p>
        </w:tc>
        <w:tc>
          <w:tcPr>
            <w:tcW w:w="1600" w:type="dxa"/>
            <w:tcBorders>
              <w:top w:val="single" w:color="333333" w:sz="4" w:space="0"/>
              <w:left w:val="nil"/>
              <w:bottom w:val="single" w:color="333333" w:sz="4" w:space="0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BB519F">
            <w:pPr>
              <w:spacing w:after="0" w:line="260" w:lineRule="exact"/>
            </w:pPr>
            <w:r>
              <w:rPr>
                <w:sz w:val="18"/>
              </w:rPr>
              <w:t>内点数</w:t>
            </w:r>
          </w:p>
        </w:tc>
        <w:tc>
          <w:tcPr>
            <w:tcW w:w="1978" w:type="dxa"/>
            <w:tcBorders>
              <w:top w:val="single" w:color="333333" w:sz="4" w:space="0"/>
              <w:left w:val="nil"/>
              <w:bottom w:val="single" w:color="333333" w:sz="4" w:space="0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36F788">
            <w:pPr>
              <w:spacing w:after="0" w:line="260" w:lineRule="exact"/>
            </w:pPr>
            <w:r>
              <w:rPr>
                <w:sz w:val="18"/>
              </w:rPr>
              <w:t>内点比例</w:t>
            </w:r>
          </w:p>
        </w:tc>
      </w:tr>
      <w:tr w14:paraId="73CF47E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E88D1C">
            <w:pPr>
              <w:spacing w:after="0" w:line="260" w:lineRule="exact"/>
            </w:pPr>
            <w:r>
              <w:rPr>
                <w:sz w:val="18"/>
              </w:rPr>
              <w:t>1</w:t>
            </w: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7A3175">
            <w:pPr>
              <w:spacing w:after="0" w:line="260" w:lineRule="exact"/>
            </w:pPr>
            <w:r>
              <w:rPr>
                <w:sz w:val="18"/>
              </w:rPr>
              <w:t>210 / 142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C81785">
            <w:pPr>
              <w:spacing w:after="0" w:line="260" w:lineRule="exact"/>
            </w:pPr>
            <w:r>
              <w:rPr>
                <w:sz w:val="18"/>
              </w:rPr>
              <w:t>47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3AFDC3">
            <w:pPr>
              <w:spacing w:after="0" w:line="260" w:lineRule="exact"/>
            </w:pPr>
            <w:r>
              <w:rPr>
                <w:sz w:val="18"/>
              </w:rPr>
              <w:t>46</w:t>
            </w:r>
          </w:p>
        </w:tc>
        <w:tc>
          <w:tcPr>
            <w:tcW w:w="1978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2627BD">
            <w:pPr>
              <w:spacing w:after="0" w:line="260" w:lineRule="exact"/>
            </w:pPr>
            <w:r>
              <w:rPr>
                <w:sz w:val="18"/>
              </w:rPr>
              <w:t>97.87%</w:t>
            </w:r>
          </w:p>
        </w:tc>
      </w:tr>
      <w:tr w14:paraId="775C728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06B612">
            <w:pPr>
              <w:spacing w:after="0" w:line="260" w:lineRule="exact"/>
            </w:pPr>
            <w:r>
              <w:rPr>
                <w:sz w:val="18"/>
              </w:rPr>
              <w:t>2</w:t>
            </w: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83B745">
            <w:pPr>
              <w:spacing w:after="0" w:line="260" w:lineRule="exact"/>
            </w:pPr>
            <w:r>
              <w:rPr>
                <w:sz w:val="18"/>
              </w:rPr>
              <w:t>740 / 652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1A86BF">
            <w:pPr>
              <w:spacing w:after="0" w:line="260" w:lineRule="exact"/>
            </w:pPr>
            <w:r>
              <w:rPr>
                <w:sz w:val="18"/>
              </w:rPr>
              <w:t>224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AFF519">
            <w:pPr>
              <w:spacing w:after="0" w:line="260" w:lineRule="exact"/>
            </w:pPr>
            <w:r>
              <w:rPr>
                <w:sz w:val="18"/>
              </w:rPr>
              <w:t>223</w:t>
            </w:r>
          </w:p>
        </w:tc>
        <w:tc>
          <w:tcPr>
            <w:tcW w:w="1978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5AA442">
            <w:pPr>
              <w:spacing w:after="0" w:line="260" w:lineRule="exact"/>
            </w:pPr>
            <w:r>
              <w:rPr>
                <w:sz w:val="18"/>
              </w:rPr>
              <w:t>99.55%</w:t>
            </w:r>
          </w:p>
        </w:tc>
      </w:tr>
      <w:tr w14:paraId="04F2B08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A3B815">
            <w:pPr>
              <w:spacing w:after="0" w:line="260" w:lineRule="exact"/>
            </w:pPr>
            <w:r>
              <w:rPr>
                <w:sz w:val="18"/>
              </w:rPr>
              <w:t>3</w:t>
            </w: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D9D945">
            <w:pPr>
              <w:spacing w:after="0" w:line="260" w:lineRule="exact"/>
            </w:pPr>
            <w:r>
              <w:rPr>
                <w:sz w:val="18"/>
              </w:rPr>
              <w:t>271 / 262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70E52A">
            <w:pPr>
              <w:spacing w:after="0" w:line="260" w:lineRule="exact"/>
            </w:pPr>
            <w:r>
              <w:rPr>
                <w:sz w:val="18"/>
              </w:rPr>
              <w:t>135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143F78">
            <w:pPr>
              <w:spacing w:after="0" w:line="260" w:lineRule="exact"/>
            </w:pPr>
            <w:r>
              <w:rPr>
                <w:sz w:val="18"/>
              </w:rPr>
              <w:t>135</w:t>
            </w:r>
          </w:p>
        </w:tc>
        <w:tc>
          <w:tcPr>
            <w:tcW w:w="1978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D3B5CF">
            <w:pPr>
              <w:spacing w:after="0" w:line="260" w:lineRule="exact"/>
            </w:pPr>
            <w:r>
              <w:rPr>
                <w:sz w:val="18"/>
              </w:rPr>
              <w:t>100.00%</w:t>
            </w:r>
          </w:p>
        </w:tc>
      </w:tr>
      <w:tr w14:paraId="7B92CE9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00" w:type="dxa"/>
            <w:tcBorders>
              <w:top w:val="nil"/>
              <w:left w:val="nil"/>
              <w:bottom w:val="single" w:color="333333" w:sz="4" w:space="0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6AD4ED">
            <w:pPr>
              <w:spacing w:after="0" w:line="260" w:lineRule="exact"/>
            </w:pPr>
            <w:r>
              <w:rPr>
                <w:sz w:val="18"/>
              </w:rPr>
              <w:t>4</w:t>
            </w:r>
          </w:p>
        </w:tc>
        <w:tc>
          <w:tcPr>
            <w:tcW w:w="2360" w:type="dxa"/>
            <w:tcBorders>
              <w:top w:val="nil"/>
              <w:left w:val="nil"/>
              <w:bottom w:val="single" w:color="333333" w:sz="4" w:space="0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77768B">
            <w:pPr>
              <w:spacing w:after="0" w:line="260" w:lineRule="exact"/>
            </w:pPr>
            <w:r>
              <w:rPr>
                <w:sz w:val="18"/>
              </w:rPr>
              <w:t>209 / 204</w:t>
            </w:r>
          </w:p>
        </w:tc>
        <w:tc>
          <w:tcPr>
            <w:tcW w:w="1800" w:type="dxa"/>
            <w:tcBorders>
              <w:top w:val="nil"/>
              <w:left w:val="nil"/>
              <w:bottom w:val="single" w:color="333333" w:sz="4" w:space="0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0B8272">
            <w:pPr>
              <w:spacing w:after="0" w:line="260" w:lineRule="exact"/>
            </w:pPr>
            <w:r>
              <w:rPr>
                <w:sz w:val="18"/>
              </w:rPr>
              <w:t>62</w:t>
            </w:r>
          </w:p>
        </w:tc>
        <w:tc>
          <w:tcPr>
            <w:tcW w:w="1600" w:type="dxa"/>
            <w:tcBorders>
              <w:top w:val="nil"/>
              <w:left w:val="nil"/>
              <w:bottom w:val="single" w:color="333333" w:sz="4" w:space="0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9821FB">
            <w:pPr>
              <w:spacing w:after="0" w:line="260" w:lineRule="exact"/>
            </w:pPr>
            <w:r>
              <w:rPr>
                <w:sz w:val="18"/>
              </w:rPr>
              <w:t>62</w:t>
            </w:r>
          </w:p>
        </w:tc>
        <w:tc>
          <w:tcPr>
            <w:tcW w:w="1978" w:type="dxa"/>
            <w:tcBorders>
              <w:top w:val="nil"/>
              <w:left w:val="nil"/>
              <w:bottom w:val="single" w:color="333333" w:sz="4" w:space="0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5CA0D5">
            <w:pPr>
              <w:spacing w:after="0" w:line="260" w:lineRule="exact"/>
            </w:pPr>
            <w:r>
              <w:rPr>
                <w:sz w:val="18"/>
              </w:rPr>
              <w:t>100.00%</w:t>
            </w:r>
          </w:p>
        </w:tc>
      </w:tr>
    </w:tbl>
    <w:p w14:paraId="551BF2DD">
      <w:pPr>
        <w:rPr>
          <w:rFonts w:hint="eastAsia"/>
          <w:lang w:eastAsia="zh-CN"/>
        </w:rPr>
      </w:pPr>
    </w:p>
    <w:p w14:paraId="2C40D876">
      <w:pPr>
        <w:rPr>
          <w:lang w:eastAsia="zh-CN"/>
        </w:rPr>
      </w:pPr>
      <w:r>
        <w:rPr>
          <w:lang w:eastAsia="zh-CN"/>
        </w:rPr>
        <w:br w:type="page"/>
      </w:r>
    </w:p>
    <w:p w14:paraId="4EBCE7FB">
      <w:pPr>
        <w:pStyle w:val="3"/>
        <w:rPr>
          <w:lang w:eastAsia="zh-CN"/>
        </w:rPr>
      </w:pPr>
      <w:r>
        <w:rPr>
          <w:lang w:eastAsia="zh-CN"/>
        </w:rPr>
        <w:t>4  单应估计与 RANSAC</w:t>
      </w:r>
    </w:p>
    <w:p w14:paraId="401C5C1B">
      <w:pPr>
        <w:pStyle w:val="4"/>
        <w:rPr>
          <w:lang w:eastAsia="zh-CN"/>
        </w:rPr>
      </w:pPr>
      <w:r>
        <w:rPr>
          <w:lang w:eastAsia="zh-CN"/>
        </w:rPr>
        <w:t>4.1  DLT 与 SVD</w:t>
      </w:r>
    </w:p>
    <w:p w14:paraId="1B063C12">
      <w:pPr>
        <w:ind w:firstLine="416"/>
        <w:rPr>
          <w:lang w:eastAsia="zh-CN"/>
        </w:rPr>
      </w:pPr>
      <w:r>
        <w:rPr>
          <w:lang w:eastAsia="zh-CN"/>
        </w:rPr>
        <w:t>对于对应点 (x,y) → (u,v)，令 h 按行包含 H 的九个元素，每对点贡献以下两行。叠加得到 A 后求带单位范数约束的最小二乘解。</w:t>
      </w:r>
    </w:p>
    <w:p w14:paraId="593B4439">
      <w:pPr>
        <w:spacing w:line="240" w:lineRule="auto"/>
        <w:jc w:val="center"/>
      </w:pPr>
      <m:oMathPara>
        <m:oMath>
          <m:r>
            <m:rPr/>
            <w:rPr>
              <w:rFonts w:ascii="Cambria Math" w:hAnsi="Cambria Math"/>
            </w:rPr>
            <m:t>[x, y, 1, 0, 0, 0, −ux, −uy, −u] · h = 0</m:t>
          </m:r>
        </m:oMath>
      </m:oMathPara>
    </w:p>
    <w:p w14:paraId="51B515B3">
      <w:pPr>
        <w:spacing w:line="240" w:lineRule="auto"/>
        <w:jc w:val="center"/>
      </w:pPr>
      <m:oMathPara>
        <m:oMath>
          <m:r>
            <m:rPr/>
            <w:rPr>
              <w:rFonts w:ascii="Cambria Math" w:hAnsi="Cambria Math"/>
            </w:rPr>
            <m:t>[0, 0, 0, x, y, 1, −vx, −vy, −v] · h = 0</m:t>
          </m:r>
        </m:oMath>
      </m:oMathPara>
    </w:p>
    <w:p w14:paraId="2B0E4972">
      <w:pPr>
        <w:ind w:firstLine="416"/>
        <w:rPr>
          <w:rFonts w:hint="eastAsia"/>
          <w:lang w:eastAsia="zh-CN"/>
        </w:rPr>
      </w:pPr>
      <w:r>
        <w:t>使用完整 SVD：A=UΣV</w:t>
      </w:r>
      <w:r>
        <w:rPr>
          <w:vertAlign w:val="superscript"/>
        </w:rPr>
        <w:t>T</w:t>
      </w:r>
      <w:r>
        <w:t>，取 V</w:t>
      </w:r>
      <w:r>
        <w:rPr>
          <w:vertAlign w:val="superscript"/>
        </w:rPr>
        <w:t>T</w:t>
      </w:r>
      <w:r>
        <w:t xml:space="preserve"> 的最后一行并 reshape 为 3×3。</w:t>
      </w:r>
      <w:r>
        <w:rPr>
          <w:lang w:eastAsia="zh-CN"/>
        </w:rPr>
        <w:t xml:space="preserve">该 h 的 L2 范数约为 1，所以 H 的 Frobenius 范数也约为 </w:t>
      </w:r>
      <w:r>
        <w:rPr>
          <w:rFonts w:hint="eastAsia"/>
          <w:lang w:eastAsia="zh-CN"/>
        </w:rPr>
        <w:t>1</w:t>
      </w:r>
    </w:p>
    <w:p w14:paraId="5E2476F3">
      <w:pPr>
        <w:pStyle w:val="4"/>
        <w:rPr>
          <w:lang w:eastAsia="zh-CN"/>
        </w:rPr>
      </w:pPr>
      <w:r>
        <w:rPr>
          <w:lang w:eastAsia="zh-CN"/>
        </w:rPr>
        <w:t>4.2  内点筛选与重新拟合</w:t>
      </w:r>
    </w:p>
    <w:p w14:paraId="37F42EA1">
      <w:pPr>
        <w:ind w:firstLine="416"/>
        <w:rPr>
          <w:lang w:eastAsia="zh-CN"/>
        </w:rPr>
      </w:pPr>
      <w:r>
        <w:rPr>
          <w:lang w:eastAsia="zh-CN"/>
        </w:rPr>
        <w:t>随机无放回抽取 4 对匹配，求候选 H，用它将所有源点投影到目标图像，并以欧氏距离小于 3 像素判断内点。重复 1000 次，优先保留内点数最多的模型；数量相同时选内点均方误差较小者，最后用该共识集合重新求 H。</w:t>
      </w:r>
    </w:p>
    <w:p w14:paraId="7C04902A">
      <w:pPr>
        <w:spacing w:line="240" w:lineRule="auto"/>
        <w:jc w:val="center"/>
        <w:rPr>
          <w:rFonts w:hint="eastAsia"/>
          <w:lang w:eastAsia="zh-CN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/>
                <w:rPr>
                  <w:rFonts w:ascii="Cambria Math" w:hAnsi="Cambria Math"/>
                </w:rPr>
                <m:t>e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m:rPr/>
                <w:rPr>
                  <w:rFonts w:ascii="Cambria Math" w:hAnsi="Cambria Math"/>
                </w:rPr>
                <m:t>i</m:t>
              </m:r>
              <m:ctrlPr>
                <w:rPr>
                  <w:rFonts w:ascii="Cambria Math" w:hAnsi="Cambria Math"/>
                </w:rPr>
              </m:ctrlPr>
            </m:sub>
          </m:sSub>
          <m:r>
            <m:rPr/>
            <w:rPr>
              <w:rFonts w:ascii="Cambria Math" w:hAnsi="Cambria Math"/>
            </w:rPr>
            <m:t xml:space="preserve"> = ‖π(H 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/>
                <w:rPr>
                  <w:rFonts w:ascii="Cambria Math" w:hAnsi="Cambria Math"/>
                </w:rPr>
                <m:t>[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</w:rPr>
                    <m:t>x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</w:rPr>
                    <m:t>i</m:t>
                  </m:r>
                  <m:ctrlPr>
                    <w:rPr>
                      <w:rFonts w:ascii="Cambria Math" w:hAnsi="Cambria Math"/>
                    </w:rPr>
                  </m:ctrlPr>
                </m:sub>
              </m:sSub>
              <m:r>
                <m:rPr/>
                <w:rPr>
                  <w:rFonts w:ascii="Cambria Math" w:hAnsi="Cambria Math"/>
                </w:rPr>
                <m:t xml:space="preserve">, 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</w:rPr>
                    <m:t>y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</w:rPr>
                    <m:t>i</m:t>
                  </m:r>
                  <m:ctrlPr>
                    <w:rPr>
                      <w:rFonts w:ascii="Cambria Math" w:hAnsi="Cambria Math"/>
                    </w:rPr>
                  </m:ctrlPr>
                </m:sub>
              </m:sSub>
              <m:r>
                <m:rPr/>
                <w:rPr>
                  <w:rFonts w:ascii="Cambria Math" w:hAnsi="Cambria Math"/>
                </w:rPr>
                <m:t>, 1]</m:t>
              </m:r>
              <m:ctrlPr>
                <w:rPr>
                  <w:rFonts w:ascii="Cambria Math" w:hAnsi="Cambria Math"/>
                </w:rPr>
              </m:ctrlPr>
            </m:e>
            <m:sup>
              <m:r>
                <m:rPr/>
                <w:rPr>
                  <w:rFonts w:ascii="Cambria Math" w:hAnsi="Cambria Math"/>
                </w:rPr>
                <m:t>T</m:t>
              </m:r>
              <m:ctrlPr>
                <w:rPr>
                  <w:rFonts w:ascii="Cambria Math" w:hAnsi="Cambria Math"/>
                </w:rPr>
              </m:ctrlPr>
            </m:sup>
          </m:sSup>
          <m:r>
            <m:rPr/>
            <w:rPr>
              <w:rFonts w:ascii="Cambria Math" w:hAnsi="Cambria Math"/>
            </w:rPr>
            <m:t xml:space="preserve">) − 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/>
                <w:rPr>
                  <w:rFonts w:ascii="Cambria Math" w:hAnsi="Cambria Math"/>
                </w:rPr>
                <m:t>[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</w:rPr>
                    <m:t>u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</w:rPr>
                    <m:t>i</m:t>
                  </m:r>
                  <m:ctrlPr>
                    <w:rPr>
                      <w:rFonts w:ascii="Cambria Math" w:hAnsi="Cambria Math"/>
                    </w:rPr>
                  </m:ctrlPr>
                </m:sub>
              </m:sSub>
              <m:r>
                <m:rPr/>
                <w:rPr>
                  <w:rFonts w:ascii="Cambria Math" w:hAnsi="Cambria Math"/>
                </w:rPr>
                <m:t xml:space="preserve">, 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</w:rPr>
                    <m:t>v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</w:rPr>
                    <m:t>i</m:t>
                  </m:r>
                  <m:ctrlPr>
                    <w:rPr>
                      <w:rFonts w:ascii="Cambria Math" w:hAnsi="Cambria Math"/>
                    </w:rPr>
                  </m:ctrlPr>
                </m:sub>
              </m:sSub>
              <m:r>
                <m:rPr/>
                <w:rPr>
                  <w:rFonts w:ascii="Cambria Math" w:hAnsi="Cambria Math"/>
                </w:rPr>
                <m:t>]</m:t>
              </m:r>
              <m:ctrlPr>
                <w:rPr>
                  <w:rFonts w:ascii="Cambria Math" w:hAnsi="Cambria Math"/>
                </w:rPr>
              </m:ctrlPr>
            </m:e>
            <m:sup>
              <m:r>
                <m:rPr/>
                <w:rPr>
                  <w:rFonts w:ascii="Cambria Math" w:hAnsi="Cambria Math"/>
                </w:rPr>
                <m:t>T</m:t>
              </m:r>
              <m:ctrlPr>
                <w:rPr>
                  <w:rFonts w:ascii="Cambria Math" w:hAnsi="Cambria Math"/>
                </w:rPr>
              </m:ctrlPr>
            </m:sup>
          </m:sSup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/>
                <w:rPr>
                  <w:rFonts w:ascii="Cambria Math" w:hAnsi="Cambria Math"/>
                </w:rPr>
                <m:t>‖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m:rPr/>
                <w:rPr>
                  <w:rFonts w:ascii="Cambria Math" w:hAnsi="Cambria Math"/>
                </w:rPr>
                <m:t>2</m:t>
              </m:r>
              <m:ctrlPr>
                <w:rPr>
                  <w:rFonts w:ascii="Cambria Math" w:hAnsi="Cambria Math"/>
                </w:rPr>
              </m:ctrlPr>
            </m:sub>
          </m:sSub>
        </m:oMath>
      </m:oMathPara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00"/>
        <w:gridCol w:w="1500"/>
        <w:gridCol w:w="4000"/>
        <w:gridCol w:w="2038"/>
      </w:tblGrid>
      <w:tr w14:paraId="1F0A1A0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300" w:type="dxa"/>
            <w:tcBorders>
              <w:top w:val="single" w:color="333333" w:sz="4" w:space="0"/>
              <w:left w:val="nil"/>
              <w:bottom w:val="single" w:color="333333" w:sz="4" w:space="0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1BA80C">
            <w:pPr>
              <w:spacing w:after="0" w:line="260" w:lineRule="exact"/>
            </w:pPr>
            <w:r>
              <w:rPr>
                <w:sz w:val="18"/>
              </w:rPr>
              <w:t>图像对</w:t>
            </w:r>
          </w:p>
        </w:tc>
        <w:tc>
          <w:tcPr>
            <w:tcW w:w="1500" w:type="dxa"/>
            <w:tcBorders>
              <w:top w:val="single" w:color="333333" w:sz="4" w:space="0"/>
              <w:left w:val="nil"/>
              <w:bottom w:val="single" w:color="333333" w:sz="4" w:space="0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0AB9E2">
            <w:pPr>
              <w:spacing w:after="0" w:line="260" w:lineRule="exact"/>
            </w:pPr>
            <w:r>
              <w:rPr>
                <w:sz w:val="18"/>
              </w:rPr>
              <w:t>删除数量</w:t>
            </w:r>
          </w:p>
        </w:tc>
        <w:tc>
          <w:tcPr>
            <w:tcW w:w="4000" w:type="dxa"/>
            <w:tcBorders>
              <w:top w:val="single" w:color="333333" w:sz="4" w:space="0"/>
              <w:left w:val="nil"/>
              <w:bottom w:val="single" w:color="333333" w:sz="4" w:space="0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8A1805">
            <w:pPr>
              <w:spacing w:after="0" w:line="260" w:lineRule="exact"/>
              <w:rPr>
                <w:lang w:eastAsia="zh-CN"/>
              </w:rPr>
            </w:pPr>
            <w:r>
              <w:rPr>
                <w:sz w:val="18"/>
                <w:lang w:eastAsia="zh-CN"/>
              </w:rPr>
              <w:t>重拟合内点误差中位数 / px</w:t>
            </w:r>
          </w:p>
        </w:tc>
        <w:tc>
          <w:tcPr>
            <w:tcW w:w="2038" w:type="dxa"/>
            <w:tcBorders>
              <w:top w:val="single" w:color="333333" w:sz="4" w:space="0"/>
              <w:left w:val="nil"/>
              <w:bottom w:val="single" w:color="333333" w:sz="4" w:space="0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C88102">
            <w:pPr>
              <w:spacing w:after="0" w:line="260" w:lineRule="exact"/>
              <w:rPr>
                <w:rFonts w:hint="eastAsia"/>
                <w:lang w:eastAsia="zh-CN"/>
              </w:rPr>
            </w:pPr>
            <w:r>
              <w:rPr>
                <w:sz w:val="18"/>
              </w:rPr>
              <w:t>最大值 / p</w:t>
            </w:r>
            <w:r>
              <w:rPr>
                <w:rFonts w:hint="eastAsia"/>
                <w:sz w:val="18"/>
                <w:lang w:eastAsia="zh-CN"/>
              </w:rPr>
              <w:t>i</w:t>
            </w:r>
            <w:r>
              <w:rPr>
                <w:sz w:val="18"/>
              </w:rPr>
              <w:t>x</w:t>
            </w:r>
            <w:r>
              <w:rPr>
                <w:rFonts w:hint="eastAsia"/>
                <w:sz w:val="18"/>
                <w:lang w:eastAsia="zh-CN"/>
              </w:rPr>
              <w:t>el</w:t>
            </w:r>
          </w:p>
        </w:tc>
      </w:tr>
      <w:tr w14:paraId="09A4262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95FC8C">
            <w:pPr>
              <w:spacing w:after="0" w:line="260" w:lineRule="exact"/>
            </w:pPr>
            <w:r>
              <w:rPr>
                <w:sz w:val="18"/>
              </w:rPr>
              <w:t>1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067DEB">
            <w:pPr>
              <w:spacing w:after="0" w:line="260" w:lineRule="exact"/>
            </w:pPr>
            <w:r>
              <w:rPr>
                <w:sz w:val="18"/>
              </w:rPr>
              <w:t>1</w:t>
            </w:r>
          </w:p>
        </w:tc>
        <w:tc>
          <w:tcPr>
            <w:tcW w:w="400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199243">
            <w:pPr>
              <w:spacing w:after="0" w:line="260" w:lineRule="exact"/>
            </w:pPr>
            <w:r>
              <w:rPr>
                <w:sz w:val="18"/>
              </w:rPr>
              <w:t>0.644</w:t>
            </w:r>
          </w:p>
        </w:tc>
        <w:tc>
          <w:tcPr>
            <w:tcW w:w="2038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0CF1C7">
            <w:pPr>
              <w:spacing w:after="0" w:line="260" w:lineRule="exact"/>
            </w:pPr>
            <w:r>
              <w:rPr>
                <w:sz w:val="18"/>
              </w:rPr>
              <w:t>2.344</w:t>
            </w:r>
          </w:p>
        </w:tc>
      </w:tr>
      <w:tr w14:paraId="4E68920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595FBD">
            <w:pPr>
              <w:spacing w:after="0" w:line="260" w:lineRule="exact"/>
            </w:pPr>
            <w:r>
              <w:rPr>
                <w:sz w:val="18"/>
              </w:rPr>
              <w:t>2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BADC3A">
            <w:pPr>
              <w:spacing w:after="0" w:line="260" w:lineRule="exact"/>
            </w:pPr>
            <w:r>
              <w:rPr>
                <w:sz w:val="18"/>
              </w:rPr>
              <w:t>1</w:t>
            </w:r>
          </w:p>
        </w:tc>
        <w:tc>
          <w:tcPr>
            <w:tcW w:w="400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9FA5F7">
            <w:pPr>
              <w:spacing w:after="0" w:line="260" w:lineRule="exact"/>
            </w:pPr>
            <w:r>
              <w:rPr>
                <w:sz w:val="18"/>
              </w:rPr>
              <w:t>0.523</w:t>
            </w:r>
          </w:p>
        </w:tc>
        <w:tc>
          <w:tcPr>
            <w:tcW w:w="2038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AEC92C">
            <w:pPr>
              <w:spacing w:after="0" w:line="260" w:lineRule="exact"/>
            </w:pPr>
            <w:r>
              <w:rPr>
                <w:sz w:val="18"/>
              </w:rPr>
              <w:t>1.284</w:t>
            </w:r>
          </w:p>
        </w:tc>
      </w:tr>
      <w:tr w14:paraId="2ABFC98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B6BF62">
            <w:pPr>
              <w:spacing w:after="0" w:line="260" w:lineRule="exact"/>
            </w:pPr>
            <w:r>
              <w:rPr>
                <w:sz w:val="18"/>
              </w:rPr>
              <w:t>3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D8C5DB">
            <w:pPr>
              <w:spacing w:after="0" w:line="260" w:lineRule="exact"/>
            </w:pPr>
            <w:r>
              <w:rPr>
                <w:sz w:val="18"/>
              </w:rPr>
              <w:t>0</w:t>
            </w:r>
          </w:p>
        </w:tc>
        <w:tc>
          <w:tcPr>
            <w:tcW w:w="400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2B1F52">
            <w:pPr>
              <w:spacing w:after="0" w:line="260" w:lineRule="exact"/>
            </w:pPr>
            <w:r>
              <w:rPr>
                <w:sz w:val="18"/>
              </w:rPr>
              <w:t>0.484</w:t>
            </w:r>
          </w:p>
        </w:tc>
        <w:tc>
          <w:tcPr>
            <w:tcW w:w="2038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5D98E8">
            <w:pPr>
              <w:spacing w:after="0" w:line="260" w:lineRule="exact"/>
            </w:pPr>
            <w:r>
              <w:rPr>
                <w:sz w:val="18"/>
              </w:rPr>
              <w:t>1.090</w:t>
            </w:r>
          </w:p>
        </w:tc>
      </w:tr>
      <w:tr w14:paraId="372A0B6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00" w:type="dxa"/>
            <w:tcBorders>
              <w:top w:val="nil"/>
              <w:left w:val="nil"/>
              <w:bottom w:val="single" w:color="333333" w:sz="4" w:space="0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A34AAA">
            <w:pPr>
              <w:spacing w:after="0" w:line="260" w:lineRule="exact"/>
            </w:pPr>
            <w:r>
              <w:rPr>
                <w:sz w:val="18"/>
              </w:rPr>
              <w:t>4</w:t>
            </w:r>
          </w:p>
        </w:tc>
        <w:tc>
          <w:tcPr>
            <w:tcW w:w="1500" w:type="dxa"/>
            <w:tcBorders>
              <w:top w:val="nil"/>
              <w:left w:val="nil"/>
              <w:bottom w:val="single" w:color="333333" w:sz="4" w:space="0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741096">
            <w:pPr>
              <w:spacing w:after="0" w:line="260" w:lineRule="exact"/>
            </w:pPr>
            <w:r>
              <w:rPr>
                <w:sz w:val="18"/>
              </w:rPr>
              <w:t>0</w:t>
            </w:r>
          </w:p>
        </w:tc>
        <w:tc>
          <w:tcPr>
            <w:tcW w:w="4000" w:type="dxa"/>
            <w:tcBorders>
              <w:top w:val="nil"/>
              <w:left w:val="nil"/>
              <w:bottom w:val="single" w:color="333333" w:sz="4" w:space="0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AD0024">
            <w:pPr>
              <w:spacing w:after="0" w:line="260" w:lineRule="exact"/>
            </w:pPr>
            <w:r>
              <w:rPr>
                <w:sz w:val="18"/>
              </w:rPr>
              <w:t>0.535</w:t>
            </w:r>
          </w:p>
        </w:tc>
        <w:tc>
          <w:tcPr>
            <w:tcW w:w="2038" w:type="dxa"/>
            <w:tcBorders>
              <w:top w:val="nil"/>
              <w:left w:val="nil"/>
              <w:bottom w:val="single" w:color="333333" w:sz="4" w:space="0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EB4105">
            <w:pPr>
              <w:spacing w:after="0" w:line="260" w:lineRule="exact"/>
            </w:pPr>
            <w:r>
              <w:rPr>
                <w:sz w:val="18"/>
              </w:rPr>
              <w:t>1.191</w:t>
            </w:r>
          </w:p>
        </w:tc>
      </w:tr>
    </w:tbl>
    <w:p w14:paraId="52F6D3DE">
      <w:pPr>
        <w:rPr>
          <w:rFonts w:hint="eastAsia"/>
          <w:lang w:eastAsia="zh-CN"/>
        </w:rPr>
      </w:pPr>
    </w:p>
    <w:p w14:paraId="0F472186">
      <w:pPr>
        <w:rPr>
          <w:lang w:eastAsia="zh-CN"/>
        </w:rPr>
      </w:pPr>
      <w:r>
        <w:t>4.2.1  RANSAC 前后对比</w:t>
      </w:r>
    </w:p>
    <w:p w14:paraId="36DDC588">
      <w:pPr>
        <w:keepNext/>
        <w:spacing w:after="60" w:line="240" w:lineRule="auto"/>
        <w:jc w:val="center"/>
      </w:pPr>
      <w:r>
        <w:drawing>
          <wp:inline distT="0" distB="0" distL="0" distR="0">
            <wp:extent cx="5572125" cy="1968500"/>
            <wp:effectExtent l="0" t="0" r="0" b="0"/>
            <wp:docPr id="4" name="Picture 4" descr="图 4(a)：Q3 原始匹配，47 对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图 4(a)：Q3 原始匹配，47 对。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72250" cy="196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FC08E">
      <w:pPr>
        <w:pStyle w:val="15"/>
        <w:spacing w:after="160" w:line="260" w:lineRule="exact"/>
        <w:jc w:val="center"/>
      </w:pPr>
      <w:r>
        <w:rPr>
          <w:b w:val="0"/>
        </w:rPr>
        <w:t>图 4(a)：Q3 原始匹配，47 对。</w:t>
      </w:r>
    </w:p>
    <w:p w14:paraId="2CBAF2BC">
      <w:pPr>
        <w:keepNext/>
        <w:spacing w:after="60" w:line="240" w:lineRule="auto"/>
        <w:jc w:val="center"/>
      </w:pPr>
      <w:r>
        <w:drawing>
          <wp:inline distT="0" distB="0" distL="0" distR="0">
            <wp:extent cx="5572125" cy="1968500"/>
            <wp:effectExtent l="0" t="0" r="0" b="0"/>
            <wp:docPr id="5" name="Picture 5" descr="图 4(b)：保留 46 对内点，比例 97.87%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图 4(b)：保留 46 对内点，比例 97.87%。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72250" cy="196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EE68C">
      <w:pPr>
        <w:pStyle w:val="15"/>
        <w:spacing w:after="160" w:line="260" w:lineRule="exact"/>
        <w:jc w:val="center"/>
        <w:rPr>
          <w:lang w:eastAsia="zh-CN"/>
        </w:rPr>
      </w:pPr>
      <w:r>
        <w:rPr>
          <w:b w:val="0"/>
          <w:lang w:eastAsia="zh-CN"/>
        </w:rPr>
        <w:t>图 4(b)：保留 46 对内点，比例 97.87%。</w:t>
      </w:r>
    </w:p>
    <w:p w14:paraId="3FDF50F1">
      <w:pPr>
        <w:keepNext/>
        <w:spacing w:after="60" w:line="240" w:lineRule="auto"/>
        <w:jc w:val="center"/>
      </w:pPr>
      <w:r>
        <w:drawing>
          <wp:inline distT="0" distB="0" distL="0" distR="0">
            <wp:extent cx="5572125" cy="1968500"/>
            <wp:effectExtent l="0" t="0" r="0" b="0"/>
            <wp:docPr id="6" name="Picture 6" descr="图 4(c)：删除的 1 对匹配，以红色连线标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图 4(c)：删除的 1 对匹配，以红色连线标出。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72250" cy="196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0FD59">
      <w:pPr>
        <w:pStyle w:val="15"/>
        <w:spacing w:after="160" w:line="260" w:lineRule="exact"/>
        <w:jc w:val="center"/>
        <w:rPr>
          <w:lang w:eastAsia="zh-CN"/>
        </w:rPr>
      </w:pPr>
      <w:r>
        <w:rPr>
          <w:b w:val="0"/>
          <w:lang w:eastAsia="zh-CN"/>
        </w:rPr>
        <w:t>图 4(c)：删除的 1 对匹配，以红色连线标出。</w:t>
      </w:r>
    </w:p>
    <w:p w14:paraId="73742A54">
      <w:pPr>
        <w:ind w:firstLine="416"/>
        <w:rPr>
          <w:rFonts w:hint="eastAsia"/>
          <w:lang w:eastAsia="zh-CN"/>
        </w:rPr>
      </w:pPr>
      <w:r>
        <w:rPr>
          <w:lang w:eastAsia="zh-CN"/>
        </w:rPr>
        <w:t>被删除的对应连接了两处不同的白色屋顶，局部外观相似，但与其余匹配所确定的几何关系不一致。</w:t>
      </w:r>
    </w:p>
    <w:p w14:paraId="4A88C10A">
      <w:pPr>
        <w:rPr>
          <w:lang w:eastAsia="zh-CN"/>
        </w:rPr>
      </w:pPr>
      <w:r>
        <w:rPr>
          <w:lang w:eastAsia="zh-CN"/>
        </w:rPr>
        <w:br w:type="page"/>
      </w:r>
    </w:p>
    <w:p w14:paraId="7B628574">
      <w:pPr>
        <w:pStyle w:val="3"/>
        <w:rPr>
          <w:lang w:eastAsia="zh-CN"/>
        </w:rPr>
      </w:pPr>
      <w:r>
        <w:rPr>
          <w:lang w:eastAsia="zh-CN"/>
        </w:rPr>
        <w:t>4.3  双图逆向映射与 alpha 融合</w:t>
      </w:r>
    </w:p>
    <w:p w14:paraId="0DA6B7C4">
      <w:pPr>
        <w:ind w:firstLine="416"/>
        <w:rPr>
          <w:lang w:eastAsia="zh-CN"/>
        </w:rPr>
      </w:pPr>
      <w:r>
        <w:rPr>
          <w:lang w:eastAsia="zh-CN"/>
        </w:rPr>
        <w:t>以图 2 为参考坐标系，将图 1 四角经过 H 投影，连同图 2 边界求包围框并创建扩大画布。画布坐标允许为负，存储下标通过减去最小坐标得到。对每个画布像素，利用 H 的逆变换寻找图 1 源位置，并以双线性插值采样；图 2 直接按共同坐标采样。</w:t>
      </w:r>
    </w:p>
    <w:p w14:paraId="4FE4A129">
      <w:pPr>
        <w:ind w:firstLine="416"/>
        <w:rPr>
          <w:lang w:eastAsia="zh-CN"/>
        </w:rPr>
      </w:pPr>
      <w:r>
        <w:rPr>
          <w:lang w:eastAsia="zh-CN"/>
        </w:rPr>
        <w:t>把全 1 覆盖掩码进行同样的映射，先用掩码修正边缘插值引入的黑色衰减，再按覆盖率归一化融合。只覆盖一张图时保留其颜色，两张图内部均覆盖时各占一半，均未覆盖时保持黑色。</w:t>
      </w:r>
    </w:p>
    <w:p w14:paraId="11077C43">
      <w:pPr>
        <w:spacing w:line="240" w:lineRule="auto"/>
        <w:jc w:val="center"/>
      </w:pPr>
      <m:oMathPara>
        <m:oMath>
          <m:r>
            <m:rPr/>
            <w:rPr>
              <w:rFonts w:ascii="Cambria Math" w:hAnsi="Cambria Math"/>
            </w:rPr>
            <m:t xml:space="preserve">C =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</w:rPr>
                    <m:t>α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</w:rPr>
                    <m:t>1</m:t>
                  </m:r>
                  <m:ctrlPr>
                    <w:rPr>
                      <w:rFonts w:ascii="Cambria Math" w:hAnsi="Cambria Math"/>
                    </w:rPr>
                  </m:ctrlP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</w:rPr>
                    <m:t>C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</w:rPr>
                    <m:t>1</m:t>
                  </m:r>
                  <m:ctrlPr>
                    <w:rPr>
                      <w:rFonts w:ascii="Cambria Math" w:hAnsi="Cambria Math"/>
                    </w:rPr>
                  </m:ctrlPr>
                </m:sub>
              </m:sSub>
              <m:r>
                <m:rPr/>
                <w:rPr>
                  <w:rFonts w:ascii="Cambria Math" w:hAnsi="Cambria Math"/>
                </w:rPr>
                <m:t xml:space="preserve"> + 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</w:rPr>
                    <m:t>α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</w:rPr>
                    <m:t>2</m:t>
                  </m:r>
                  <m:ctrlPr>
                    <w:rPr>
                      <w:rFonts w:ascii="Cambria Math" w:hAnsi="Cambria Math"/>
                    </w:rPr>
                  </m:ctrlP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</w:rPr>
                    <m:t>C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</w:rPr>
                    <m:t>2</m:t>
                  </m:r>
                  <m:ctrlPr>
                    <w:rPr>
                      <w:rFonts w:ascii="Cambria Math" w:hAnsi="Cambria Math"/>
                    </w:rPr>
                  </m:ctrlPr>
                </m:sub>
              </m:sSub>
              <m:ctrlPr>
                <w:rPr>
                  <w:rFonts w:ascii="Cambria Math" w:hAnsi="Cambria Math"/>
                </w:rPr>
              </m:ctrlPr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</w:rPr>
                    <m:t>α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</w:rPr>
                    <m:t>1</m:t>
                  </m:r>
                  <m:ctrlPr>
                    <w:rPr>
                      <w:rFonts w:ascii="Cambria Math" w:hAnsi="Cambria Math"/>
                    </w:rPr>
                  </m:ctrlPr>
                </m:sub>
              </m:sSub>
              <m:r>
                <m:rPr/>
                <w:rPr>
                  <w:rFonts w:ascii="Cambria Math" w:hAnsi="Cambria Math"/>
                </w:rPr>
                <m:t xml:space="preserve"> + 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</w:rPr>
                    <m:t>α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</w:rPr>
                    <m:t>2</m:t>
                  </m:r>
                  <m:ctrlPr>
                    <w:rPr>
                      <w:rFonts w:ascii="Cambria Math" w:hAnsi="Cambria Math"/>
                    </w:rPr>
                  </m:ctrlPr>
                </m:sub>
              </m:sSub>
              <m:ctrlPr>
                <w:rPr>
                  <w:rFonts w:ascii="Cambria Math" w:hAnsi="Cambria Math"/>
                </w:rPr>
              </m:ctrlPr>
            </m:den>
          </m:f>
        </m:oMath>
      </m:oMathPara>
    </w:p>
    <w:p w14:paraId="6736CC10">
      <w:pPr>
        <w:keepNext/>
        <w:spacing w:after="60" w:line="240" w:lineRule="auto"/>
        <w:jc w:val="center"/>
      </w:pPr>
      <w:r>
        <w:drawing>
          <wp:inline distT="0" distB="0" distL="0" distR="0">
            <wp:extent cx="2948940" cy="2463800"/>
            <wp:effectExtent l="0" t="0" r="0" b="0"/>
            <wp:docPr id="7" name="Picture 7" descr="图 5：第 1 组融合，668×558。道路和屋顶在重叠区域基本连续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图 5：第 1 组融合，668×558。道路和屋顶在重叠区域基本连续。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49495" cy="246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F64B8">
      <w:pPr>
        <w:pStyle w:val="15"/>
        <w:spacing w:after="160" w:line="260" w:lineRule="exact"/>
        <w:jc w:val="center"/>
        <w:rPr>
          <w:lang w:eastAsia="zh-CN"/>
        </w:rPr>
      </w:pPr>
      <w:r>
        <w:rPr>
          <w:b w:val="0"/>
          <w:lang w:eastAsia="zh-CN"/>
        </w:rPr>
        <w:t>图 5：第 1 组融合，668×558。道路和屋顶在重叠区域基本连续。</w:t>
      </w:r>
    </w:p>
    <w:p w14:paraId="6707B7B0">
      <w:pPr>
        <w:keepNext/>
        <w:spacing w:after="60" w:line="240" w:lineRule="auto"/>
        <w:jc w:val="center"/>
      </w:pPr>
      <w:r>
        <w:drawing>
          <wp:inline distT="0" distB="0" distL="0" distR="0">
            <wp:extent cx="4214495" cy="2336800"/>
            <wp:effectExtent l="0" t="0" r="0" b="0"/>
            <wp:docPr id="8" name="Picture 8" descr="图 6：第 2 组融合，1176×652。湖岸、树木与倒影组成更宽的视野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图 6：第 2 组融合，1176×652。湖岸、树木与倒影组成更宽的视野。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14841" cy="233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EDAC4">
      <w:pPr>
        <w:pStyle w:val="15"/>
        <w:spacing w:after="160" w:line="260" w:lineRule="exact"/>
        <w:jc w:val="center"/>
        <w:rPr>
          <w:lang w:eastAsia="zh-CN"/>
        </w:rPr>
      </w:pPr>
      <w:r>
        <w:rPr>
          <w:b w:val="0"/>
          <w:lang w:eastAsia="zh-CN"/>
        </w:rPr>
        <w:t>图 6：第 2 组融合，1176×652。湖岸、树木与倒影组成更宽的视野。</w:t>
      </w:r>
    </w:p>
    <w:p w14:paraId="70BB6665">
      <w:pPr>
        <w:ind w:firstLine="416"/>
        <w:rPr>
          <w:rFonts w:hint="eastAsia"/>
          <w:lang w:eastAsia="zh-CN"/>
        </w:rPr>
      </w:pPr>
      <w:r>
        <w:rPr>
          <w:lang w:eastAsia="zh-CN"/>
        </w:rPr>
        <w:t>本实验复用了提供的 stitch_blend；输出浮点 BGR 色值在保存前 clip 到 [0,255] 并转换为 uint8</w:t>
      </w:r>
      <w:r>
        <w:rPr>
          <w:rFonts w:hint="eastAsia"/>
          <w:lang w:eastAsia="zh-CN"/>
        </w:rPr>
        <w:t>。</w:t>
      </w:r>
    </w:p>
    <w:p w14:paraId="60541EAF">
      <w:pPr>
        <w:rPr>
          <w:lang w:eastAsia="zh-CN"/>
        </w:rPr>
      </w:pPr>
      <w:r>
        <w:rPr>
          <w:lang w:eastAsia="zh-CN"/>
        </w:rPr>
        <w:br w:type="page"/>
      </w:r>
    </w:p>
    <w:p w14:paraId="162A124B">
      <w:pPr>
        <w:pStyle w:val="4"/>
      </w:pPr>
      <w:r>
        <w:t>4.3.1  第 3 组与额外旋转图像对</w:t>
      </w:r>
    </w:p>
    <w:p w14:paraId="670C7E3E">
      <w:pPr>
        <w:keepNext/>
        <w:spacing w:after="60" w:line="240" w:lineRule="auto"/>
        <w:jc w:val="center"/>
      </w:pPr>
      <w:r>
        <w:drawing>
          <wp:inline distT="0" distB="0" distL="0" distR="0">
            <wp:extent cx="4591050" cy="2743200"/>
            <wp:effectExtent l="0" t="0" r="0" b="0"/>
            <wp:docPr id="9" name="Picture 9" descr="图 7：第 3 组融合，559×334。山体总体对齐，但天空存在亮度接缝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图 7：第 3 组融合，559×334。山体总体对齐，但天空存在亮度接缝。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91164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D9B93">
      <w:pPr>
        <w:pStyle w:val="15"/>
        <w:spacing w:after="160" w:line="260" w:lineRule="exact"/>
        <w:jc w:val="center"/>
        <w:rPr>
          <w:lang w:eastAsia="zh-CN"/>
        </w:rPr>
      </w:pPr>
      <w:r>
        <w:rPr>
          <w:b w:val="0"/>
          <w:lang w:eastAsia="zh-CN"/>
        </w:rPr>
        <w:t>图 7：第 3 组融合，559×334。山体总体对齐，但天空存在亮度接缝。</w:t>
      </w:r>
      <w:r>
        <w:rPr>
          <w:lang w:eastAsia="zh-CN"/>
        </w:rPr>
        <w:br w:type="page"/>
      </w:r>
    </w:p>
    <w:p w14:paraId="6D3614F7">
      <w:pPr>
        <w:pStyle w:val="3"/>
        <w:rPr>
          <w:lang w:eastAsia="zh-CN"/>
        </w:rPr>
      </w:pPr>
      <w:r>
        <w:rPr>
          <w:lang w:eastAsia="zh-CN"/>
        </w:rPr>
        <w:t>4.4  多帧全景与一次采样</w:t>
      </w:r>
    </w:p>
    <w:p w14:paraId="4ECF3B45">
      <w:pPr>
        <w:ind w:firstLine="416"/>
        <w:rPr>
          <w:lang w:eastAsia="zh-CN"/>
        </w:rPr>
      </w:pPr>
      <w:r>
        <w:rPr>
          <w:lang w:eastAsia="zh-CN"/>
        </w:rPr>
        <w:t>四个场景分别选取按文件名自然排序后的连续 5 帧，符合 Q4.4 的基础要求。以中间帧为参考，只在相邻原始图像间匹配，再把相邻单应矩阵连乘到参考坐标系；不把已经融合的全景重新用于角点匹配。</w:t>
      </w:r>
    </w:p>
    <w:p w14:paraId="7F21A380">
      <w:pPr>
        <w:spacing w:line="240" w:lineRule="auto"/>
        <w:jc w:val="center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/>
                <w:rPr>
                  <w:rFonts w:ascii="Cambria Math" w:hAnsi="Cambria Math"/>
                </w:rPr>
                <m:t>H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m:rPr/>
                <w:rPr>
                  <w:rFonts w:ascii="Cambria Math" w:hAnsi="Cambria Math"/>
                </w:rPr>
                <m:t>01</m:t>
              </m:r>
              <m:ctrlPr>
                <w:rPr>
                  <w:rFonts w:ascii="Cambria Math" w:hAnsi="Cambria Math"/>
                </w:rPr>
              </m:ctrlPr>
            </m:sub>
          </m:sSub>
          <m:r>
            <m:rPr/>
            <w:rPr>
              <w:rFonts w:ascii="Cambria Math" w:hAnsi="Cambria Math"/>
            </w:rPr>
            <m:t xml:space="preserve">: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/>
                <w:rPr>
                  <w:rFonts w:ascii="Cambria Math" w:hAnsi="Cambria Math"/>
                </w:rPr>
                <m:t>I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m:rPr/>
                <w:rPr>
                  <w:rFonts w:ascii="Cambria Math" w:hAnsi="Cambria Math"/>
                </w:rPr>
                <m:t>0</m:t>
              </m:r>
              <m:ctrlPr>
                <w:rPr>
                  <w:rFonts w:ascii="Cambria Math" w:hAnsi="Cambria Math"/>
                </w:rPr>
              </m:ctrlPr>
            </m:sub>
          </m:sSub>
          <m:r>
            <m:rPr/>
            <w:rPr>
              <w:rFonts w:ascii="Cambria Math" w:hAnsi="Cambria Math"/>
            </w:rPr>
            <m:t xml:space="preserve"> →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/>
                <w:rPr>
                  <w:rFonts w:ascii="Cambria Math" w:hAnsi="Cambria Math"/>
                </w:rPr>
                <m:t>I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m:rPr/>
                <w:rPr>
                  <w:rFonts w:ascii="Cambria Math" w:hAnsi="Cambria Math"/>
                </w:rPr>
                <m:t>1</m:t>
              </m:r>
              <m:ctrlPr>
                <w:rPr>
                  <w:rFonts w:ascii="Cambria Math" w:hAnsi="Cambria Math"/>
                </w:rPr>
              </m:ctrlPr>
            </m:sub>
          </m:sSub>
          <m:r>
            <m:rPr/>
            <w:rPr>
              <w:rFonts w:ascii="Cambria Math" w:hAnsi="Cambria Math"/>
            </w:rPr>
            <m:t xml:space="preserve">，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/>
                <w:rPr>
                  <w:rFonts w:ascii="Cambria Math" w:hAnsi="Cambria Math"/>
                </w:rPr>
                <m:t>H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m:rPr/>
                <w:rPr>
                  <w:rFonts w:ascii="Cambria Math" w:hAnsi="Cambria Math"/>
                </w:rPr>
                <m:t>12</m:t>
              </m:r>
              <m:ctrlPr>
                <w:rPr>
                  <w:rFonts w:ascii="Cambria Math" w:hAnsi="Cambria Math"/>
                </w:rPr>
              </m:ctrlPr>
            </m:sub>
          </m:sSub>
          <m:r>
            <m:rPr/>
            <w:rPr>
              <w:rFonts w:ascii="Cambria Math" w:hAnsi="Cambria Math"/>
            </w:rPr>
            <m:t xml:space="preserve">: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/>
                <w:rPr>
                  <w:rFonts w:ascii="Cambria Math" w:hAnsi="Cambria Math"/>
                </w:rPr>
                <m:t>I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m:rPr/>
                <w:rPr>
                  <w:rFonts w:ascii="Cambria Math" w:hAnsi="Cambria Math"/>
                </w:rPr>
                <m:t>1</m:t>
              </m:r>
              <m:ctrlPr>
                <w:rPr>
                  <w:rFonts w:ascii="Cambria Math" w:hAnsi="Cambria Math"/>
                </w:rPr>
              </m:ctrlPr>
            </m:sub>
          </m:sSub>
          <m:r>
            <m:rPr/>
            <w:rPr>
              <w:rFonts w:ascii="Cambria Math" w:hAnsi="Cambria Math"/>
            </w:rPr>
            <m:t xml:space="preserve"> →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/>
                <w:rPr>
                  <w:rFonts w:ascii="Cambria Math" w:hAnsi="Cambria Math"/>
                </w:rPr>
                <m:t>I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m:rPr/>
                <w:rPr>
                  <w:rFonts w:ascii="Cambria Math" w:hAnsi="Cambria Math"/>
                </w:rPr>
                <m:t>2</m:t>
              </m:r>
              <m:ctrlPr>
                <w:rPr>
                  <w:rFonts w:ascii="Cambria Math" w:hAnsi="Cambria Math"/>
                </w:rPr>
              </m:ctrlPr>
            </m:sub>
          </m:sSub>
          <m:r>
            <m:rPr/>
            <w:rPr>
              <w:rFonts w:ascii="Cambria Math" w:hAnsi="Cambria Math"/>
            </w:rPr>
            <m:t xml:space="preserve">，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/>
                <w:rPr>
                  <w:rFonts w:ascii="Cambria Math" w:hAnsi="Cambria Math"/>
                </w:rPr>
                <m:t>H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m:rPr/>
                <w:rPr>
                  <w:rFonts w:ascii="Cambria Math" w:hAnsi="Cambria Math"/>
                </w:rPr>
                <m:t>02</m:t>
              </m:r>
              <m:ctrlPr>
                <w:rPr>
                  <w:rFonts w:ascii="Cambria Math" w:hAnsi="Cambria Math"/>
                </w:rPr>
              </m:ctrlPr>
            </m:sub>
          </m:sSub>
          <m:r>
            <m:rPr/>
            <w:rPr>
              <w:rFonts w:ascii="Cambria Math" w:hAnsi="Cambria Math"/>
            </w:rPr>
            <m:t xml:space="preserve"> =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/>
                <w:rPr>
                  <w:rFonts w:ascii="Cambria Math" w:hAnsi="Cambria Math"/>
                </w:rPr>
                <m:t>H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m:rPr/>
                <w:rPr>
                  <w:rFonts w:ascii="Cambria Math" w:hAnsi="Cambria Math"/>
                </w:rPr>
                <m:t>12</m:t>
              </m:r>
              <m:ctrlPr>
                <w:rPr>
                  <w:rFonts w:ascii="Cambria Math" w:hAnsi="Cambria Math"/>
                </w:rPr>
              </m:ctrlP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/>
                <w:rPr>
                  <w:rFonts w:ascii="Cambria Math" w:hAnsi="Cambria Math"/>
                </w:rPr>
                <m:t>H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m:rPr/>
                <w:rPr>
                  <w:rFonts w:ascii="Cambria Math" w:hAnsi="Cambria Math"/>
                </w:rPr>
                <m:t>01</m:t>
              </m:r>
              <m:ctrlPr>
                <w:rPr>
                  <w:rFonts w:ascii="Cambria Math" w:hAnsi="Cambria Math"/>
                </w:rPr>
              </m:ctrlPr>
            </m:sub>
          </m:sSub>
        </m:oMath>
      </m:oMathPara>
    </w:p>
    <w:p w14:paraId="488A52BF">
      <w:pPr>
        <w:ind w:firstLine="416"/>
        <w:rPr>
          <w:lang w:eastAsia="zh-CN"/>
        </w:rPr>
      </w:pPr>
      <w:r>
        <w:rPr>
          <w:lang w:eastAsia="zh-CN"/>
        </w:rPr>
        <w:t>以 5 帧 I</w:t>
      </w:r>
      <w:r>
        <w:rPr>
          <w:vertAlign w:val="subscript"/>
          <w:lang w:eastAsia="zh-CN"/>
        </w:rPr>
        <w:t>0</w:t>
      </w:r>
      <w:r>
        <w:rPr>
          <w:lang w:eastAsia="zh-CN"/>
        </w:rPr>
        <w:t>…I</w:t>
      </w:r>
      <w:r>
        <w:rPr>
          <w:vertAlign w:val="subscript"/>
          <w:lang w:eastAsia="zh-CN"/>
        </w:rPr>
        <w:t>4</w:t>
      </w:r>
      <w:r>
        <w:rPr>
          <w:lang w:eastAsia="zh-CN"/>
        </w:rPr>
        <w:t xml:space="preserve"> 和参考帧 I</w:t>
      </w:r>
      <w:r>
        <w:rPr>
          <w:vertAlign w:val="subscript"/>
          <w:lang w:eastAsia="zh-CN"/>
        </w:rPr>
        <w:t>2</w:t>
      </w:r>
      <w:r>
        <w:rPr>
          <w:lang w:eastAsia="zh-CN"/>
        </w:rPr>
        <w:t xml:space="preserve"> 为例，左侧变换为 H</w:t>
      </w:r>
      <w:r>
        <w:rPr>
          <w:vertAlign w:val="subscript"/>
          <w:lang w:eastAsia="zh-CN"/>
        </w:rPr>
        <w:t>02</w:t>
      </w:r>
      <w:r>
        <w:rPr>
          <w:lang w:eastAsia="zh-CN"/>
        </w:rPr>
        <w:t>=H</w:t>
      </w:r>
      <w:r>
        <w:rPr>
          <w:vertAlign w:val="subscript"/>
          <w:lang w:eastAsia="zh-CN"/>
        </w:rPr>
        <w:t>12</w:t>
      </w:r>
      <w:r>
        <w:rPr>
          <w:lang w:eastAsia="zh-CN"/>
        </w:rPr>
        <w:t>H</w:t>
      </w:r>
      <w:r>
        <w:rPr>
          <w:vertAlign w:val="subscript"/>
          <w:lang w:eastAsia="zh-CN"/>
        </w:rPr>
        <w:t>01</w:t>
      </w:r>
      <w:r>
        <w:rPr>
          <w:lang w:eastAsia="zh-CN"/>
        </w:rPr>
        <w:t>，H</w:t>
      </w:r>
      <w:r>
        <w:rPr>
          <w:vertAlign w:val="subscript"/>
          <w:lang w:eastAsia="zh-CN"/>
        </w:rPr>
        <w:t>12</w:t>
      </w:r>
      <w:r>
        <w:rPr>
          <w:lang w:eastAsia="zh-CN"/>
        </w:rPr>
        <w:t>；右侧类似沿相反方向组合。这里的矩阵连乘只计算坐标变换，不对图像插值。先确定全部变换及共同画布，再对每张原始图像调用一次颜色 remap，同时映射覆盖掩码，最后在全局画布累计并归一化。</w:t>
      </w:r>
    </w:p>
    <w:p w14:paraId="7D953CEE">
      <w:pPr>
        <w:ind w:firstLine="416"/>
        <w:rPr>
          <w:lang w:eastAsia="zh-CN"/>
        </w:rPr>
      </w:pPr>
      <w:r>
        <w:rPr>
          <w:lang w:eastAsia="zh-CN"/>
        </w:rPr>
        <w:t>所以“每帧只变换一次”准确地指每帧颜色只重采样一次；它的单应矩阵可以由多次矩阵乘法组成，掩码也需要额外一次 remap。这样避免反复插值造成模糊，并避免中间全景的黑色空洞被当作真实颜色平均。</w:t>
      </w:r>
    </w:p>
    <w:p w14:paraId="614F649B">
      <w:pPr>
        <w:keepNext/>
        <w:spacing w:after="60" w:line="240" w:lineRule="auto"/>
        <w:jc w:val="center"/>
      </w:pPr>
      <w:r>
        <w:drawing>
          <wp:inline distT="0" distB="0" distL="0" distR="0">
            <wp:extent cx="4890770" cy="2209800"/>
            <wp:effectExtent l="0" t="0" r="0" b="0"/>
            <wp:docPr id="11" name="Picture 11" descr="图 9：grail，grail07–grail11，参考帧 grail09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图 9：grail，grail07–grail11，参考帧 grail09。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91062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D368BF">
      <w:pPr>
        <w:pStyle w:val="15"/>
        <w:spacing w:after="160" w:line="260" w:lineRule="exact"/>
        <w:jc w:val="center"/>
      </w:pPr>
      <w:r>
        <w:rPr>
          <w:b w:val="0"/>
        </w:rPr>
        <w:t>图 9：grail，grail07–grail11，参考帧 grail09。</w:t>
      </w:r>
    </w:p>
    <w:p w14:paraId="72664A70">
      <w:pPr>
        <w:keepNext/>
        <w:spacing w:after="60" w:line="240" w:lineRule="auto"/>
        <w:jc w:val="center"/>
      </w:pPr>
      <w:r>
        <w:drawing>
          <wp:inline distT="0" distB="0" distL="0" distR="0">
            <wp:extent cx="5280660" cy="2209800"/>
            <wp:effectExtent l="0" t="0" r="0" b="0"/>
            <wp:docPr id="12" name="Picture 12" descr="图 10：parrington，prtn07–prtn11，参考帧 prtn09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图 10：parrington，prtn07–prtn11，参考帧 prtn09。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80900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2AFD5">
      <w:pPr>
        <w:pStyle w:val="15"/>
        <w:spacing w:after="160" w:line="260" w:lineRule="exact"/>
        <w:jc w:val="center"/>
        <w:rPr>
          <w:lang w:eastAsia="zh-CN"/>
        </w:rPr>
      </w:pPr>
      <w:r>
        <w:rPr>
          <w:b w:val="0"/>
          <w:lang w:eastAsia="zh-CN"/>
        </w:rPr>
        <w:t>图 10：parrington，prtn07–prtn11，参考帧 prtn09。</w:t>
      </w:r>
    </w:p>
    <w:p w14:paraId="6E607609">
      <w:pPr>
        <w:ind w:firstLine="416"/>
        <w:rPr>
          <w:rFonts w:hint="eastAsia"/>
          <w:lang w:eastAsia="zh-CN"/>
        </w:rPr>
      </w:pPr>
      <w:r>
        <w:rPr>
          <w:lang w:eastAsia="zh-CN"/>
        </w:rPr>
        <w:t>两组结果可以观察到连续的场景结构，但仍有曝光接缝和上下无覆盖区域。</w:t>
      </w:r>
    </w:p>
    <w:p w14:paraId="059D3A8C">
      <w:pPr>
        <w:rPr>
          <w:lang w:eastAsia="zh-CN"/>
        </w:rPr>
      </w:pPr>
      <w:r>
        <w:rPr>
          <w:lang w:eastAsia="zh-CN"/>
        </w:rPr>
        <w:br w:type="page"/>
      </w:r>
    </w:p>
    <w:p w14:paraId="7BDBC953">
      <w:pPr>
        <w:pStyle w:val="4"/>
        <w:rPr>
          <w:lang w:eastAsia="zh-CN"/>
        </w:rPr>
      </w:pPr>
      <w:r>
        <w:rPr>
          <w:lang w:eastAsia="zh-CN"/>
        </w:rPr>
        <w:t>4.4.1  宽视角场景与连续帧选择</w:t>
      </w:r>
    </w:p>
    <w:p w14:paraId="39C76565">
      <w:pPr>
        <w:keepNext/>
        <w:spacing w:after="60" w:line="240" w:lineRule="auto"/>
        <w:jc w:val="center"/>
      </w:pPr>
      <w:r>
        <w:drawing>
          <wp:inline distT="0" distB="0" distL="0" distR="0">
            <wp:extent cx="4832985" cy="2870200"/>
            <wp:effectExtent l="0" t="0" r="0" b="0"/>
            <wp:docPr id="13" name="Picture 13" descr="图 11：library，9.jpg–13.jpg，参考帧 11.jpg，3314×1968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图 11：library，9.jpg–13.jpg，参考帧 11.jpg，3314×1968。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833253" cy="287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9B16E">
      <w:pPr>
        <w:pStyle w:val="15"/>
        <w:spacing w:after="160" w:line="260" w:lineRule="exact"/>
        <w:jc w:val="center"/>
      </w:pPr>
      <w:r>
        <w:rPr>
          <w:b w:val="0"/>
        </w:rPr>
        <w:t>图 11：library，9.jpg–13.jpg，参考帧 11.jpg，3314×1968。</w:t>
      </w:r>
    </w:p>
    <w:p w14:paraId="0A68855B">
      <w:pPr>
        <w:keepNext/>
        <w:spacing w:after="60" w:line="240" w:lineRule="auto"/>
        <w:jc w:val="center"/>
      </w:pPr>
      <w:r>
        <w:drawing>
          <wp:inline distT="0" distB="0" distL="0" distR="0">
            <wp:extent cx="4141470" cy="2870200"/>
            <wp:effectExtent l="0" t="0" r="0" b="0"/>
            <wp:docPr id="14" name="Picture 14" descr="图 12：雪山入口，DSC_0173–DSC_0177，参考帧 DSC_0175，2726×1889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图 12：雪山入口，DSC_0173–DSC_0177，参考帧 DSC_0175，2726×1889。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141961" cy="287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0B6F8">
      <w:pPr>
        <w:pStyle w:val="15"/>
        <w:spacing w:after="160" w:line="260" w:lineRule="exact"/>
        <w:jc w:val="center"/>
        <w:rPr>
          <w:lang w:eastAsia="zh-CN"/>
        </w:rPr>
      </w:pPr>
      <w:r>
        <w:rPr>
          <w:b w:val="0"/>
          <w:lang w:eastAsia="zh-CN"/>
        </w:rPr>
        <w:t>图 12：雪山入口，DSC_0173–DSC_0177，参考帧 DSC_0175，2726×1889。</w:t>
      </w:r>
    </w:p>
    <w:p w14:paraId="700829CC">
      <w:pPr>
        <w:ind w:firstLine="416"/>
        <w:rPr>
          <w:rFonts w:hint="eastAsia"/>
          <w:lang w:eastAsia="zh-CN"/>
        </w:rPr>
      </w:pPr>
      <w:r>
        <w:rPr>
          <w:lang w:eastAsia="zh-CN"/>
        </w:rPr>
        <w:t>默认中间 5 帧的 library 与雪山入口出现明显边缘拉伸；雪山入口原窗口包含相邻帧仅 5 个内点的连接。比较候选连续窗口后，选择上述伸展较小的 5 帧。</w:t>
      </w:r>
    </w:p>
    <w:p w14:paraId="2291A88F">
      <w:pPr>
        <w:ind w:firstLine="416"/>
        <w:rPr>
          <w:rFonts w:hint="eastAsia"/>
          <w:lang w:eastAsia="zh-CN"/>
        </w:rPr>
      </w:pPr>
      <w:r>
        <w:rPr>
          <w:lang w:eastAsia="zh-CN"/>
        </w:rPr>
        <w:t>更换窗口后严重拉伸减轻，但 library 边缘仍有透视伸展，雪山入口的近处说明牌有重影，天空有曝光接缝。窗口选择不能消除视差或让平面投影表示完整 360°</w:t>
      </w:r>
      <w:r>
        <w:rPr>
          <w:rFonts w:hint="eastAsia"/>
          <w:lang w:eastAsia="zh-CN"/>
        </w:rPr>
        <w:t>。</w:t>
      </w:r>
      <w:r>
        <w:rPr>
          <w:lang w:eastAsia="zh-CN"/>
        </w:rPr>
        <w:br w:type="page"/>
      </w:r>
    </w:p>
    <w:p w14:paraId="498DCE1D">
      <w:pPr>
        <w:pStyle w:val="3"/>
        <w:pageBreakBefore/>
      </w:pPr>
      <w:r>
        <w:t>5  圆柱投影全景拼接</w:t>
      </w:r>
    </w:p>
    <w:p w14:paraId="5AA1FCB0">
      <w:pPr>
        <w:ind w:firstLine="416"/>
      </w:pPr>
      <w:r>
        <w:rPr>
          <w:rFonts w:ascii="Times New Roman" w:hAnsi="Times New Roman" w:eastAsia="宋体"/>
          <w:b w:val="0"/>
          <w:color w:val="000000"/>
          <w:sz w:val="20"/>
        </w:rPr>
        <w:t>在五帧平面拼接的基础上，本实验增加圆柱投影，使用各场景的完整序列生成一圈全景。平面投影在大视角下容易出现边缘拉伸；圆柱将水平方向角映射为弧长，能够表示完整水平视野。</w:t>
      </w:r>
    </w:p>
    <w:p w14:paraId="788D868B">
      <w:pPr>
        <w:pStyle w:val="4"/>
      </w:pPr>
      <w:r>
        <w:t>5.1  圆柱坐标与投影推导</w:t>
      </w:r>
    </w:p>
    <w:p w14:paraId="5BB6235A">
      <w:pPr>
        <w:ind w:firstLine="416"/>
      </w:pPr>
      <w:r>
        <w:rPr>
          <w:rFonts w:ascii="Times New Roman" w:hAnsi="Times New Roman" w:eastAsia="宋体"/>
          <w:b w:val="0"/>
          <w:color w:val="000000"/>
          <w:sz w:val="20"/>
        </w:rPr>
        <w:t>设原图像素为 (x,y)，主点位于图像中心 (cₓ,cᵧ)，焦距 f 以像素为单位。假设方形像素，暂不考虑镜头畸变。令 X=x−cₓ、Y=y−cᵧ，像素对应的光线方向为 (X,Y,f)。取半径 f、轴沿竖直方向的圆柱，光线上的交点为 t(X,Y,f)。</w:t>
      </w:r>
    </w:p>
    <w:p w14:paraId="05254E81">
      <w:pPr>
        <w:spacing w:after="180" w:line="252" w:lineRule="auto"/>
        <w:jc w:val="center"/>
      </w:pPr>
      <m:oMathPara>
        <m:oMath>
          <m:sSup>
            <m:sSupPr/>
            <m:e>
              <m:sSub>
                <m:sSubPr/>
                <m:e>
                  <m:r>
                    <m:rPr/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m:rPr/>
                    <w:rPr>
                      <w:rFonts w:ascii="Cambria Math" w:hAnsi="Cambria Math"/>
                    </w:rPr>
                    <m:t>c</m:t>
                  </m:r>
                </m:sub>
              </m:sSub>
            </m:e>
            <m:sup>
              <m:r>
                <m:rPr/>
                <w:rPr>
                  <w:rFonts w:ascii="Cambria Math" w:hAnsi="Cambria Math"/>
                </w:rPr>
                <m:t>2</m:t>
              </m:r>
            </m:sup>
          </m:sSup>
          <m:r>
            <m:rPr/>
            <w:rPr>
              <w:rFonts w:ascii="Cambria Math" w:hAnsi="Cambria Math"/>
            </w:rPr>
            <m:t xml:space="preserve"> + </m:t>
          </m:r>
          <m:sSup>
            <m:sSupPr/>
            <m:e>
              <m:sSub>
                <m:sSubPr/>
                <m:e>
                  <m:r>
                    <m:rPr/>
                    <w:rPr>
                      <w:rFonts w:ascii="Cambria Math" w:hAnsi="Cambria Math"/>
                    </w:rPr>
                    <m:t>Z</m:t>
                  </m:r>
                </m:e>
                <m:sub>
                  <m:r>
                    <m:rPr/>
                    <w:rPr>
                      <w:rFonts w:ascii="Cambria Math" w:hAnsi="Cambria Math"/>
                    </w:rPr>
                    <m:t>c</m:t>
                  </m:r>
                </m:sub>
              </m:sSub>
            </m:e>
            <m:sup>
              <m:r>
                <m:rPr/>
                <w:rPr>
                  <w:rFonts w:ascii="Cambria Math" w:hAnsi="Cambria Math"/>
                </w:rPr>
                <m:t>2</m:t>
              </m:r>
            </m:sup>
          </m:sSup>
          <m:r>
            <m:rPr/>
            <w:rPr>
              <w:rFonts w:ascii="Cambria Math" w:hAnsi="Cambria Math"/>
            </w:rPr>
            <m:t xml:space="preserve"> = </m:t>
          </m:r>
          <m:sSup>
            <m:sSupPr/>
            <m:e>
              <m:r>
                <m:rPr/>
                <w:rPr>
                  <w:rFonts w:ascii="Cambria Math" w:hAnsi="Cambria Math"/>
                </w:rPr>
                <m:t>f</m:t>
              </m:r>
            </m:e>
            <m:sup>
              <m:r>
                <m:rPr/>
                <w:rPr>
                  <w:rFonts w:ascii="Cambria Math" w:hAnsi="Cambria Math"/>
                </w:rPr>
                <m:t>2</m:t>
              </m:r>
            </m:sup>
          </m:sSup>
          <m:r>
            <m:rPr/>
            <w:rPr>
              <w:rFonts w:ascii="Cambria Math" w:hAnsi="Cambria Math"/>
            </w:rPr>
            <m:t xml:space="preserve">， t = </m:t>
          </m:r>
          <m:f>
            <m:fPr/>
            <m:num>
              <m:r>
                <m:rPr/>
                <w:rPr>
                  <w:rFonts w:ascii="Cambria Math" w:hAnsi="Cambria Math"/>
                </w:rPr>
                <m:t>f</m:t>
              </m:r>
            </m:num>
            <m:den>
              <m:rad>
                <m:radPr>
                  <m:degHide m:val="1"/>
                </m:radPr>
                <m:deg/>
                <m:e>
                  <m:sSup>
                    <m:sSupPr/>
                    <m:e>
                      <m:r>
                        <m:rPr/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m:rPr/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m:rPr/>
                    <w:rPr>
                      <w:rFonts w:ascii="Cambria Math" w:hAnsi="Cambria Math"/>
                    </w:rPr>
                    <m:t xml:space="preserve"> + </m:t>
                  </m:r>
                  <m:sSup>
                    <m:sSupPr/>
                    <m:e>
                      <m:r>
                        <m:rPr/>
                        <w:rPr>
                          <w:rFonts w:ascii="Cambria Math" w:hAnsi="Cambria Math"/>
                        </w:rPr>
                        <m:t>f</m:t>
                      </m:r>
                    </m:e>
                    <m:sup>
                      <m:r>
                        <m:rPr/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rad>
            </m:den>
          </m:f>
        </m:oMath>
      </m:oMathPara>
    </w:p>
    <w:p w14:paraId="758BF7A1">
      <w:pPr>
        <w:ind w:firstLine="416"/>
      </w:pPr>
      <w:r>
        <w:rPr>
          <w:rFonts w:ascii="Times New Roman" w:hAnsi="Times New Roman" w:eastAsia="宋体"/>
          <w:b w:val="0"/>
          <w:color w:val="000000"/>
          <w:sz w:val="20"/>
        </w:rPr>
        <w:t>圆柱表面用 (u,v) 参数化：u 是水平方向的弧长，v 是交点高度。沿用图像坐标方向，v 向下为正。圆柱展开后，(u,v) 就是二维画布坐标。</w:t>
      </w:r>
    </w:p>
    <w:p w14:paraId="43817060">
      <w:pPr>
        <w:spacing w:after="180" w:line="252" w:lineRule="auto"/>
        <w:jc w:val="center"/>
      </w:pPr>
      <m:oMathPara>
        <m:oMath>
          <m:r>
            <m:rPr/>
            <w:rPr>
              <w:rFonts w:ascii="Cambria Math" w:hAnsi="Cambria Math"/>
            </w:rPr>
            <m:t>(</m:t>
          </m:r>
          <m:sSub>
            <m:sSubPr/>
            <m:e>
              <m:r>
                <m:rPr/>
                <w:rPr>
                  <w:rFonts w:ascii="Cambria Math" w:hAnsi="Cambria Math"/>
                </w:rPr>
                <m:t>X</m:t>
              </m:r>
            </m:e>
            <m:sub>
              <m:r>
                <m:rPr/>
                <w:rPr>
                  <w:rFonts w:ascii="Cambria Math" w:hAnsi="Cambria Math"/>
                </w:rPr>
                <m:t>c</m:t>
              </m:r>
            </m:sub>
          </m:sSub>
          <m:r>
            <m:rPr/>
            <w:rPr>
              <w:rFonts w:ascii="Cambria Math" w:hAnsi="Cambria Math"/>
            </w:rPr>
            <m:t xml:space="preserve">, </m:t>
          </m:r>
          <m:sSub>
            <m:sSubPr/>
            <m:e>
              <m:r>
                <m:rPr/>
                <w:rPr>
                  <w:rFonts w:ascii="Cambria Math" w:hAnsi="Cambria Math"/>
                </w:rPr>
                <m:t>Y</m:t>
              </m:r>
            </m:e>
            <m:sub>
              <m:r>
                <m:rPr/>
                <w:rPr>
                  <w:rFonts w:ascii="Cambria Math" w:hAnsi="Cambria Math"/>
                </w:rPr>
                <m:t>c</m:t>
              </m:r>
            </m:sub>
          </m:sSub>
          <m:r>
            <m:rPr/>
            <w:rPr>
              <w:rFonts w:ascii="Cambria Math" w:hAnsi="Cambria Math"/>
            </w:rPr>
            <m:t xml:space="preserve">, </m:t>
          </m:r>
          <m:sSub>
            <m:sSubPr/>
            <m:e>
              <m:r>
                <m:rPr/>
                <w:rPr>
                  <w:rFonts w:ascii="Cambria Math" w:hAnsi="Cambria Math"/>
                </w:rPr>
                <m:t>Z</m:t>
              </m:r>
            </m:e>
            <m:sub>
              <m:r>
                <m:rPr/>
                <w:rPr>
                  <w:rFonts w:ascii="Cambria Math" w:hAnsi="Cambria Math"/>
                </w:rPr>
                <m:t>c</m:t>
              </m:r>
            </m:sub>
          </m:sSub>
          <m:r>
            <m:rPr/>
            <w:rPr>
              <w:rFonts w:ascii="Cambria Math" w:hAnsi="Cambria Math"/>
            </w:rPr>
            <m:t>) = (f sin(u/f), v, f cos(u/f))</m:t>
          </m:r>
        </m:oMath>
      </m:oMathPara>
    </w:p>
    <w:p w14:paraId="236D3826">
      <w:pPr>
        <w:spacing w:after="180" w:line="252" w:lineRule="auto"/>
        <w:jc w:val="center"/>
      </w:pPr>
      <m:oMathPara>
        <m:oMath>
          <m:r>
            <m:rPr/>
            <w:rPr>
              <w:rFonts w:ascii="Cambria Math" w:hAnsi="Cambria Math"/>
            </w:rPr>
            <m:t xml:space="preserve">u = f atan2(X, f)， v = </m:t>
          </m:r>
          <m:f>
            <m:fPr/>
            <m:num>
              <m:r>
                <m:rPr/>
                <w:rPr>
                  <w:rFonts w:ascii="Cambria Math" w:hAnsi="Cambria Math"/>
                </w:rPr>
                <m:t>fY</m:t>
              </m:r>
            </m:num>
            <m:den>
              <m:rad>
                <m:radPr>
                  <m:degHide m:val="1"/>
                </m:radPr>
                <m:deg/>
                <m:e>
                  <m:sSup>
                    <m:sSupPr/>
                    <m:e>
                      <m:r>
                        <m:rPr/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m:rPr/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m:rPr/>
                    <w:rPr>
                      <w:rFonts w:ascii="Cambria Math" w:hAnsi="Cambria Math"/>
                    </w:rPr>
                    <m:t xml:space="preserve"> + </m:t>
                  </m:r>
                  <m:sSup>
                    <m:sSupPr/>
                    <m:e>
                      <m:r>
                        <m:rPr/>
                        <w:rPr>
                          <w:rFonts w:ascii="Cambria Math" w:hAnsi="Cambria Math"/>
                        </w:rPr>
                        <m:t>f</m:t>
                      </m:r>
                    </m:e>
                    <m:sup>
                      <m:r>
                        <m:rPr/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rad>
            </m:den>
          </m:f>
        </m:oMath>
      </m:oMathPara>
    </w:p>
    <w:p w14:paraId="2D0BEEEB">
      <w:pPr>
        <w:ind w:firstLine="416"/>
      </w:pPr>
      <w:r>
        <w:rPr>
          <w:rFonts w:ascii="Times New Roman" w:hAnsi="Times New Roman" w:eastAsia="宋体"/>
          <w:b w:val="0"/>
          <w:color w:val="000000"/>
          <w:sz w:val="20"/>
        </w:rPr>
        <w:t>该映射包含反三角函数及开方，因此不能用固定的 3×3 单应矩阵表示。cylindrical_points 将原图匹配点转换到以各自光轴为原点的圆柱展开坐标。</w:t>
      </w:r>
    </w:p>
    <w:p w14:paraId="5A8C01FD">
      <w:pPr>
        <w:keepNext/>
        <w:spacing w:after="60" w:line="240" w:lineRule="auto"/>
        <w:jc w:val="center"/>
      </w:pPr>
      <w:r>
        <w:drawing>
          <wp:inline distT="0" distB="0" distL="114300" distR="114300">
            <wp:extent cx="5612130" cy="1721485"/>
            <wp:effectExtent l="0" t="0" r="1270" b="5715"/>
            <wp:docPr id="15" name="Picture 15" descr="图 13  原图 圆柱投影及覆盖率掩码  白色表示有效覆盖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图 13  原图 圆柱投影及覆盖率掩码  白色表示有效覆盖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12384" cy="1721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83A41">
      <w:pPr>
        <w:pStyle w:val="15"/>
        <w:spacing w:after="160" w:line="260" w:lineRule="exact"/>
        <w:jc w:val="center"/>
      </w:pPr>
      <w:r>
        <w:rPr>
          <w:rFonts w:ascii="Times New Roman" w:hAnsi="Times New Roman" w:eastAsia="宋体"/>
          <w:b w:val="0"/>
          <w:color w:val="000000"/>
          <w:sz w:val="18"/>
        </w:rPr>
        <w:t>图 13  原图 圆柱投影及覆盖率掩码  白色表示有效覆盖</w:t>
      </w:r>
    </w:p>
    <w:p w14:paraId="2DE029BC">
      <w:pPr>
        <w:pStyle w:val="3"/>
        <w:pageBreakBefore/>
      </w:pPr>
      <w:r>
        <w:t>5.2  圆柱对齐与逆向采样</w:t>
      </w:r>
    </w:p>
    <w:p w14:paraId="1D011038">
      <w:pPr>
        <w:ind w:firstLine="416"/>
      </w:pPr>
      <w:r>
        <w:rPr>
          <w:rFonts w:ascii="Times New Roman" w:hAnsi="Times New Roman" w:eastAsia="宋体"/>
          <w:b w:val="0"/>
          <w:color w:val="000000"/>
          <w:sz w:val="20"/>
        </w:rPr>
        <w:t>令同一景物的世界水平方向为 α，第 i 帧相机朝向为 ψ</w:t>
      </w:r>
      <w:r>
        <w:rPr>
          <w:rFonts w:ascii="Times New Roman" w:hAnsi="Times New Roman" w:eastAsia="宋体"/>
          <w:b w:val="0"/>
          <w:color w:val="000000"/>
          <w:sz w:val="20"/>
          <w:vertAlign w:val="subscript"/>
        </w:rPr>
        <w:t>i</w:t>
      </w:r>
      <w:r>
        <w:rPr>
          <w:rFonts w:ascii="Times New Roman" w:hAnsi="Times New Roman" w:eastAsia="宋体"/>
          <w:b w:val="0"/>
          <w:color w:val="000000"/>
          <w:sz w:val="20"/>
        </w:rPr>
        <w:t>。同一光心处的水平旋转使局部方向变为 α−ψ</w:t>
      </w:r>
      <w:r>
        <w:rPr>
          <w:rFonts w:ascii="Times New Roman" w:hAnsi="Times New Roman" w:eastAsia="宋体"/>
          <w:b w:val="0"/>
          <w:color w:val="000000"/>
          <w:sz w:val="20"/>
          <w:vertAlign w:val="subscript"/>
        </w:rPr>
        <w:t>i</w:t>
      </w:r>
      <w:r>
        <w:rPr>
          <w:rFonts w:ascii="Times New Roman" w:hAnsi="Times New Roman" w:eastAsia="宋体"/>
          <w:b w:val="0"/>
          <w:color w:val="000000"/>
          <w:sz w:val="20"/>
        </w:rPr>
        <w:t>，因此圆柱横坐标满足下式。</w:t>
      </w:r>
    </w:p>
    <w:p w14:paraId="30CB4A33">
      <w:pPr>
        <w:spacing w:after="180" w:line="252" w:lineRule="auto"/>
        <w:jc w:val="center"/>
      </w:pPr>
      <m:oMathPara>
        <m:oMath>
          <m:sSub>
            <m:sSubPr/>
            <m:e>
              <m:r>
                <m:rPr/>
                <w:rPr>
                  <w:rFonts w:ascii="Cambria Math" w:hAnsi="Cambria Math"/>
                </w:rPr>
                <m:t>u</m:t>
              </m:r>
            </m:e>
            <m:sub>
              <m:r>
                <m:rPr/>
                <w:rPr>
                  <w:rFonts w:ascii="Cambria Math" w:hAnsi="Cambria Math"/>
                </w:rPr>
                <m:t>i</m:t>
              </m:r>
            </m:sub>
          </m:sSub>
          <m:r>
            <m:rPr/>
            <w:rPr>
              <w:rFonts w:ascii="Cambria Math" w:hAnsi="Cambria Math"/>
            </w:rPr>
            <m:t xml:space="preserve"> = f(α − </m:t>
          </m:r>
          <m:sSub>
            <m:sSubPr/>
            <m:e>
              <m:r>
                <m:rPr/>
                <w:rPr>
                  <w:rFonts w:ascii="Cambria Math" w:hAnsi="Cambria Math"/>
                </w:rPr>
                <m:t>ψ</m:t>
              </m:r>
            </m:e>
            <m:sub>
              <m:r>
                <m:rPr/>
                <w:rPr>
                  <w:rFonts w:ascii="Cambria Math" w:hAnsi="Cambria Math"/>
                </w:rPr>
                <m:t>i</m:t>
              </m:r>
            </m:sub>
          </m:sSub>
          <m:r>
            <m:rPr/>
            <w:rPr>
              <w:rFonts w:ascii="Cambria Math" w:hAnsi="Cambria Math"/>
            </w:rPr>
            <m:t xml:space="preserve">)， </m:t>
          </m:r>
          <m:sSub>
            <m:sSubPr/>
            <m:e>
              <m:r>
                <m:rPr/>
                <w:rPr>
                  <w:rFonts w:ascii="Cambria Math" w:hAnsi="Cambria Math"/>
                </w:rPr>
                <m:t>u</m:t>
              </m:r>
            </m:e>
            <m:sub>
              <m:r>
                <m:rPr/>
                <w:rPr>
                  <w:rFonts w:ascii="Cambria Math" w:hAnsi="Cambria Math"/>
                </w:rPr>
                <m:t>ref</m:t>
              </m:r>
            </m:sub>
          </m:sSub>
          <m:r>
            <m:rPr/>
            <w:rPr>
              <w:rFonts w:ascii="Cambria Math" w:hAnsi="Cambria Math"/>
            </w:rPr>
            <m:t xml:space="preserve"> − </m:t>
          </m:r>
          <m:sSub>
            <m:sSubPr/>
            <m:e>
              <m:r>
                <m:rPr/>
                <w:rPr>
                  <w:rFonts w:ascii="Cambria Math" w:hAnsi="Cambria Math"/>
                </w:rPr>
                <m:t>u</m:t>
              </m:r>
            </m:e>
            <m:sub>
              <m:r>
                <m:rPr/>
                <w:rPr>
                  <w:rFonts w:ascii="Cambria Math" w:hAnsi="Cambria Math"/>
                </w:rPr>
                <m:t>i</m:t>
              </m:r>
            </m:sub>
          </m:sSub>
          <m:r>
            <m:rPr/>
            <w:rPr>
              <w:rFonts w:ascii="Cambria Math" w:hAnsi="Cambria Math"/>
            </w:rPr>
            <m:t xml:space="preserve"> = f(</m:t>
          </m:r>
          <m:sSub>
            <m:sSubPr/>
            <m:e>
              <m:r>
                <m:rPr/>
                <w:rPr>
                  <w:rFonts w:ascii="Cambria Math" w:hAnsi="Cambria Math"/>
                </w:rPr>
                <m:t>ψ</m:t>
              </m:r>
            </m:e>
            <m:sub>
              <m:r>
                <m:rPr/>
                <w:rPr>
                  <w:rFonts w:ascii="Cambria Math" w:hAnsi="Cambria Math"/>
                </w:rPr>
                <m:t>i</m:t>
              </m:r>
            </m:sub>
          </m:sSub>
          <m:r>
            <m:rPr/>
            <w:rPr>
              <w:rFonts w:ascii="Cambria Math" w:hAnsi="Cambria Math"/>
            </w:rPr>
            <m:t xml:space="preserve"> − </m:t>
          </m:r>
          <m:sSub>
            <m:sSubPr/>
            <m:e>
              <m:r>
                <m:rPr/>
                <w:rPr>
                  <w:rFonts w:ascii="Cambria Math" w:hAnsi="Cambria Math"/>
                </w:rPr>
                <m:t>ψ</m:t>
              </m:r>
            </m:e>
            <m:sub>
              <m:r>
                <m:rPr/>
                <w:rPr>
                  <w:rFonts w:ascii="Cambria Math" w:hAnsi="Cambria Math"/>
                </w:rPr>
                <m:t>ref</m:t>
              </m:r>
            </m:sub>
          </m:sSub>
          <m:r>
            <m:rPr/>
            <w:rPr>
              <w:rFonts w:ascii="Cambria Math" w:hAnsi="Cambria Math"/>
            </w:rPr>
            <m:t>)</m:t>
          </m:r>
        </m:oMath>
      </m:oMathPara>
    </w:p>
    <w:p w14:paraId="7BDA4F23">
      <w:pPr>
        <w:ind w:firstLine="416"/>
      </w:pPr>
      <w:r>
        <w:rPr>
          <w:rFonts w:ascii="Times New Roman" w:hAnsi="Times New Roman" w:eastAsia="宋体"/>
          <w:b w:val="0"/>
          <w:color w:val="000000"/>
          <w:sz w:val="20"/>
        </w:rPr>
        <w:t>理想</w:t>
      </w:r>
      <w:r>
        <w:rPr>
          <w:rFonts w:hint="eastAsia"/>
          <w:b w:val="0"/>
          <w:color w:val="000000"/>
          <w:sz w:val="20"/>
          <w:lang w:val="en-US" w:eastAsia="zh-CN"/>
        </w:rPr>
        <w:t>情况下，不同帧之间的对应点只相差一个共同的平移坐标。这里</w:t>
      </w:r>
      <w:r>
        <w:rPr>
          <w:rFonts w:ascii="Times New Roman" w:hAnsi="Times New Roman" w:eastAsia="宋体"/>
          <w:b w:val="0"/>
          <w:color w:val="000000"/>
          <w:sz w:val="20"/>
        </w:rPr>
        <w:t>额外估计纵向平移，近似补偿小范围漂移。匹配仍在原始图片上进行，随后将点转换到圆柱坐标，拟合 q=p+t。</w:t>
      </w:r>
    </w:p>
    <w:p w14:paraId="2E86C007">
      <w:pPr>
        <w:ind w:firstLine="416"/>
      </w:pPr>
      <w:r>
        <w:rPr>
          <w:rFonts w:ascii="Times New Roman" w:hAnsi="Times New Roman" w:eastAsia="宋体"/>
          <w:b w:val="0"/>
          <w:color w:val="000000"/>
          <w:sz w:val="20"/>
        </w:rPr>
        <w:t>一对匹配给出候选位移 q−p。平移 RANSAC 随机抽取一个匹配产生候选，按 3 像素阈值统计内点，选内点最多的模型，再用内点平均位移重拟合。该平均值是内点平方残差之和最小的解，代码最后依据返回位移重新计算内点。</w:t>
      </w:r>
    </w:p>
    <w:p w14:paraId="6B47A9BC">
      <w:pPr>
        <w:spacing w:after="180" w:line="252" w:lineRule="auto"/>
        <w:jc w:val="center"/>
      </w:pPr>
      <m:oMathPara>
        <m:oMath>
          <m:sSub>
            <m:sSubPr/>
            <m:e>
              <m:r>
                <m:rPr/>
                <w:rPr>
                  <w:rFonts w:ascii="Cambria Math" w:hAnsi="Cambria Math"/>
                </w:rPr>
                <m:t>t</m:t>
              </m:r>
            </m:e>
            <m:sub>
              <m:r>
                <m:rPr/>
                <w:rPr>
                  <w:rFonts w:ascii="Cambria Math" w:hAnsi="Cambria Math"/>
                </w:rPr>
                <m:t>i</m:t>
              </m:r>
            </m:sub>
          </m:sSub>
          <m:r>
            <m:rPr/>
            <w:rPr>
              <w:rFonts w:ascii="Cambria Math" w:hAnsi="Cambria Math"/>
            </w:rPr>
            <m:t xml:space="preserve"> = </m:t>
          </m:r>
          <m:f>
            <m:fPr/>
            <m:num>
              <m:r>
                <m:rPr/>
                <w:rPr>
                  <w:rFonts w:ascii="Cambria Math" w:hAnsi="Cambria Math"/>
                </w:rPr>
                <m:t>1</m:t>
              </m:r>
            </m:num>
            <m:den>
              <m:sSub>
                <m:sSubPr/>
                <m:e>
                  <m:r>
                    <m:rPr/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m:rPr/>
                    <w:rPr>
                      <w:rFonts w:ascii="Cambria Math" w:hAnsi="Cambria Math"/>
                    </w:rPr>
                    <m:t>in</m:t>
                  </m:r>
                </m:sub>
              </m:sSub>
            </m:den>
          </m:f>
          <m:r>
            <m:rPr/>
            <w:rPr>
              <w:rFonts w:ascii="Cambria Math" w:hAnsi="Cambria Math"/>
            </w:rPr>
            <m:t xml:space="preserve"> ∑</m:t>
          </m:r>
          <m:sSub>
            <m:sSubPr/>
            <m:e>
              <m:r>
                <m:rPr/>
                <w:rPr>
                  <w:rFonts w:ascii="Cambria Math" w:hAnsi="Cambria Math"/>
                </w:rPr>
                <m:t xml:space="preserve"> </m:t>
              </m:r>
            </m:e>
            <m:sub>
              <m:r>
                <m:rPr/>
                <w:rPr>
                  <w:rFonts w:ascii="Cambria Math" w:hAnsi="Cambria Math"/>
                </w:rPr>
                <m:t>k∈I</m:t>
              </m:r>
            </m:sub>
          </m:sSub>
          <m:r>
            <m:rPr/>
            <w:rPr>
              <w:rFonts w:ascii="Cambria Math" w:hAnsi="Cambria Math"/>
            </w:rPr>
            <m:t>(</m:t>
          </m:r>
          <m:sSub>
            <m:sSubPr/>
            <m:e>
              <m:r>
                <m:rPr/>
                <w:rPr>
                  <w:rFonts w:ascii="Cambria Math" w:hAnsi="Cambria Math"/>
                </w:rPr>
                <m:t>q</m:t>
              </m:r>
            </m:e>
            <m:sub>
              <m:r>
                <m:rPr/>
                <w:rPr>
                  <w:rFonts w:ascii="Cambria Math" w:hAnsi="Cambria Math"/>
                </w:rPr>
                <m:t>k</m:t>
              </m:r>
            </m:sub>
          </m:sSub>
          <m:r>
            <m:rPr/>
            <w:rPr>
              <w:rFonts w:ascii="Cambria Math" w:hAnsi="Cambria Math"/>
            </w:rPr>
            <m:t xml:space="preserve"> − </m:t>
          </m:r>
          <m:sSub>
            <m:sSubPr/>
            <m:e>
              <m:r>
                <m:rPr/>
                <w:rPr>
                  <w:rFonts w:ascii="Cambria Math" w:hAnsi="Cambria Math"/>
                </w:rPr>
                <m:t>p</m:t>
              </m:r>
            </m:e>
            <m:sub>
              <m:r>
                <m:rPr/>
                <w:rPr>
                  <w:rFonts w:ascii="Cambria Math" w:hAnsi="Cambria Math"/>
                </w:rPr>
                <m:t>k</m:t>
              </m:r>
            </m:sub>
          </m:sSub>
          <m:r>
            <m:rPr/>
            <w:rPr>
              <w:rFonts w:ascii="Cambria Math" w:hAnsi="Cambria Math"/>
            </w:rPr>
            <m:t>)</m:t>
          </m:r>
        </m:oMath>
      </m:oMathPara>
    </w:p>
    <w:p w14:paraId="0B96EA54">
      <w:pPr>
        <w:ind w:firstLine="416"/>
      </w:pPr>
      <w:r>
        <w:rPr>
          <w:rFonts w:ascii="Times New Roman" w:hAnsi="Times New Roman" w:eastAsia="宋体"/>
          <w:b w:val="0"/>
          <w:color w:val="000000"/>
          <w:sz w:val="20"/>
        </w:rPr>
        <w:t>定义 t</w:t>
      </w:r>
      <w:r>
        <w:rPr>
          <w:rFonts w:ascii="Times New Roman" w:hAnsi="Times New Roman" w:eastAsia="宋体"/>
          <w:b w:val="0"/>
          <w:color w:val="000000"/>
          <w:sz w:val="20"/>
          <w:vertAlign w:val="subscript"/>
        </w:rPr>
        <w:t>i</w:t>
      </w:r>
      <w:r>
        <w:rPr>
          <w:rFonts w:ascii="Times New Roman" w:hAnsi="Times New Roman" w:eastAsia="宋体"/>
          <w:b w:val="0"/>
          <w:color w:val="000000"/>
          <w:sz w:val="20"/>
        </w:rPr>
        <w:t xml:space="preserve"> 将第 i 帧的局部圆柱坐标映射到第 i−1 帧。累加 a</w:t>
      </w:r>
      <w:r>
        <w:rPr>
          <w:rFonts w:ascii="Times New Roman" w:hAnsi="Times New Roman" w:eastAsia="宋体"/>
          <w:b w:val="0"/>
          <w:color w:val="000000"/>
          <w:sz w:val="20"/>
          <w:vertAlign w:val="subscript"/>
        </w:rPr>
        <w:t>i</w:t>
      </w:r>
      <w:r>
        <w:rPr>
          <w:rFonts w:ascii="Times New Roman" w:hAnsi="Times New Roman" w:eastAsia="宋体"/>
          <w:b w:val="0"/>
          <w:color w:val="000000"/>
          <w:sz w:val="20"/>
        </w:rPr>
        <w:t>=a</w:t>
      </w:r>
      <w:r>
        <w:rPr>
          <w:rFonts w:ascii="Times New Roman" w:hAnsi="Times New Roman" w:eastAsia="宋体"/>
          <w:b w:val="0"/>
          <w:color w:val="000000"/>
          <w:sz w:val="20"/>
          <w:vertAlign w:val="subscript"/>
        </w:rPr>
        <w:t>i</w:t>
      </w:r>
      <w:r>
        <w:rPr>
          <w:rFonts w:ascii="Times New Roman" w:hAnsi="Times New Roman" w:eastAsia="宋体"/>
          <w:b w:val="0"/>
          <w:color w:val="000000"/>
          <w:sz w:val="20"/>
        </w:rPr>
        <w:t>₋</w:t>
      </w:r>
      <w:r>
        <w:rPr>
          <w:rFonts w:ascii="Times New Roman" w:hAnsi="Times New Roman" w:eastAsia="宋体"/>
          <w:b w:val="0"/>
          <w:color w:val="000000"/>
          <w:sz w:val="20"/>
          <w:vertAlign w:val="subscript"/>
        </w:rPr>
        <w:t>1</w:t>
      </w:r>
      <w:r>
        <w:rPr>
          <w:rFonts w:ascii="Times New Roman" w:hAnsi="Times New Roman" w:eastAsia="宋体"/>
          <w:b w:val="0"/>
          <w:color w:val="000000"/>
          <w:sz w:val="20"/>
        </w:rPr>
        <w:t>+t</w:t>
      </w:r>
      <w:r>
        <w:rPr>
          <w:rFonts w:ascii="Times New Roman" w:hAnsi="Times New Roman" w:eastAsia="宋体"/>
          <w:b w:val="0"/>
          <w:color w:val="000000"/>
          <w:sz w:val="20"/>
          <w:vertAlign w:val="subscript"/>
        </w:rPr>
        <w:t>i</w:t>
      </w:r>
      <w:r>
        <w:rPr>
          <w:rFonts w:ascii="Times New Roman" w:hAnsi="Times New Roman" w:eastAsia="宋体"/>
          <w:b w:val="0"/>
          <w:color w:val="000000"/>
          <w:sz w:val="20"/>
        </w:rPr>
        <w:t>，再减去中间帧偏移得到全局对齐。遍历公共画布 (U,V) 时，先取 (u</w:t>
      </w:r>
      <w:r>
        <w:rPr>
          <w:rFonts w:ascii="Times New Roman" w:hAnsi="Times New Roman" w:eastAsia="宋体"/>
          <w:b w:val="0"/>
          <w:color w:val="000000"/>
          <w:sz w:val="20"/>
          <w:vertAlign w:val="subscript"/>
        </w:rPr>
        <w:t>i</w:t>
      </w:r>
      <w:r>
        <w:rPr>
          <w:rFonts w:ascii="Times New Roman" w:hAnsi="Times New Roman" w:eastAsia="宋体"/>
          <w:b w:val="0"/>
          <w:color w:val="000000"/>
          <w:sz w:val="20"/>
        </w:rPr>
        <w:t>,v</w:t>
      </w:r>
      <w:r>
        <w:rPr>
          <w:rFonts w:ascii="Times New Roman" w:hAnsi="Times New Roman" w:eastAsia="宋体"/>
          <w:b w:val="0"/>
          <w:color w:val="000000"/>
          <w:sz w:val="20"/>
          <w:vertAlign w:val="subscript"/>
        </w:rPr>
        <w:t>i</w:t>
      </w:r>
      <w:r>
        <w:rPr>
          <w:rFonts w:ascii="Times New Roman" w:hAnsi="Times New Roman" w:eastAsia="宋体"/>
          <w:b w:val="0"/>
          <w:color w:val="000000"/>
          <w:sz w:val="20"/>
        </w:rPr>
        <w:t>)=(U,V)−a</w:t>
      </w:r>
      <w:r>
        <w:rPr>
          <w:rFonts w:ascii="Times New Roman" w:hAnsi="Times New Roman" w:eastAsia="宋体"/>
          <w:b w:val="0"/>
          <w:color w:val="000000"/>
          <w:sz w:val="20"/>
          <w:vertAlign w:val="subscript"/>
        </w:rPr>
        <w:t>i</w:t>
      </w:r>
      <w:r>
        <w:rPr>
          <w:rFonts w:ascii="Times New Roman" w:hAnsi="Times New Roman" w:eastAsia="宋体"/>
          <w:b w:val="0"/>
          <w:color w:val="000000"/>
          <w:sz w:val="20"/>
        </w:rPr>
        <w:t>，再逆投影到第 i 张原图。</w:t>
      </w:r>
    </w:p>
    <w:p w14:paraId="6489D7D9">
      <w:pPr>
        <w:spacing w:after="180" w:line="252" w:lineRule="auto"/>
        <w:jc w:val="center"/>
      </w:pPr>
      <m:oMathPara>
        <m:oMath>
          <m:r>
            <m:rPr/>
            <w:rPr>
              <w:rFonts w:ascii="Cambria Math" w:hAnsi="Cambria Math"/>
            </w:rPr>
            <m:t xml:space="preserve">θ = u/f， x = </m:t>
          </m:r>
          <m:sSub>
            <m:sSubPr/>
            <m:e>
              <m:r>
                <m:rPr/>
                <w:rPr>
                  <w:rFonts w:ascii="Cambria Math" w:hAnsi="Cambria Math"/>
                </w:rPr>
                <m:t>c</m:t>
              </m:r>
            </m:e>
            <m:sub>
              <m:r>
                <m:rPr/>
                <w:rPr>
                  <w:rFonts w:ascii="Cambria Math" w:hAnsi="Cambria Math"/>
                </w:rPr>
                <m:t>x</m:t>
              </m:r>
            </m:sub>
          </m:sSub>
          <m:r>
            <m:rPr/>
            <w:rPr>
              <w:rFonts w:ascii="Cambria Math" w:hAnsi="Cambria Math"/>
            </w:rPr>
            <m:t xml:space="preserve"> + f tan θ， y = </m:t>
          </m:r>
          <m:sSub>
            <m:sSubPr/>
            <m:e>
              <m:r>
                <m:rPr/>
                <w:rPr>
                  <w:rFonts w:ascii="Cambria Math" w:hAnsi="Cambria Math"/>
                </w:rPr>
                <m:t>c</m:t>
              </m:r>
            </m:e>
            <m:sub>
              <m:r>
                <m:rPr/>
                <w:rPr>
                  <w:rFonts w:ascii="Cambria Math" w:hAnsi="Cambria Math"/>
                </w:rPr>
                <m:t>y</m:t>
              </m:r>
            </m:sub>
          </m:sSub>
          <m:r>
            <m:rPr/>
            <w:rPr>
              <w:rFonts w:ascii="Cambria Math" w:hAnsi="Cambria Math"/>
            </w:rPr>
            <m:t xml:space="preserve"> + </m:t>
          </m:r>
          <m:f>
            <m:fPr/>
            <m:num>
              <m:r>
                <m:rPr/>
                <w:rPr>
                  <w:rFonts w:ascii="Cambria Math" w:hAnsi="Cambria Math"/>
                </w:rPr>
                <m:t>v</m:t>
              </m:r>
            </m:num>
            <m:den>
              <m:r>
                <m:rPr/>
                <w:rPr>
                  <w:rFonts w:ascii="Cambria Math" w:hAnsi="Cambria Math"/>
                </w:rPr>
                <m:t>cos θ</m:t>
              </m:r>
            </m:den>
          </m:f>
        </m:oMath>
      </m:oMathPara>
    </w:p>
    <w:p w14:paraId="38E75333">
      <w:pPr>
        <w:ind w:firstLine="416"/>
        <w:rPr>
          <w:rFonts w:hint="eastAsia" w:eastAsia="宋体"/>
          <w:lang w:eastAsia="zh-CN"/>
        </w:rPr>
      </w:pPr>
      <w:r>
        <w:rPr>
          <w:rFonts w:ascii="Times New Roman" w:hAnsi="Times New Roman" w:eastAsia="宋体"/>
          <w:b w:val="0"/>
          <w:color w:val="000000"/>
          <w:sz w:val="20"/>
        </w:rPr>
        <w:t>直接将合并后的 map_x、map_y 交给 cv2.remap，从原始彩色图双线性采样。每张原图的颜色只重采样一次。全 1 数组使用同样的映射及零边界，得到覆盖率 mask</w:t>
      </w:r>
      <w:r>
        <w:rPr>
          <w:rFonts w:hint="eastAsia"/>
          <w:b w:val="0"/>
          <w:color w:val="000000"/>
          <w:sz w:val="20"/>
          <w:lang w:eastAsia="zh-CN"/>
        </w:rPr>
        <w:t>。</w:t>
      </w:r>
    </w:p>
    <w:p w14:paraId="7C063460">
      <w:pPr>
        <w:pStyle w:val="3"/>
        <w:pageBreakBefore/>
      </w:pPr>
      <w:r>
        <w:t>5.3  实验设置与完整全景结果</w:t>
      </w:r>
    </w:p>
    <w:p w14:paraId="388E1C8B">
      <w:pPr>
        <w:ind w:firstLine="416"/>
      </w:pPr>
      <w:r>
        <w:rPr>
          <w:rFonts w:ascii="Times New Roman" w:hAnsi="Times New Roman" w:eastAsia="宋体"/>
          <w:b w:val="0"/>
          <w:color w:val="000000"/>
          <w:sz w:val="20"/>
        </w:rPr>
        <w:t>四组场景均使用提供的完整有序序列，相邻原图匹配复用前述 Harris 与梯度直方图流程。平移 RANSAC 的候选上限为 1000，阈值 3 像素。使用首尾重叠，估计使各相邻有向转角之和为正或负 2π 的焦距。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60"/>
        <w:gridCol w:w="600"/>
        <w:gridCol w:w="1220"/>
        <w:gridCol w:w="1760"/>
        <w:gridCol w:w="1140"/>
        <w:gridCol w:w="2558"/>
      </w:tblGrid>
      <w:tr w14:paraId="54DE79A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56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EEEEEE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B8AC91">
            <w:pPr>
              <w:spacing w:after="0" w:line="260" w:lineRule="exac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场景</w:t>
            </w:r>
          </w:p>
        </w:tc>
        <w:tc>
          <w:tcPr>
            <w:tcW w:w="6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EEEEEE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52294F">
            <w:pPr>
              <w:spacing w:after="0" w:line="260" w:lineRule="exac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帧数</w:t>
            </w:r>
          </w:p>
        </w:tc>
        <w:tc>
          <w:tcPr>
            <w:tcW w:w="122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EEEEEE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48F576">
            <w:pPr>
              <w:spacing w:after="0" w:line="260" w:lineRule="exac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焦距 px</w:t>
            </w:r>
          </w:p>
        </w:tc>
        <w:tc>
          <w:tcPr>
            <w:tcW w:w="176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EEEEEE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DCAE50">
            <w:pPr>
              <w:spacing w:after="0" w:line="260" w:lineRule="exac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画布宽高</w:t>
            </w:r>
          </w:p>
        </w:tc>
        <w:tc>
          <w:tcPr>
            <w:tcW w:w="114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EEEEEE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2988FB">
            <w:pPr>
              <w:spacing w:after="0" w:line="260" w:lineRule="exac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耗时 s</w:t>
            </w:r>
          </w:p>
        </w:tc>
        <w:tc>
          <w:tcPr>
            <w:tcW w:w="255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EEEEEE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251AAE">
            <w:pPr>
              <w:spacing w:after="0" w:line="260" w:lineRule="exac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累计内点比例</w:t>
            </w:r>
          </w:p>
        </w:tc>
      </w:tr>
      <w:tr w14:paraId="74B5391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6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F7DD3E">
            <w:pPr>
              <w:spacing w:after="0" w:line="260" w:lineRule="exac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grail</w:t>
            </w:r>
          </w:p>
        </w:tc>
        <w:tc>
          <w:tcPr>
            <w:tcW w:w="6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A8D282">
            <w:pPr>
              <w:spacing w:after="0" w:line="260" w:lineRule="exac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18</w:t>
            </w:r>
          </w:p>
        </w:tc>
        <w:tc>
          <w:tcPr>
            <w:tcW w:w="122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5DEC29">
            <w:pPr>
              <w:spacing w:after="0" w:line="260" w:lineRule="exac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627.56</w:t>
            </w:r>
          </w:p>
        </w:tc>
        <w:tc>
          <w:tcPr>
            <w:tcW w:w="176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CE03F4">
            <w:pPr>
              <w:spacing w:after="0" w:line="260" w:lineRule="exac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3944×517</w:t>
            </w:r>
          </w:p>
        </w:tc>
        <w:tc>
          <w:tcPr>
            <w:tcW w:w="114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B31DF3">
            <w:pPr>
              <w:spacing w:after="0" w:line="260" w:lineRule="exac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7.23</w:t>
            </w:r>
          </w:p>
        </w:tc>
        <w:tc>
          <w:tcPr>
            <w:tcW w:w="255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C76BB8">
            <w:pPr>
              <w:spacing w:after="0" w:line="260" w:lineRule="exac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87.67%</w:t>
            </w:r>
          </w:p>
        </w:tc>
      </w:tr>
      <w:tr w14:paraId="2059E2D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6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3C4655">
            <w:pPr>
              <w:spacing w:after="0" w:line="260" w:lineRule="exac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library</w:t>
            </w:r>
          </w:p>
        </w:tc>
        <w:tc>
          <w:tcPr>
            <w:tcW w:w="6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B36A99">
            <w:pPr>
              <w:spacing w:after="0" w:line="260" w:lineRule="exac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14</w:t>
            </w:r>
          </w:p>
        </w:tc>
        <w:tc>
          <w:tcPr>
            <w:tcW w:w="122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069BFB">
            <w:pPr>
              <w:spacing w:after="0" w:line="260" w:lineRule="exac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654.46</w:t>
            </w:r>
          </w:p>
        </w:tc>
        <w:tc>
          <w:tcPr>
            <w:tcW w:w="176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F1EF94">
            <w:pPr>
              <w:spacing w:after="0" w:line="260" w:lineRule="exac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4113×801</w:t>
            </w:r>
          </w:p>
        </w:tc>
        <w:tc>
          <w:tcPr>
            <w:tcW w:w="114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C239AD">
            <w:pPr>
              <w:spacing w:after="0" w:line="260" w:lineRule="exac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12.85</w:t>
            </w:r>
          </w:p>
        </w:tc>
        <w:tc>
          <w:tcPr>
            <w:tcW w:w="255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B9CED8">
            <w:pPr>
              <w:spacing w:after="0" w:line="260" w:lineRule="exac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73.19%</w:t>
            </w:r>
          </w:p>
        </w:tc>
      </w:tr>
      <w:tr w14:paraId="433584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6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0C8913">
            <w:pPr>
              <w:spacing w:after="0" w:line="260" w:lineRule="exac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parrington</w:t>
            </w:r>
          </w:p>
        </w:tc>
        <w:tc>
          <w:tcPr>
            <w:tcW w:w="6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4B2C14">
            <w:pPr>
              <w:spacing w:after="0" w:line="260" w:lineRule="exac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18</w:t>
            </w:r>
          </w:p>
        </w:tc>
        <w:tc>
          <w:tcPr>
            <w:tcW w:w="122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A8CA53">
            <w:pPr>
              <w:spacing w:after="0" w:line="260" w:lineRule="exac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702.84</w:t>
            </w:r>
          </w:p>
        </w:tc>
        <w:tc>
          <w:tcPr>
            <w:tcW w:w="176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001109">
            <w:pPr>
              <w:spacing w:after="0" w:line="260" w:lineRule="exac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4417×513</w:t>
            </w:r>
          </w:p>
        </w:tc>
        <w:tc>
          <w:tcPr>
            <w:tcW w:w="114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B30744">
            <w:pPr>
              <w:spacing w:after="0" w:line="260" w:lineRule="exac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8.87</w:t>
            </w:r>
          </w:p>
        </w:tc>
        <w:tc>
          <w:tcPr>
            <w:tcW w:w="255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82E0CE">
            <w:pPr>
              <w:spacing w:after="0" w:line="260" w:lineRule="exac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97.70%</w:t>
            </w:r>
          </w:p>
        </w:tc>
      </w:tr>
      <w:tr w14:paraId="1C20A30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6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035431">
            <w:pPr>
              <w:spacing w:after="0" w:line="260" w:lineRule="exac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雪山入口</w:t>
            </w:r>
          </w:p>
        </w:tc>
        <w:tc>
          <w:tcPr>
            <w:tcW w:w="6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BD002C">
            <w:pPr>
              <w:spacing w:after="0" w:line="260" w:lineRule="exac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16</w:t>
            </w:r>
          </w:p>
        </w:tc>
        <w:tc>
          <w:tcPr>
            <w:tcW w:w="122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25A448">
            <w:pPr>
              <w:spacing w:after="0" w:line="260" w:lineRule="exac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788.02</w:t>
            </w:r>
          </w:p>
        </w:tc>
        <w:tc>
          <w:tcPr>
            <w:tcW w:w="176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E93AAB">
            <w:pPr>
              <w:spacing w:after="0" w:line="260" w:lineRule="exac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4952×1024</w:t>
            </w:r>
          </w:p>
        </w:tc>
        <w:tc>
          <w:tcPr>
            <w:tcW w:w="114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D2C7C1">
            <w:pPr>
              <w:spacing w:after="0" w:line="260" w:lineRule="exac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15.58</w:t>
            </w:r>
          </w:p>
        </w:tc>
        <w:tc>
          <w:tcPr>
            <w:tcW w:w="255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A53754">
            <w:pPr>
              <w:spacing w:after="0" w:line="260" w:lineRule="exac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71.12%</w:t>
            </w:r>
          </w:p>
        </w:tc>
      </w:tr>
    </w:tbl>
    <w:p w14:paraId="3FD7FBB9">
      <w:pPr>
        <w:spacing w:before="0" w:after="120" w:line="20" w:lineRule="exact"/>
      </w:pPr>
    </w:p>
    <w:p w14:paraId="637871A0">
      <w:pPr>
        <w:spacing w:line="275" w:lineRule="exact"/>
        <w:ind w:firstLine="416"/>
      </w:pPr>
      <w:r>
        <w:rPr>
          <w:rFonts w:ascii="Times New Roman" w:hAnsi="Times New Roman" w:eastAsia="宋体"/>
          <w:b w:val="0"/>
          <w:color w:val="000000"/>
          <w:sz w:val="19"/>
        </w:rPr>
        <w:t>累计内点比例以全部相邻及首尾匹配的数量之和为分母，允许同一场景点在不同图像对中重复计数。耗时对应本次实际运行，包含特征匹配、焦距估计、对齐及渲染。</w:t>
      </w:r>
    </w:p>
    <w:p w14:paraId="45239863">
      <w:pPr>
        <w:keepNext/>
        <w:spacing w:after="60" w:line="240" w:lineRule="auto"/>
        <w:jc w:val="center"/>
      </w:pPr>
      <w:r>
        <w:drawing>
          <wp:inline distT="0" distB="0" distL="114300" distR="114300">
            <wp:extent cx="5612130" cy="735330"/>
            <wp:effectExtent l="0" t="0" r="1270" b="1270"/>
            <wp:docPr id="16" name="Picture 16" descr="图 14  grail 完整 18 帧圆柱全景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图 14  grail 完整 18 帧圆柱全景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12384" cy="73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F069C">
      <w:pPr>
        <w:pStyle w:val="15"/>
        <w:spacing w:after="160" w:line="260" w:lineRule="exact"/>
        <w:jc w:val="center"/>
      </w:pPr>
      <w:r>
        <w:rPr>
          <w:rFonts w:ascii="Times New Roman" w:hAnsi="Times New Roman" w:eastAsia="宋体"/>
          <w:b w:val="0"/>
          <w:color w:val="000000"/>
          <w:sz w:val="18"/>
        </w:rPr>
        <w:t>图 14  grail 完整 18 帧圆柱全景</w:t>
      </w:r>
    </w:p>
    <w:p w14:paraId="2F16EE3C">
      <w:pPr>
        <w:keepNext/>
        <w:spacing w:after="60" w:line="240" w:lineRule="auto"/>
        <w:jc w:val="center"/>
      </w:pPr>
      <w:r>
        <w:drawing>
          <wp:inline distT="0" distB="0" distL="114300" distR="114300">
            <wp:extent cx="5612130" cy="1092835"/>
            <wp:effectExtent l="0" t="0" r="1270" b="12065"/>
            <wp:docPr id="17" name="Picture 17" descr="图 15  library 完整 14 帧圆柱全景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 descr="图 15  library 完整 14 帧圆柱全景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12384" cy="1093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C4264">
      <w:pPr>
        <w:pStyle w:val="15"/>
        <w:spacing w:after="160" w:line="260" w:lineRule="exact"/>
        <w:jc w:val="center"/>
      </w:pPr>
      <w:r>
        <w:rPr>
          <w:rFonts w:ascii="Times New Roman" w:hAnsi="Times New Roman" w:eastAsia="宋体"/>
          <w:b w:val="0"/>
          <w:color w:val="000000"/>
          <w:sz w:val="18"/>
        </w:rPr>
        <w:t>图 15  library 完整 14 帧圆柱全景</w:t>
      </w:r>
    </w:p>
    <w:p w14:paraId="4FA49183">
      <w:pPr>
        <w:pStyle w:val="3"/>
        <w:pageBreakBefore/>
      </w:pPr>
    </w:p>
    <w:p w14:paraId="27C84778">
      <w:pPr>
        <w:keepNext/>
        <w:spacing w:after="60" w:line="240" w:lineRule="auto"/>
        <w:jc w:val="both"/>
      </w:pPr>
      <w:r>
        <w:drawing>
          <wp:inline distT="0" distB="0" distL="114300" distR="114300">
            <wp:extent cx="5612130" cy="651510"/>
            <wp:effectExtent l="0" t="0" r="1270" b="8890"/>
            <wp:docPr id="18" name="Picture 18" descr="图 16  parrington 完整 18 帧圆柱全景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 descr="图 16  parrington 完整 18 帧圆柱全景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12384" cy="6518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4825B">
      <w:pPr>
        <w:pStyle w:val="15"/>
        <w:spacing w:after="160" w:line="260" w:lineRule="exact"/>
        <w:jc w:val="center"/>
      </w:pPr>
      <w:r>
        <w:rPr>
          <w:rFonts w:ascii="Times New Roman" w:hAnsi="Times New Roman" w:eastAsia="宋体"/>
          <w:b w:val="0"/>
          <w:color w:val="000000"/>
          <w:sz w:val="18"/>
        </w:rPr>
        <w:t>图 16  parrington 完整 18 帧圆柱全景</w:t>
      </w:r>
    </w:p>
    <w:p w14:paraId="67B8D7CC">
      <w:pPr>
        <w:keepNext/>
        <w:spacing w:after="60" w:line="240" w:lineRule="auto"/>
        <w:jc w:val="center"/>
      </w:pPr>
      <w:r>
        <w:drawing>
          <wp:inline distT="0" distB="0" distL="114300" distR="114300">
            <wp:extent cx="5612130" cy="1160145"/>
            <wp:effectExtent l="0" t="0" r="1270" b="8255"/>
            <wp:docPr id="19" name="Picture 19" descr="图 17  雪山入口完整 16 帧圆柱全景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 descr="图 17  雪山入口完整 16 帧圆柱全景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12384" cy="1160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4E28A4">
      <w:pPr>
        <w:pStyle w:val="15"/>
        <w:tabs>
          <w:tab w:val="center" w:pos="4478"/>
          <w:tab w:val="left" w:pos="7506"/>
        </w:tabs>
        <w:spacing w:after="160" w:line="260" w:lineRule="exact"/>
        <w:jc w:val="left"/>
        <w:rPr>
          <w:rFonts w:hint="eastAsia" w:eastAsia="宋体"/>
          <w:lang w:eastAsia="zh-CN"/>
        </w:rPr>
      </w:pPr>
      <w:r>
        <w:rPr>
          <w:rFonts w:hint="eastAsia"/>
          <w:b w:val="0"/>
          <w:color w:val="000000"/>
          <w:sz w:val="18"/>
          <w:lang w:eastAsia="zh-CN"/>
        </w:rPr>
        <w:tab/>
      </w:r>
      <w:r>
        <w:rPr>
          <w:rFonts w:ascii="Times New Roman" w:hAnsi="Times New Roman" w:eastAsia="宋体"/>
          <w:b w:val="0"/>
          <w:color w:val="000000"/>
          <w:sz w:val="18"/>
        </w:rPr>
        <w:t>图 17  雪山入口完整 16 帧圆柱全景</w:t>
      </w:r>
      <w:r>
        <w:rPr>
          <w:rFonts w:hint="eastAsia"/>
          <w:b w:val="0"/>
          <w:color w:val="000000"/>
          <w:sz w:val="18"/>
          <w:lang w:eastAsia="zh-CN"/>
        </w:rPr>
        <w:tab/>
      </w:r>
    </w:p>
    <w:p w14:paraId="0F460015">
      <w:pPr>
        <w:ind w:firstLine="416"/>
      </w:pPr>
      <w:r>
        <w:rPr>
          <w:rFonts w:ascii="Times New Roman" w:hAnsi="Times New Roman" w:eastAsia="宋体"/>
          <w:b w:val="0"/>
          <w:color w:val="000000"/>
          <w:sz w:val="20"/>
        </w:rPr>
        <w:t>完整一圈的水平周期为 2πf。实现将首尾匹配纳入闭环，把剩余位移误差均匀分配给各条相邻边，渲染时对横向坐标取周期，处理左右接缝。焦距由水平闭环约束估计。</w:t>
      </w:r>
    </w:p>
    <w:p w14:paraId="376025D0">
      <w:pPr>
        <w:ind w:firstLine="416"/>
      </w:pPr>
      <w:r>
        <w:rPr>
          <w:rFonts w:ascii="Times New Roman" w:hAnsi="Times New Roman" w:eastAsia="宋体"/>
          <w:b w:val="0"/>
          <w:color w:val="000000"/>
          <w:sz w:val="20"/>
        </w:rPr>
        <w:t>校正前纵向闭环漂移分别为：grail -67.04 px、library 36.78 px、parrington -78.29 px、雪山入口 358.15 px。其中雪山入口漂移最大，说明单一平移模型存在明显偏差。均匀闭环校正可令整体首尾连续，但不会保证所有重叠位置都精确对齐，图 17 的说明牌和建筑附近仍有重影。</w:t>
      </w:r>
    </w:p>
    <w:p w14:paraId="4F28920A">
      <w:pPr>
        <w:ind w:firstLine="416"/>
      </w:pPr>
      <w:r>
        <w:rPr>
          <w:rFonts w:ascii="Times New Roman" w:hAnsi="Times New Roman" w:eastAsia="宋体"/>
          <w:b w:val="0"/>
          <w:color w:val="000000"/>
          <w:sz w:val="20"/>
        </w:rPr>
        <w:t>相机位置上下或左右移动时，视差随景物深度变化；俯仰或侧倾即使不改变光</w:t>
      </w:r>
      <w:bookmarkStart w:id="0" w:name="_GoBack"/>
      <w:bookmarkEnd w:id="0"/>
      <w:r>
        <w:rPr>
          <w:rFonts w:ascii="Times New Roman" w:hAnsi="Times New Roman" w:eastAsia="宋体"/>
          <w:b w:val="0"/>
          <w:color w:val="000000"/>
          <w:sz w:val="20"/>
        </w:rPr>
        <w:t>心，在圆柱坐标中通常也不是固定二维平移。此时平均位移只是折中近似。当前实现未估计三维旋转、深度或局部变形，也未做全局束调整、曝光补偿或最优接缝搜索。</w:t>
      </w:r>
    </w:p>
    <w:p w14:paraId="5A8BD798">
      <w:pPr>
        <w:pStyle w:val="3"/>
        <w:pageBreakBefore/>
      </w:pPr>
      <w:r>
        <w:t>5.5  相同五帧的投影对比</w:t>
      </w:r>
    </w:p>
    <w:p w14:paraId="3DCABB3B">
      <w:pPr>
        <w:ind w:firstLine="416"/>
      </w:pPr>
      <w:r>
        <w:rPr>
          <w:rFonts w:ascii="Times New Roman" w:hAnsi="Times New Roman" w:eastAsia="宋体"/>
          <w:b w:val="0"/>
          <w:color w:val="000000"/>
          <w:sz w:val="20"/>
        </w:rPr>
        <w:t>为区分投影方式与覆盖内容的影响，以下对比使用与基础全景完全相同的五帧。圆柱结果使用完整序列估计出的焦距重新渲染。各面板保持自身宽高比并独立缩放，因此这里只比较外观及边缘伸展，不把画布尺寸减小作为配准精度提升的证据。</w:t>
      </w:r>
    </w:p>
    <w:p w14:paraId="21D23F56">
      <w:pPr>
        <w:keepNext/>
        <w:spacing w:after="60" w:line="240" w:lineRule="auto"/>
        <w:jc w:val="center"/>
      </w:pPr>
      <w:r>
        <w:drawing>
          <wp:inline distT="0" distB="0" distL="114300" distR="114300">
            <wp:extent cx="5612130" cy="1402715"/>
            <wp:effectExtent l="0" t="0" r="1270" b="6985"/>
            <wp:docPr id="20" name="Picture 20" descr="图 18  grail 五帧平面投影与圆柱投影对比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 descr="图 18  grail 五帧平面投影与圆柱投影对比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12384" cy="1403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49DC2">
      <w:pPr>
        <w:pStyle w:val="15"/>
        <w:spacing w:after="160" w:line="260" w:lineRule="exact"/>
        <w:jc w:val="center"/>
      </w:pPr>
      <w:r>
        <w:rPr>
          <w:rFonts w:ascii="Times New Roman" w:hAnsi="Times New Roman" w:eastAsia="宋体"/>
          <w:b w:val="0"/>
          <w:color w:val="000000"/>
          <w:sz w:val="18"/>
        </w:rPr>
        <w:t>图 18  grail 五帧平面投影与圆柱投影对比</w:t>
      </w:r>
    </w:p>
    <w:p w14:paraId="17756813">
      <w:pPr>
        <w:keepNext/>
        <w:spacing w:after="60" w:line="240" w:lineRule="auto"/>
        <w:jc w:val="center"/>
      </w:pPr>
      <w:r>
        <w:drawing>
          <wp:inline distT="0" distB="0" distL="114300" distR="114300">
            <wp:extent cx="5612130" cy="1794510"/>
            <wp:effectExtent l="0" t="0" r="1270" b="8890"/>
            <wp:docPr id="21" name="Picture 21" descr="图 19  library 五帧平面投影与圆柱投影对比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 descr="图 19  library 五帧平面投影与圆柱投影对比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12384" cy="17947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D5991">
      <w:pPr>
        <w:pStyle w:val="15"/>
        <w:spacing w:after="160" w:line="260" w:lineRule="exact"/>
        <w:jc w:val="center"/>
      </w:pPr>
      <w:r>
        <w:rPr>
          <w:rFonts w:ascii="Times New Roman" w:hAnsi="Times New Roman" w:eastAsia="宋体"/>
          <w:b w:val="0"/>
          <w:color w:val="000000"/>
          <w:sz w:val="18"/>
        </w:rPr>
        <w:t>图 19  library 五帧平面投影与圆柱投影对比</w:t>
      </w:r>
    </w:p>
    <w:p w14:paraId="5A93C798">
      <w:pPr>
        <w:ind w:firstLine="416"/>
      </w:pPr>
      <w:r>
        <w:rPr>
          <w:rFonts w:ascii="Times New Roman" w:hAnsi="Times New Roman" w:eastAsia="宋体"/>
          <w:b w:val="0"/>
          <w:color w:val="000000"/>
          <w:sz w:val="20"/>
        </w:rPr>
        <w:t>在这两组局部窗口中，圆柱结果避免将全部方向拉向单一参考平面，但接缝附近仍可观察到局部错位。</w:t>
      </w:r>
    </w:p>
    <w:p w14:paraId="2D2757ED">
      <w:pPr>
        <w:pStyle w:val="3"/>
        <w:pageBreakBefore/>
      </w:pPr>
      <w:r>
        <w:t>5.6  其余场景对比与实验复现</w:t>
      </w:r>
    </w:p>
    <w:p w14:paraId="043F8842">
      <w:pPr>
        <w:keepNext/>
        <w:spacing w:after="60" w:line="240" w:lineRule="auto"/>
        <w:jc w:val="center"/>
      </w:pPr>
      <w:r>
        <w:drawing>
          <wp:inline distT="0" distB="0" distL="114300" distR="114300">
            <wp:extent cx="5612130" cy="1310005"/>
            <wp:effectExtent l="0" t="0" r="1270" b="10795"/>
            <wp:docPr id="22" name="Picture 22" descr="图 20  parrington 五帧平面投影与圆柱投影对比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 descr="图 20  parrington 五帧平面投影与圆柱投影对比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12384" cy="1310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BC0AD">
      <w:pPr>
        <w:pStyle w:val="15"/>
        <w:spacing w:after="160" w:line="260" w:lineRule="exact"/>
        <w:jc w:val="center"/>
      </w:pPr>
      <w:r>
        <w:rPr>
          <w:rFonts w:ascii="Times New Roman" w:hAnsi="Times New Roman" w:eastAsia="宋体"/>
          <w:b w:val="0"/>
          <w:color w:val="000000"/>
          <w:sz w:val="18"/>
        </w:rPr>
        <w:t>图 20  parrington 五帧平面投影与圆柱投影对比</w:t>
      </w:r>
    </w:p>
    <w:p w14:paraId="0C239CC3">
      <w:pPr>
        <w:keepNext/>
        <w:spacing w:after="60" w:line="240" w:lineRule="auto"/>
        <w:jc w:val="center"/>
      </w:pPr>
      <w:r>
        <w:drawing>
          <wp:inline distT="0" distB="0" distL="114300" distR="114300">
            <wp:extent cx="5159375" cy="1905000"/>
            <wp:effectExtent l="0" t="0" r="9525" b="0"/>
            <wp:docPr id="23" name="Picture 23" descr="图 21  雪山入口 五帧平面投影与圆柱投影对比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 descr="图 21  雪山入口 五帧平面投影与圆柱投影对比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159375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E3A87">
      <w:pPr>
        <w:pStyle w:val="15"/>
        <w:spacing w:after="160" w:line="260" w:lineRule="exact"/>
        <w:jc w:val="center"/>
      </w:pPr>
      <w:r>
        <w:rPr>
          <w:rFonts w:ascii="Times New Roman" w:hAnsi="Times New Roman" w:eastAsia="宋体"/>
          <w:b w:val="0"/>
          <w:color w:val="000000"/>
          <w:sz w:val="18"/>
        </w:rPr>
        <w:t>图 21  雪山入口 五帧平面投影与圆柱投影对比</w:t>
      </w:r>
    </w:p>
    <w:p w14:paraId="5E006C53">
      <w:pPr>
        <w:spacing w:line="290" w:lineRule="exact"/>
        <w:ind w:firstLine="416"/>
      </w:pPr>
      <w:r>
        <w:rPr>
          <w:rFonts w:ascii="Times New Roman" w:hAnsi="Times New Roman" w:eastAsia="宋体"/>
          <w:b w:val="0"/>
          <w:color w:val="000000"/>
          <w:sz w:val="20"/>
        </w:rPr>
        <w:t>圆柱实现位于 cylindrical.py，运行入口为 test_cylindrical.py。在 HW2 目录执行下列命令，可复现四个完整一圈的场景；输出图像和逐对内点统计写入 outputs/cylindrical。</w:t>
      </w:r>
    </w:p>
    <w:p w14:paraId="68F80120">
      <w:pPr>
        <w:spacing w:after="160"/>
      </w:pPr>
      <w:r>
        <w:rPr>
          <w:rFonts w:ascii="Consolas" w:hAnsi="Consolas" w:eastAsia="宋体"/>
          <w:b w:val="0"/>
          <w:color w:val="000000"/>
          <w:sz w:val="17"/>
        </w:rPr>
        <w:t>python test_cylindrical.py --frames 0 --close-loop --auto-focal</w:t>
      </w:r>
    </w:p>
    <w:sectPr>
      <w:headerReference r:id="rId5" w:type="default"/>
      <w:footerReference r:id="rId6" w:type="default"/>
      <w:pgSz w:w="12240" w:h="15840"/>
      <w:pgMar w:top="1180" w:right="1701" w:bottom="980" w:left="1701" w:header="340" w:footer="4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JetBrains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JetBrains Mono">
    <w:panose1 w:val="02000009000000000000"/>
    <w:charset w:val="00"/>
    <w:family w:val="auto"/>
    <w:pitch w:val="default"/>
    <w:sig w:usb0="A00402FF" w:usb1="1200F9FB" w:usb2="0200003C" w:usb3="00000000" w:csb0="2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4828BC8">
    <w:pPr>
      <w:pStyle w:val="24"/>
      <w:jc w:val="right"/>
    </w:pPr>
    <w:r>
      <w:fldChar w:fldCharType="begin"/>
    </w:r>
    <w:r>
      <w:instrText xml:space="preserve">PAGE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4375">
    <w:pPr>
      <w:pStyle w:val="25"/>
      <w:pBdr>
        <w:bottom w:val="single" w:color="888888" w:sz="2" w:space="0"/>
      </w:pBdr>
      <w:tabs>
        <w:tab w:val="right" w:pos="8838"/>
      </w:tabs>
      <w:spacing w:after="60"/>
    </w:pPr>
    <w:r>
      <w:rPr>
        <w:sz w:val="19"/>
      </w:rPr>
      <w:t>Computer Vision (2026 fall)</w:t>
    </w:r>
    <w:r>
      <w:rPr>
        <w:sz w:val="19"/>
      </w:rPr>
      <w:tab/>
    </w:r>
    <w:r>
      <w:rPr>
        <w:sz w:val="19"/>
      </w:rPr>
      <w:t>Homework 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bordersDoNotSurroundHeader w:val="1"/>
  <w:bordersDoNotSurroundFooter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173C59"/>
    <w:rsid w:val="0029639D"/>
    <w:rsid w:val="00326F90"/>
    <w:rsid w:val="004571EC"/>
    <w:rsid w:val="005F3062"/>
    <w:rsid w:val="006F56C6"/>
    <w:rsid w:val="0085089A"/>
    <w:rsid w:val="008762CE"/>
    <w:rsid w:val="00AA1D8D"/>
    <w:rsid w:val="00B47730"/>
    <w:rsid w:val="00C25FDB"/>
    <w:rsid w:val="00CB0664"/>
    <w:rsid w:val="00CC1414"/>
    <w:rsid w:val="00E1130A"/>
    <w:rsid w:val="00FC693F"/>
    <w:rsid w:val="2AAA5345"/>
    <w:rsid w:val="2CF62FBE"/>
    <w:rsid w:val="3F934078"/>
    <w:rsid w:val="54422A68"/>
    <w:rsid w:val="57167A1C"/>
    <w:rsid w:val="571B5E13"/>
    <w:rsid w:val="5FAD16DE"/>
    <w:rsid w:val="635A1B7D"/>
    <w:rsid w:val="6533038C"/>
    <w:rsid w:val="65F85D8C"/>
    <w:rsid w:val="6F3275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40" w:line="320" w:lineRule="exact"/>
    </w:pPr>
    <w:rPr>
      <w:rFonts w:ascii="Times New Roman" w:hAnsi="Times New Roman" w:eastAsia="宋体" w:cstheme="minorBidi"/>
      <w:color w:val="000000"/>
      <w:sz w:val="20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after="200"/>
      <w:outlineLvl w:val="0"/>
    </w:pPr>
    <w:rPr>
      <w:rFonts w:asciiTheme="majorHAnsi" w:hAnsiTheme="majorHAnsi" w:eastAsiaTheme="majorEastAsia" w:cstheme="majorBidi"/>
      <w:b/>
      <w:bCs/>
      <w:sz w:val="26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after="200"/>
      <w:outlineLvl w:val="1"/>
    </w:pPr>
    <w:rPr>
      <w:rFonts w:asciiTheme="majorHAnsi" w:hAnsiTheme="majorHAnsi" w:eastAsiaTheme="majorEastAsia" w:cstheme="majorBidi"/>
      <w:b/>
      <w:bCs/>
      <w:sz w:val="23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unhideWhenUsed/>
    <w:qFormat/>
    <w:uiPriority w:val="35"/>
    <w:rPr>
      <w:b/>
      <w:bCs/>
      <w:sz w:val="18"/>
      <w:szCs w:val="18"/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pPr>
      <w:spacing w:after="280"/>
    </w:pPr>
    <w:rPr>
      <w:rFonts w:asciiTheme="majorHAnsi" w:hAnsiTheme="majorHAnsi" w:eastAsiaTheme="majorEastAsia" w:cstheme="majorBidi"/>
      <w:i/>
      <w:iCs/>
      <w:spacing w:val="15"/>
      <w:sz w:val="28"/>
      <w:szCs w:val="24"/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280"/>
      <w:contextualSpacing/>
    </w:pPr>
    <w:rPr>
      <w:rFonts w:asciiTheme="majorHAnsi" w:hAnsiTheme="majorHAnsi" w:eastAsiaTheme="majorEastAsia" w:cstheme="majorBidi"/>
      <w:spacing w:val="5"/>
      <w:kern w:val="28"/>
      <w:sz w:val="34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页眉 字符"/>
    <w:basedOn w:val="132"/>
    <w:link w:val="25"/>
    <w:uiPriority w:val="99"/>
  </w:style>
  <w:style w:type="character" w:customStyle="1" w:styleId="136">
    <w:name w:val="页脚 字符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标题 1 字符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标题 2 字符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标题 3 字符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标题 字符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副标题 字符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正文文本 字符"/>
    <w:basedOn w:val="132"/>
    <w:link w:val="19"/>
    <w:qFormat/>
    <w:uiPriority w:val="99"/>
  </w:style>
  <w:style w:type="character" w:customStyle="1" w:styleId="145">
    <w:name w:val="正文文本 2 字符"/>
    <w:basedOn w:val="132"/>
    <w:link w:val="28"/>
    <w:qFormat/>
    <w:uiPriority w:val="99"/>
  </w:style>
  <w:style w:type="character" w:customStyle="1" w:styleId="146">
    <w:name w:val="正文文本 3 字符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宏文本 字符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引用 字符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标题 4 字符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标题 5 字符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标题 6 字符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标题 7 字符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标题 8 字符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标题 9 字符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明显引用 字符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jpeg"/><Relationship Id="rId8" Type="http://schemas.openxmlformats.org/officeDocument/2006/relationships/image" Target="media/image1.jpe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2" Type="http://schemas.openxmlformats.org/officeDocument/2006/relationships/fontTable" Target="fontTable.xml"/><Relationship Id="rId31" Type="http://schemas.openxmlformats.org/officeDocument/2006/relationships/customXml" Target="../customXml/item1.xml"/><Relationship Id="rId30" Type="http://schemas.openxmlformats.org/officeDocument/2006/relationships/numbering" Target="numbering.xml"/><Relationship Id="rId3" Type="http://schemas.openxmlformats.org/officeDocument/2006/relationships/footnotes" Target="footnotes.xml"/><Relationship Id="rId29" Type="http://schemas.openxmlformats.org/officeDocument/2006/relationships/image" Target="media/image22.jpeg"/><Relationship Id="rId28" Type="http://schemas.openxmlformats.org/officeDocument/2006/relationships/image" Target="media/image21.jpeg"/><Relationship Id="rId27" Type="http://schemas.openxmlformats.org/officeDocument/2006/relationships/image" Target="media/image20.jpeg"/><Relationship Id="rId26" Type="http://schemas.openxmlformats.org/officeDocument/2006/relationships/image" Target="media/image19.jpeg"/><Relationship Id="rId25" Type="http://schemas.openxmlformats.org/officeDocument/2006/relationships/image" Target="media/image18.jpeg"/><Relationship Id="rId24" Type="http://schemas.openxmlformats.org/officeDocument/2006/relationships/image" Target="media/image17.jpeg"/><Relationship Id="rId23" Type="http://schemas.openxmlformats.org/officeDocument/2006/relationships/image" Target="media/image16.jpeg"/><Relationship Id="rId22" Type="http://schemas.openxmlformats.org/officeDocument/2006/relationships/image" Target="media/image15.jpeg"/><Relationship Id="rId21" Type="http://schemas.openxmlformats.org/officeDocument/2006/relationships/image" Target="media/image14.jpeg"/><Relationship Id="rId20" Type="http://schemas.openxmlformats.org/officeDocument/2006/relationships/image" Target="media/image13.jpeg"/><Relationship Id="rId2" Type="http://schemas.openxmlformats.org/officeDocument/2006/relationships/settings" Target="settings.xml"/><Relationship Id="rId19" Type="http://schemas.openxmlformats.org/officeDocument/2006/relationships/image" Target="media/image12.jpeg"/><Relationship Id="rId18" Type="http://schemas.openxmlformats.org/officeDocument/2006/relationships/image" Target="media/image11.jpeg"/><Relationship Id="rId17" Type="http://schemas.openxmlformats.org/officeDocument/2006/relationships/image" Target="media/image10.jpeg"/><Relationship Id="rId16" Type="http://schemas.openxmlformats.org/officeDocument/2006/relationships/image" Target="media/image9.jpeg"/><Relationship Id="rId15" Type="http://schemas.openxmlformats.org/officeDocument/2006/relationships/image" Target="media/image8.jpeg"/><Relationship Id="rId14" Type="http://schemas.openxmlformats.org/officeDocument/2006/relationships/image" Target="media/image7.jpeg"/><Relationship Id="rId13" Type="http://schemas.openxmlformats.org/officeDocument/2006/relationships/image" Target="media/image6.jpeg"/><Relationship Id="rId12" Type="http://schemas.openxmlformats.org/officeDocument/2006/relationships/image" Target="media/image5.jpeg"/><Relationship Id="rId11" Type="http://schemas.openxmlformats.org/officeDocument/2006/relationships/image" Target="media/image4.jpeg"/><Relationship Id="rId10" Type="http://schemas.openxmlformats.org/officeDocument/2006/relationships/image" Target="media/image3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3842</Words>
  <Characters>4941</Characters>
  <Lines>104</Lines>
  <Paragraphs>120</Paragraphs>
  <TotalTime>47</TotalTime>
  <ScaleCrop>false</ScaleCrop>
  <LinksUpToDate>false</LinksUpToDate>
  <CharactersWithSpaces>5471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刘洋 2500012966</dc:creator>
  <dc:description>generated by python-docx</dc:description>
  <cp:lastModifiedBy>刘洋</cp:lastModifiedBy>
  <dcterms:modified xsi:type="dcterms:W3CDTF">2026-10-19T15:54:54Z</dcterms:modified>
  <dc:title>图像拼接实验报告</dc:title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eyJoZGlkIjoiMzk0YTc0NzNjNTgyNTM5ZDkxYWM1OGYyZTUzYTAyNWMiLCJ1c2VySWQiOiIxOTE0NjEzOTU4In0=</vt:lpwstr>
  </property>
  <property fmtid="{D5CDD505-2E9C-101B-9397-08002B2CF9AE}" pid="3" name="KSOProductBuildVer">
    <vt:lpwstr>2052-12.1.0.29161</vt:lpwstr>
  </property>
  <property fmtid="{D5CDD505-2E9C-101B-9397-08002B2CF9AE}" pid="4" name="ICV">
    <vt:lpwstr>5CD4F50127E94F3EBB1325EDD9E4DFAD_12</vt:lpwstr>
  </property>
</Properties>
</file>