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64f56277346837b78c397e18e63672e04bfdee3"/>
    <w:p>
      <w:pPr>
        <w:pStyle w:val="Heading1"/>
      </w:pPr>
      <w:r>
        <w:t xml:space="preserve">Analytical NeurIPS Readiness Review of the Provided ATU Folktale Manuscript</w:t>
      </w:r>
    </w:p>
    <w:bookmarkStart w:id="23" w:name="executive-summary"/>
    <w:p>
      <w:pPr>
        <w:pStyle w:val="Heading2"/>
      </w:pPr>
      <w:r>
        <w:t xml:space="preserve">Executive Summary</w:t>
      </w:r>
    </w:p>
    <w:p>
      <w:pPr>
        <w:pStyle w:val="FirstParagraph"/>
      </w:pPr>
      <w:r>
        <w:t xml:space="preserve">The manuscript is</w:t>
      </w:r>
      <w:r>
        <w:t xml:space="preserve"> </w:t>
      </w:r>
      <w:r>
        <w:rPr>
          <w:b/>
          <w:bCs/>
        </w:rPr>
        <w:t xml:space="preserve">plausibly in scope</w:t>
      </w:r>
      <w:r>
        <w:t xml:space="preserve"> </w:t>
      </w:r>
      <w:r>
        <w:t xml:space="preserve">for NeurIPS because the 2026 call explicitly includes AI/ML for social sciences and adjacent interdisciplinary work. Strategically, though, the draft reads much more like an</w:t>
      </w:r>
      <w:r>
        <w:t xml:space="preserve"> </w:t>
      </w:r>
      <w:r>
        <w:rPr>
          <w:b/>
          <w:bCs/>
        </w:rPr>
        <w:t xml:space="preserve">evaluation/audit paper</w:t>
      </w:r>
      <w:r>
        <w:t xml:space="preserve"> </w:t>
      </w:r>
      <w:r>
        <w:t xml:space="preserve">than like a standard algorithm paper. That makes the best current fit the</w:t>
      </w:r>
      <w:r>
        <w:t xml:space="preserve"> </w:t>
      </w:r>
      <w:r>
        <w:rPr>
          <w:b/>
          <w:bCs/>
        </w:rPr>
        <w:t xml:space="preserve">Evaluations &amp; Datasets track</w:t>
      </w:r>
      <w:r>
        <w:t xml:space="preserve">, whose 2026 scope explicitly welcomes analyses of evaluation failure modes, audits of existing practices, critical/negative results, and use-case-inspired evaluations, and does</w:t>
      </w:r>
      <w:r>
        <w:t xml:space="preserve"> </w:t>
      </w:r>
      <w:r>
        <w:rPr>
          <w:b/>
          <w:bCs/>
        </w:rPr>
        <w:t xml:space="preserve">not</w:t>
      </w:r>
      <w:r>
        <w:t xml:space="preserve"> </w:t>
      </w:r>
      <w:r>
        <w:t xml:space="preserve">require a new model or state-of-the-art performance. If the paper stays in the main track,</w:t>
      </w:r>
      <w:r>
        <w:t xml:space="preserve"> </w:t>
      </w:r>
      <w:r>
        <w:rPr>
          <w:b/>
          <w:bCs/>
        </w:rPr>
        <w:t xml:space="preserve">Use-Inspired</w:t>
      </w:r>
      <w:r>
        <w:t xml:space="preserve"> </w:t>
      </w:r>
      <w:r>
        <w:t xml:space="preserve">is the strongest contribution type; it is</w:t>
      </w:r>
      <w:r>
        <w:t xml:space="preserve"> </w:t>
      </w:r>
      <w:r>
        <w:rPr>
          <w:b/>
          <w:bCs/>
        </w:rPr>
        <w:t xml:space="preserve">not</w:t>
      </w:r>
      <w:r>
        <w:t xml:space="preserve"> </w:t>
      </w:r>
      <w:r>
        <w:t xml:space="preserve">a good Theory paper, and it is not yet rigorous enough to lean entirely on a Negative Results framing.</w:t>
      </w:r>
      <w:r>
        <w:t xml:space="preserve"> </w:t>
      </w:r>
      <w:hyperlink r:id="rId21">
        <w:r>
          <w:rPr>
            <w:rStyle w:val="Hyperlink"/>
          </w:rPr>
          <w:t xml:space="preserve">[1]</w:t>
        </w:r>
      </w:hyperlink>
    </w:p>
    <w:p>
      <w:pPr>
        <w:pStyle w:val="BodyText"/>
      </w:pPr>
      <w:r>
        <w:t xml:space="preserve">The draft already has a real core contribution: an interesting cross-cultural evaluation question, a non-trivial in-distribution benchmark, multiple uncertainty metrics, and an explicit attempt to discuss confounds. Those are genuine strengths. The paper is also readable in the sense that the narrative arc is easy to follow. fileciteturn0file0</w:t>
      </w:r>
    </w:p>
    <w:p>
      <w:pPr>
        <w:pStyle w:val="BodyText"/>
      </w:pPr>
      <w:r>
        <w:t xml:space="preserve">At the same time, the manuscript is</w:t>
      </w:r>
      <w:r>
        <w:t xml:space="preserve"> </w:t>
      </w:r>
      <w:r>
        <w:rPr>
          <w:b/>
          <w:bCs/>
        </w:rPr>
        <w:t xml:space="preserve">not yet aligned with current NeurIPS expectations</w:t>
      </w:r>
      <w:r>
        <w:t xml:space="preserve"> </w:t>
      </w:r>
      <w:r>
        <w:t xml:space="preserve">on evidence density, claim calibration, reproducibility, and submission hygiene. The biggest blockers are these: the broader ML significance is under-framed; the validation stack is too narrow for a strong negative claim; the related work is too thin relative to the originality criterion; the reproducibility story is incomplete; the current draft contains reviewer-trust problems such as internal inconsistencies in its own tables/text; and the provided version appears to violate submission norms by including an acknowledgments section while not showing the mandatory checklist. NeurIPS reviewers are explicitly asked to score papers on</w:t>
      </w:r>
      <w:r>
        <w:t xml:space="preserve"> </w:t>
      </w:r>
      <w:r>
        <w:rPr>
          <w:b/>
          <w:bCs/>
        </w:rPr>
        <w:t xml:space="preserve">quality, clarity, significance, and originality</w:t>
      </w:r>
      <w:r>
        <w:t xml:space="preserve">, and the official overall-score language now ties acceptance to strong evaluation, reproducibility, resources, and the absence of unaddressed ethical issues.</w:t>
      </w:r>
      <w:r>
        <w:t xml:space="preserve"> </w:t>
      </w:r>
      <w:hyperlink r:id="rId22">
        <w:r>
          <w:rPr>
            <w:rStyle w:val="Hyperlink"/>
          </w:rPr>
          <w:t xml:space="preserve">[2]</w:t>
        </w:r>
      </w:hyperlink>
      <w:r>
        <w:t xml:space="preserve"> </w:t>
      </w:r>
      <w:r>
        <w:t xml:space="preserve">fileciteturn0file0</w:t>
      </w:r>
    </w:p>
    <w:p>
      <w:pPr>
        <w:pStyle w:val="BodyText"/>
      </w:pPr>
      <w:r>
        <w:t xml:space="preserve">The practical verdict is straightforward:</w:t>
      </w:r>
      <w:r>
        <w:t xml:space="preserve"> </w:t>
      </w:r>
      <w:r>
        <w:rPr>
          <w:b/>
          <w:bCs/>
        </w:rPr>
        <w:t xml:space="preserve">promising idea, not yet NeurIPS-ready as pasted</w:t>
      </w:r>
      <w:r>
        <w:t xml:space="preserve">. A rapid revision could make it a more coherent, defensible submission, especially for the 2026 Evaluations &amp; Datasets track. A version that would feel genuinely strong by current NeurIPS standards likely needs both a major framing rewrite and several targeted validation additions. As of</w:t>
      </w:r>
      <w:r>
        <w:t xml:space="preserve"> </w:t>
      </w:r>
      <w:r>
        <w:rPr>
          <w:b/>
          <w:bCs/>
        </w:rPr>
        <w:t xml:space="preserve">April 27, 2026</w:t>
      </w:r>
      <w:r>
        <w:t xml:space="preserve">, the official deadlines are</w:t>
      </w:r>
      <w:r>
        <w:t xml:space="preserve"> </w:t>
      </w:r>
      <w:r>
        <w:rPr>
          <w:b/>
          <w:bCs/>
        </w:rPr>
        <w:t xml:space="preserve">May 4, 2026 AoE</w:t>
      </w:r>
      <w:r>
        <w:t xml:space="preserve"> </w:t>
      </w:r>
      <w:r>
        <w:t xml:space="preserve">for the abstract and</w:t>
      </w:r>
      <w:r>
        <w:t xml:space="preserve"> </w:t>
      </w:r>
      <w:r>
        <w:rPr>
          <w:b/>
          <w:bCs/>
        </w:rPr>
        <w:t xml:space="preserve">May 6, 2026 AoE</w:t>
      </w:r>
      <w:r>
        <w:t xml:space="preserve"> </w:t>
      </w:r>
      <w:r>
        <w:t xml:space="preserve">for the full paper, so time is very short for anything beyond focused, high-leverage fixes.</w:t>
      </w:r>
      <w:r>
        <w:t xml:space="preserve"> </w:t>
      </w:r>
      <w:hyperlink r:id="rId21">
        <w:r>
          <w:rPr>
            <w:rStyle w:val="Hyperlink"/>
          </w:rPr>
          <w:t xml:space="preserve">[3]</w:t>
        </w:r>
      </w:hyperlink>
    </w:p>
    <w:p>
      <w:pPr>
        <w:pStyle w:val="BodyText"/>
      </w:pPr>
      <w:r>
        <w:t xml:space="preserve">This review is based on the</w:t>
      </w:r>
      <w:r>
        <w:t xml:space="preserve"> </w:t>
      </w:r>
      <w:r>
        <w:rPr>
          <w:b/>
          <w:bCs/>
        </w:rPr>
        <w:t xml:space="preserve">pasted manuscript text</w:t>
      </w:r>
      <w:r>
        <w:t xml:space="preserve">, not on a compiled PDF or a supplementary package. The title block, author block, exact rendered pagination, anonymity metadata, and any external artifacts are therefore unspecified, so layout-specific compliance findings are necessarily provisional. fileciteturn0file0</w:t>
      </w:r>
    </w:p>
    <w:bookmarkEnd w:id="23"/>
    <w:bookmarkStart w:id="24" w:name="X79110295e23581675764e5dfbe8e0b8fe8d372e"/>
    <w:p>
      <w:pPr>
        <w:pStyle w:val="Heading2"/>
      </w:pPr>
      <w:r>
        <w:t xml:space="preserve">Official NeurIPS Standards Most Relevant to This Draft</w:t>
      </w:r>
    </w:p>
    <w:p>
      <w:pPr>
        <w:pStyle w:val="FirstParagraph"/>
      </w:pPr>
      <w:r>
        <w:t xml:space="preserve">The current public NeurIPS rules that matter most here are not obscure. They are the ones most likely to affect desk-rejection risk and reviewer scoring: track choice, page/format compliance, blind-review hygiene, the mandatory checklist, reproducibility expectations, and how significance/originality are interpreted for a use-inspired or evaluative submission.</w:t>
      </w:r>
      <w:r>
        <w:t xml:space="preserve"> </w:t>
      </w:r>
      <w:hyperlink r:id="rId21">
        <w:r>
          <w:rPr>
            <w:rStyle w:val="Hyperlink"/>
          </w:rPr>
          <w:t xml:space="preserve">[4]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Official expectation</w:t>
            </w:r>
          </w:p>
        </w:tc>
        <w:tc>
          <w:tcPr/>
          <w:p>
            <w:pPr>
              <w:pStyle w:val="Compact"/>
            </w:pPr>
            <w:r>
              <w:t xml:space="preserve">What it means for this paper</w:t>
            </w:r>
          </w:p>
        </w:tc>
      </w:tr>
      <w:tr>
        <w:tc>
          <w:tcPr/>
          <w:p>
            <w:pPr>
              <w:pStyle w:val="Compact"/>
            </w:pPr>
            <w:r>
              <w:t xml:space="preserve">Scope and track selection</w:t>
            </w:r>
          </w:p>
        </w:tc>
        <w:tc>
          <w:tcPr/>
          <w:p>
            <w:pPr>
              <w:pStyle w:val="Compact"/>
            </w:pPr>
            <w:r>
              <w:t xml:space="preserve">Main track includes AI/ML for social sciences. The 2026 Evaluations &amp; Datasets track explicitly welcomes audits, failure-mode analyses, critical evaluations, and negative/use-case-inspired evaluation work.</w:t>
            </w:r>
          </w:p>
        </w:tc>
        <w:tc>
          <w:tcPr/>
          <w:p>
            <w:pPr>
              <w:pStyle w:val="Compact"/>
            </w:pPr>
            <w:r>
              <w:t xml:space="preserve">The manuscript is in scope, but it is better described as an evaluation/audit contribution than as a new ML-method paper.</w:t>
            </w:r>
          </w:p>
        </w:tc>
      </w:tr>
      <w:tr>
        <w:tc>
          <w:tcPr/>
          <w:p>
            <w:pPr>
              <w:pStyle w:val="Compact"/>
            </w:pPr>
            <w:r>
              <w:t xml:space="preserve">Main formatting rules</w:t>
            </w:r>
          </w:p>
        </w:tc>
        <w:tc>
          <w:tcPr/>
          <w:p>
            <w:pPr>
              <w:pStyle w:val="Compact"/>
            </w:pPr>
            <w:r>
              <w:t xml:space="preserve">Single PDF; main content, references, optional appendices, and mandatory checklist; nine content pages; 50MB limit; LaTeX style only.</w:t>
            </w:r>
          </w:p>
        </w:tc>
        <w:tc>
          <w:tcPr/>
          <w:p>
            <w:pPr>
              <w:pStyle w:val="Compact"/>
            </w:pPr>
            <w:r>
              <w:t xml:space="preserve">The current prose density is too high for a clean main-track paper unless standard material is moved out of the main body.</w:t>
            </w:r>
          </w:p>
        </w:tc>
      </w:tr>
      <w:tr>
        <w:tc>
          <w:tcPr/>
          <w:p>
            <w:pPr>
              <w:pStyle w:val="Compact"/>
            </w:pPr>
            <w:r>
              <w:t xml:space="preserve">Blind review</w:t>
            </w:r>
          </w:p>
        </w:tc>
        <w:tc>
          <w:tcPr/>
          <w:p>
            <w:pPr>
              <w:pStyle w:val="Compact"/>
            </w:pPr>
            <w:r>
              <w:t xml:space="preserve">All materials must be anonymized; linked materials count; acknowledgments must not appear in the submission version.</w:t>
            </w:r>
          </w:p>
        </w:tc>
        <w:tc>
          <w:tcPr/>
          <w:p>
            <w:pPr>
              <w:pStyle w:val="Compact"/>
            </w:pPr>
            <w:r>
              <w:t xml:space="preserve">The provided draft’s acknowledgments section must be removed before submission, and any code/data release must be anonymized.</w:t>
            </w:r>
          </w:p>
        </w:tc>
      </w:tr>
      <w:tr>
        <w:tc>
          <w:tcPr/>
          <w:p>
            <w:pPr>
              <w:pStyle w:val="Compact"/>
            </w:pPr>
            <w:r>
              <w:t xml:space="preserve">Review criteria</w:t>
            </w:r>
          </w:p>
        </w:tc>
        <w:tc>
          <w:tcPr/>
          <w:p>
            <w:pPr>
              <w:pStyle w:val="Compact"/>
            </w:pPr>
            <w:r>
              <w:t xml:space="preserve">Reviewers score quality, clarity, significance, and originality. “Accept” requires solid technical work with good-to-excellent evaluation, reproducibility, and no unaddressed ethical concerns.</w:t>
            </w:r>
          </w:p>
        </w:tc>
        <w:tc>
          <w:tcPr/>
          <w:p>
            <w:pPr>
              <w:pStyle w:val="Compact"/>
            </w:pPr>
            <w:r>
              <w:t xml:space="preserve">The paper cannot rely on an interesting thesis alone; it needs a stronger evidence package and tighter claim discipline.</w:t>
            </w:r>
          </w:p>
        </w:tc>
      </w:tr>
      <w:tr>
        <w:tc>
          <w:tcPr/>
          <w:p>
            <w:pPr>
              <w:pStyle w:val="Compact"/>
            </w:pPr>
            <w:r>
              <w:t xml:space="preserve">Checklist requirements</w:t>
            </w:r>
          </w:p>
        </w:tc>
        <w:tc>
          <w:tcPr/>
          <w:p>
            <w:pPr>
              <w:pStyle w:val="Compact"/>
            </w:pPr>
            <w:r>
              <w:t xml:space="preserve">Claims, limitations, theory assumptions/proofs when applicable, code/data/instructions, hyperparameters/splits, statistical significance, broader impacts, licenses, assets, and related ethics items all matter.</w:t>
            </w:r>
          </w:p>
        </w:tc>
        <w:tc>
          <w:tcPr/>
          <w:p>
            <w:pPr>
              <w:pStyle w:val="Compact"/>
            </w:pPr>
            <w:r>
              <w:t xml:space="preserve">The current draft is partial on some core checklist items and silent on several others.</w:t>
            </w:r>
          </w:p>
        </w:tc>
      </w:tr>
      <w:tr>
        <w:tc>
          <w:tcPr/>
          <w:p>
            <w:pPr>
              <w:pStyle w:val="Compact"/>
            </w:pPr>
            <w:r>
              <w:t xml:space="preserve">Supplementary material</w:t>
            </w:r>
          </w:p>
        </w:tc>
        <w:tc>
          <w:tcPr/>
          <w:p>
            <w:pPr>
              <w:pStyle w:val="Compact"/>
            </w:pPr>
            <w:r>
              <w:t xml:space="preserve">Supplementary PDFs and ZIPs are allowed, but reviewers are not required to read them.</w:t>
            </w:r>
          </w:p>
        </w:tc>
        <w:tc>
          <w:tcPr/>
          <w:p>
            <w:pPr>
              <w:pStyle w:val="Compact"/>
            </w:pPr>
            <w:r>
              <w:t xml:space="preserve">The key evidence cannot live only in an appendix or ZIP. At least one ablation/control table and the main diagnostic figure must be in the main paper.</w:t>
            </w:r>
          </w:p>
        </w:tc>
      </w:tr>
      <w:tr>
        <w:tc>
          <w:tcPr/>
          <w:p>
            <w:pPr>
              <w:pStyle w:val="Compact"/>
            </w:pPr>
            <w:r>
              <w:t xml:space="preserve">Use-Inspired guidance</w:t>
            </w:r>
          </w:p>
        </w:tc>
        <w:tc>
          <w:tcPr/>
          <w:p>
            <w:pPr>
              <w:pStyle w:val="Compact"/>
            </w:pPr>
            <w:r>
              <w:t xml:space="preserve">Real use case, non-standard datasets allowed, prior work outside ML should be considered, and methods/metrics should be matched to the real-world setting.</w:t>
            </w:r>
          </w:p>
        </w:tc>
        <w:tc>
          <w:tcPr/>
          <w:p>
            <w:pPr>
              <w:pStyle w:val="Compact"/>
            </w:pPr>
            <w:r>
              <w:t xml:space="preserve">If submitted to the main track, the paper needs much better engagement with folklore scholarship and stronger justification of why this audit matters to ML readers.</w:t>
            </w:r>
          </w:p>
        </w:tc>
      </w:tr>
      <w:tr>
        <w:tc>
          <w:tcPr/>
          <w:p>
            <w:pPr>
              <w:pStyle w:val="Compact"/>
            </w:pPr>
            <w:r>
              <w:t xml:space="preserve">E&amp;D artifact rules</w:t>
            </w:r>
          </w:p>
        </w:tc>
        <w:tc>
          <w:tcPr/>
          <w:p>
            <w:pPr>
              <w:pStyle w:val="Compact"/>
            </w:pPr>
            <w:r>
              <w:t xml:space="preserve">If the submission is an E&amp;D artifact-heavy evaluation paper, datasets/code may need hosting, accessibility, documentation, and—in dataset-centered cases—structured metadata.</w:t>
            </w:r>
          </w:p>
        </w:tc>
        <w:tc>
          <w:tcPr/>
          <w:p>
            <w:pPr>
              <w:pStyle w:val="Compact"/>
            </w:pPr>
            <w:r>
              <w:t xml:space="preserve">If the authors release a curated folktale resource or benchmark split, artifact documentation becomes part of the submission burden.</w:t>
            </w:r>
          </w:p>
        </w:tc>
      </w:tr>
    </w:tbl>
    <w:p>
      <w:pPr>
        <w:pStyle w:val="BodyText"/>
      </w:pPr>
      <w:r>
        <w:t xml:space="preserve">The summary above is drawn from the 2026 main-track call and handbook, the 2026 reviewer guidelines, the public checklist guide, the ethics code, and the 2026 Evaluations &amp; Datasets materials.</w:t>
      </w:r>
      <w:r>
        <w:t xml:space="preserve"> </w:t>
      </w:r>
      <w:hyperlink r:id="rId21">
        <w:r>
          <w:rPr>
            <w:rStyle w:val="Hyperlink"/>
          </w:rPr>
          <w:t xml:space="preserve">[5]</w:t>
        </w:r>
      </w:hyperlink>
    </w:p>
    <w:bookmarkEnd w:id="24"/>
    <w:bookmarkStart w:id="27" w:name="Xa391ff62cf2cedfc71c2d4e844fbf286c84d81e"/>
    <w:p>
      <w:pPr>
        <w:pStyle w:val="Heading2"/>
      </w:pPr>
      <w:r>
        <w:t xml:space="preserve">Comparative Assessment Against NeurIPS Criteria</w:t>
      </w:r>
    </w:p>
    <w:p>
      <w:pPr>
        <w:pStyle w:val="FirstParagraph"/>
      </w:pPr>
      <w:r>
        <w:t xml:space="preserve">The biggest strategic observation is that the draft currently behaves like a</w:t>
      </w:r>
      <w:r>
        <w:t xml:space="preserve"> </w:t>
      </w:r>
      <w:r>
        <w:rPr>
          <w:b/>
          <w:bCs/>
        </w:rPr>
        <w:t xml:space="preserve">case-study paper trying to wear the clothes of a general-method paper</w:t>
      </w:r>
      <w:r>
        <w:t xml:space="preserve">. NeurIPS can accept careful evaluations, audits, and negative findings. But the paper then has to look like a NeurIPS evaluation paper: sharply scoped, methodologically triangulated, explicit about alternative explanations, and visibly reproducible. That is not yet the current state of the manuscript.</w:t>
      </w:r>
      <w:r>
        <w:t xml:space="preserve"> </w:t>
      </w:r>
      <w:hyperlink r:id="rId25">
        <w:r>
          <w:rPr>
            <w:rStyle w:val="Hyperlink"/>
          </w:rPr>
          <w:t xml:space="preserve">[6]</w:t>
        </w:r>
      </w:hyperlink>
      <w:r>
        <w:t xml:space="preserve"> </w:t>
      </w:r>
      <w:r>
        <w:t xml:space="preserve">fileciteturn0file0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t xml:space="preserve">What NeurIPS will look for</w:t>
            </w:r>
          </w:p>
        </w:tc>
        <w:tc>
          <w:tcPr/>
          <w:p>
            <w:pPr>
              <w:pStyle w:val="Compact"/>
            </w:pPr>
            <w:r>
              <w:t xml:space="preserve">What the current draft does</w:t>
            </w:r>
          </w:p>
        </w:tc>
        <w:tc>
          <w:tcPr/>
          <w:p>
            <w:pPr>
              <w:pStyle w:val="Compact"/>
            </w:pPr>
            <w:r>
              <w:t xml:space="preserve">Assessment</w:t>
            </w:r>
          </w:p>
        </w:tc>
        <w:tc>
          <w:tcPr/>
          <w:p>
            <w:pPr>
              <w:pStyle w:val="Compact"/>
            </w:pPr>
            <w:r>
              <w:t xml:space="preserve">Highest-value fix</w:t>
            </w:r>
          </w:p>
        </w:tc>
      </w:tr>
      <w:tr>
        <w:tc>
          <w:tcPr/>
          <w:p>
            <w:pPr>
              <w:pStyle w:val="Compact"/>
            </w:pPr>
            <w:r>
              <w:t xml:space="preserve">Track and contribution fit</w:t>
            </w:r>
          </w:p>
        </w:tc>
        <w:tc>
          <w:tcPr/>
          <w:p>
            <w:pPr>
              <w:pStyle w:val="Compact"/>
            </w:pPr>
            <w:r>
              <w:t xml:space="preserve">A contribution type/track that matches the real contribution</w:t>
            </w:r>
          </w:p>
        </w:tc>
        <w:tc>
          <w:tcPr/>
          <w:p>
            <w:pPr>
              <w:pStyle w:val="Compact"/>
            </w:pPr>
            <w:r>
              <w:t xml:space="preserve">Reads like a main-track paper, but the core contribution is really an evaluation/audit of a culturally bounded taxonomy</w:t>
            </w:r>
          </w:p>
        </w:tc>
        <w:tc>
          <w:tcPr/>
          <w:p>
            <w:pPr>
              <w:pStyle w:val="Compact"/>
            </w:pPr>
            <w:r>
              <w:rPr>
                <w:b/>
                <w:bCs/>
              </w:rPr>
              <w:t xml:space="preserve">Mixed-to-weak</w:t>
            </w:r>
          </w:p>
        </w:tc>
        <w:tc>
          <w:tcPr/>
          <w:p>
            <w:pPr>
              <w:pStyle w:val="Compact"/>
            </w:pPr>
            <w:r>
              <w:t xml:space="preserve">Reposition as E&amp;D, or as main-track Use-Inspired with much stronger domain-method alignment</w:t>
            </w:r>
          </w:p>
        </w:tc>
      </w:tr>
      <w:tr>
        <w:tc>
          <w:tcPr/>
          <w:p>
            <w:pPr>
              <w:pStyle w:val="Compact"/>
            </w:pPr>
            <w:r>
              <w:t xml:space="preserve">Novelty and impact</w:t>
            </w:r>
          </w:p>
        </w:tc>
        <w:tc>
          <w:tcPr/>
          <w:p>
            <w:pPr>
              <w:pStyle w:val="Compact"/>
            </w:pPr>
            <w:r>
              <w:t xml:space="preserve">Clear explanation of what is newly learned and why ML researchers should care</w:t>
            </w:r>
          </w:p>
        </w:tc>
        <w:tc>
          <w:tcPr/>
          <w:p>
            <w:pPr>
              <w:pStyle w:val="Compact"/>
            </w:pPr>
            <w:r>
              <w:t xml:space="preserve">Interesting question, but the broader ML payoff is still underdeveloped</w:t>
            </w:r>
          </w:p>
        </w:tc>
        <w:tc>
          <w:tcPr/>
          <w:p>
            <w:pPr>
              <w:pStyle w:val="Compact"/>
            </w:pPr>
            <w:r>
              <w:rPr>
                <w:b/>
                <w:bCs/>
              </w:rPr>
              <w:t xml:space="preserve">Mixed</w:t>
            </w:r>
          </w:p>
        </w:tc>
        <w:tc>
          <w:tcPr/>
          <w:p>
            <w:pPr>
              <w:pStyle w:val="Compact"/>
            </w:pPr>
            <w:r>
              <w:t xml:space="preserve">Reframe as a general lesson about culturally brittle label spaces, benchmark transfer, and evaluation validity</w:t>
            </w:r>
          </w:p>
        </w:tc>
      </w:tr>
      <w:tr>
        <w:tc>
          <w:tcPr/>
          <w:p>
            <w:pPr>
              <w:pStyle w:val="Compact"/>
            </w:pPr>
            <w:r>
              <w:t xml:space="preserve">Problem statement</w:t>
            </w:r>
          </w:p>
        </w:tc>
        <w:tc>
          <w:tcPr/>
          <w:p>
            <w:pPr>
              <w:pStyle w:val="Compact"/>
            </w:pPr>
            <w:r>
              <w:t xml:space="preserve">Claims in abstract/introduction should match actual evidence and scope</w:t>
            </w:r>
          </w:p>
        </w:tc>
        <w:tc>
          <w:tcPr/>
          <w:p>
            <w:pPr>
              <w:pStyle w:val="Compact"/>
            </w:pPr>
            <w:r>
              <w:t xml:space="preserve">Strong motivating question, but claims sometimes jump from uncertainty differences to civilizational conclusions</w:t>
            </w:r>
          </w:p>
        </w:tc>
        <w:tc>
          <w:tcPr/>
          <w:p>
            <w:pPr>
              <w:pStyle w:val="Compact"/>
            </w:pPr>
            <w:r>
              <w:rPr>
                <w:b/>
                <w:bCs/>
              </w:rPr>
              <w:t xml:space="preserve">Mixed</w:t>
            </w:r>
          </w:p>
        </w:tc>
        <w:tc>
          <w:tcPr/>
          <w:p>
            <w:pPr>
              <w:pStyle w:val="Compact"/>
            </w:pPr>
            <w:r>
              <w:t xml:space="preserve">Narrow high-level claims to “transferability under this operationalization”</w:t>
            </w:r>
          </w:p>
        </w:tc>
      </w:tr>
      <w:tr>
        <w:tc>
          <w:tcPr/>
          <w:p>
            <w:pPr>
              <w:pStyle w:val="Compact"/>
            </w:pPr>
            <w:r>
              <w:t xml:space="preserve">Related work positioning</w:t>
            </w:r>
          </w:p>
        </w:tc>
        <w:tc>
          <w:tcPr/>
          <w:p>
            <w:pPr>
              <w:pStyle w:val="Compact"/>
            </w:pPr>
            <w:r>
              <w:t xml:space="preserve">Originality judged relative to relevant citations, including work outside ML for use-inspired papers</w:t>
            </w:r>
          </w:p>
        </w:tc>
        <w:tc>
          <w:tcPr/>
          <w:p>
            <w:pPr>
              <w:pStyle w:val="Compact"/>
            </w:pPr>
            <w:r>
              <w:t xml:space="preserve">Related work is very short and thin on OOD, benchmark auditing, cross-cultural NLP, and computational humanities</w:t>
            </w:r>
          </w:p>
        </w:tc>
        <w:tc>
          <w:tcPr/>
          <w:p>
            <w:pPr>
              <w:pStyle w:val="Compact"/>
            </w:pPr>
            <w:r>
              <w:rPr>
                <w:b/>
                <w:bCs/>
              </w:rPr>
              <w:t xml:space="preserve">Weak</w:t>
            </w:r>
          </w:p>
        </w:tc>
        <w:tc>
          <w:tcPr/>
          <w:p>
            <w:pPr>
              <w:pStyle w:val="Compact"/>
            </w:pPr>
            <w:r>
              <w:t xml:space="preserve">Expand significantly and separate folklore scholarship from ML evaluation literature</w:t>
            </w:r>
          </w:p>
        </w:tc>
      </w:tr>
      <w:tr>
        <w:tc>
          <w:tcPr/>
          <w:p>
            <w:pPr>
              <w:pStyle w:val="Compact"/>
            </w:pPr>
            <w:r>
              <w:t xml:space="preserve">Theoretical contribution</w:t>
            </w:r>
          </w:p>
        </w:tc>
        <w:tc>
          <w:tcPr/>
          <w:p>
            <w:pPr>
              <w:pStyle w:val="Compact"/>
            </w:pPr>
            <w:r>
              <w:t xml:space="preserve">If theory is claimed, assumptions/proofs must be central and rigorous</w:t>
            </w:r>
          </w:p>
        </w:tc>
        <w:tc>
          <w:tcPr/>
          <w:p>
            <w:pPr>
              <w:pStyle w:val="Compact"/>
            </w:pPr>
            <w:r>
              <w:t xml:space="preserve">No real new theorem or formal framework; many pages explain standard formulas</w:t>
            </w:r>
          </w:p>
        </w:tc>
        <w:tc>
          <w:tcPr/>
          <w:p>
            <w:pPr>
              <w:pStyle w:val="Compact"/>
            </w:pPr>
            <w:r>
              <w:rPr>
                <w:b/>
                <w:bCs/>
              </w:rPr>
              <w:t xml:space="preserve">Weak if pitched as theory</w:t>
            </w:r>
          </w:p>
        </w:tc>
        <w:tc>
          <w:tcPr/>
          <w:p>
            <w:pPr>
              <w:pStyle w:val="Compact"/>
            </w:pPr>
            <w:r>
              <w:t xml:space="preserve">Stop selling standard equations as contribution; move them to appendix</w:t>
            </w:r>
          </w:p>
        </w:tc>
      </w:tr>
      <w:tr>
        <w:tc>
          <w:tcPr/>
          <w:p>
            <w:pPr>
              <w:pStyle w:val="Compact"/>
            </w:pPr>
            <w:r>
              <w:t xml:space="preserve">Experimental rigor</w:t>
            </w:r>
          </w:p>
        </w:tc>
        <w:tc>
          <w:tcPr/>
          <w:p>
            <w:pPr>
              <w:pStyle w:val="Compact"/>
            </w:pPr>
            <w:r>
              <w:t xml:space="preserve">Support main claim with well-chosen baselines, controls, and ablations</w:t>
            </w:r>
          </w:p>
        </w:tc>
        <w:tc>
          <w:tcPr/>
          <w:p>
            <w:pPr>
              <w:pStyle w:val="Compact"/>
            </w:pPr>
            <w:r>
              <w:t xml:space="preserve">Multiple uncertainty metrics are good, but several must-have controls and shown ablations are missing</w:t>
            </w:r>
          </w:p>
        </w:tc>
        <w:tc>
          <w:tcPr/>
          <w:p>
            <w:pPr>
              <w:pStyle w:val="Compact"/>
            </w:pPr>
            <w:r>
              <w:rPr>
                <w:b/>
                <w:bCs/>
              </w:rPr>
              <w:t xml:space="preserve">Weak-to-mixed</w:t>
            </w:r>
          </w:p>
        </w:tc>
        <w:tc>
          <w:tcPr/>
          <w:p>
            <w:pPr>
              <w:pStyle w:val="Compact"/>
            </w:pPr>
            <w:r>
              <w:t xml:space="preserve">Add Europe-to-Europe transfer control, source/length-matched controls, and visible model ablations</w:t>
            </w:r>
          </w:p>
        </w:tc>
      </w:tr>
      <w:tr>
        <w:tc>
          <w:tcPr/>
          <w:p>
            <w:pPr>
              <w:pStyle w:val="Compact"/>
            </w:pPr>
            <w:r>
              <w:t xml:space="preserve">Statistical support</w:t>
            </w:r>
          </w:p>
        </w:tc>
        <w:tc>
          <w:tcPr/>
          <w:p>
            <w:pPr>
              <w:pStyle w:val="Compact"/>
            </w:pPr>
            <w:r>
              <w:t xml:space="preserve">Error bars/CIs or appropriate significance reporting</w:t>
            </w:r>
          </w:p>
        </w:tc>
        <w:tc>
          <w:tcPr/>
          <w:p>
            <w:pPr>
              <w:pStyle w:val="Compact"/>
            </w:pPr>
            <w:r>
              <w:t xml:space="preserve">Uses rank tests and effect sizes, which is a good start, but lacks CIs and multiplicity handling</w:t>
            </w:r>
          </w:p>
        </w:tc>
        <w:tc>
          <w:tcPr/>
          <w:p>
            <w:pPr>
              <w:pStyle w:val="Compact"/>
            </w:pPr>
            <w:r>
              <w:rPr>
                <w:b/>
                <w:bCs/>
              </w:rPr>
              <w:t xml:space="preserve">Mixed</w:t>
            </w:r>
          </w:p>
        </w:tc>
        <w:tc>
          <w:tcPr/>
          <w:p>
            <w:pPr>
              <w:pStyle w:val="Compact"/>
            </w:pPr>
            <w:r>
              <w:t xml:space="preserve">Add bootstrap CIs, corrected multiple comparisons, and region/source uncertainty estimates</w:t>
            </w:r>
          </w:p>
        </w:tc>
      </w:tr>
      <w:tr>
        <w:tc>
          <w:tcPr/>
          <w:p>
            <w:pPr>
              <w:pStyle w:val="Compact"/>
            </w:pPr>
            <w:r>
              <w:t xml:space="preserve">Reproducibility</w:t>
            </w:r>
          </w:p>
        </w:tc>
        <w:tc>
          <w:tcPr/>
          <w:p>
            <w:pPr>
              <w:pStyle w:val="Compact"/>
            </w:pPr>
            <w:r>
              <w:t xml:space="preserve">Reasonable path to reproduce claims, plus details on splits/hyperparameters/environment</w:t>
            </w:r>
          </w:p>
        </w:tc>
        <w:tc>
          <w:tcPr/>
          <w:p>
            <w:pPr>
              <w:pStyle w:val="Compact"/>
            </w:pPr>
            <w:r>
              <w:t xml:space="preserve">Some details are present, but there is no visible artifact package, exact commands, or release plan</w:t>
            </w:r>
          </w:p>
        </w:tc>
        <w:tc>
          <w:tcPr/>
          <w:p>
            <w:pPr>
              <w:pStyle w:val="Compact"/>
            </w:pPr>
            <w:r>
              <w:rPr>
                <w:b/>
                <w:bCs/>
              </w:rPr>
              <w:t xml:space="preserve">Weak</w:t>
            </w:r>
          </w:p>
        </w:tc>
        <w:tc>
          <w:tcPr/>
          <w:p>
            <w:pPr>
              <w:pStyle w:val="Compact"/>
            </w:pPr>
            <w:r>
              <w:t xml:space="preserve">Prepare anonymized code, manifest, environment, preprocessing, and result-generation scripts</w:t>
            </w:r>
          </w:p>
        </w:tc>
      </w:tr>
      <w:tr>
        <w:tc>
          <w:tcPr/>
          <w:p>
            <w:pPr>
              <w:pStyle w:val="Compact"/>
            </w:pPr>
            <w:r>
              <w:t xml:space="preserve">Writing quality</w:t>
            </w:r>
          </w:p>
        </w:tc>
        <w:tc>
          <w:tcPr/>
          <w:p>
            <w:pPr>
              <w:pStyle w:val="Compact"/>
            </w:pPr>
            <w:r>
              <w:t xml:space="preserve">Clear and well organized for an expert ML reader</w:t>
            </w:r>
          </w:p>
        </w:tc>
        <w:tc>
          <w:tcPr/>
          <w:p>
            <w:pPr>
              <w:pStyle w:val="Compact"/>
            </w:pPr>
            <w:r>
              <w:t xml:space="preserve">Readable, but too rhetorical and too long; methods over-explain standard tools</w:t>
            </w:r>
          </w:p>
        </w:tc>
        <w:tc>
          <w:tcPr/>
          <w:p>
            <w:pPr>
              <w:pStyle w:val="Compact"/>
            </w:pPr>
            <w:r>
              <w:rPr>
                <w:b/>
                <w:bCs/>
              </w:rPr>
              <w:t xml:space="preserve">Mixed</w:t>
            </w:r>
          </w:p>
        </w:tc>
        <w:tc>
          <w:tcPr/>
          <w:p>
            <w:pPr>
              <w:pStyle w:val="Compact"/>
            </w:pPr>
            <w:r>
              <w:t xml:space="preserve">Replace literary buildup with first-page problem–method–evidence pacing</w:t>
            </w:r>
          </w:p>
        </w:tc>
      </w:tr>
      <w:tr>
        <w:tc>
          <w:tcPr/>
          <w:p>
            <w:pPr>
              <w:pStyle w:val="Compact"/>
            </w:pPr>
            <w:r>
              <w:t xml:space="preserve">Figures and tables</w:t>
            </w:r>
          </w:p>
        </w:tc>
        <w:tc>
          <w:tcPr/>
          <w:p>
            <w:pPr>
              <w:pStyle w:val="Compact"/>
            </w:pPr>
            <w:r>
              <w:t xml:space="preserve">Reviewer-friendly evidence in the main paper</w:t>
            </w:r>
          </w:p>
        </w:tc>
        <w:tc>
          <w:tcPr/>
          <w:p>
            <w:pPr>
              <w:pStyle w:val="Compact"/>
            </w:pPr>
            <w:r>
              <w:t xml:space="preserve">No visible figures in the pasted draft; the evidence is table-heavy and text-heavy</w:t>
            </w:r>
          </w:p>
        </w:tc>
        <w:tc>
          <w:tcPr/>
          <w:p>
            <w:pPr>
              <w:pStyle w:val="Compact"/>
            </w:pPr>
            <w:r>
              <w:rPr>
                <w:b/>
                <w:bCs/>
              </w:rPr>
              <w:t xml:space="preserve">Weak</w:t>
            </w:r>
          </w:p>
        </w:tc>
        <w:tc>
          <w:tcPr/>
          <w:p>
            <w:pPr>
              <w:pStyle w:val="Compact"/>
            </w:pPr>
            <w:r>
              <w:t xml:space="preserve">Add a pipeline figure, a core uncertainty-distribution figure, and a region-level forest plot</w:t>
            </w:r>
          </w:p>
        </w:tc>
      </w:tr>
      <w:tr>
        <w:tc>
          <w:tcPr/>
          <w:p>
            <w:pPr>
              <w:pStyle w:val="Compact"/>
            </w:pPr>
            <w:r>
              <w:t xml:space="preserve">Appendix and supplementary</w:t>
            </w:r>
          </w:p>
        </w:tc>
        <w:tc>
          <w:tcPr/>
          <w:p>
            <w:pPr>
              <w:pStyle w:val="Compact"/>
            </w:pPr>
            <w:r>
              <w:t xml:space="preserve">Good support, but not essential for the reader to discover the main argument</w:t>
            </w:r>
          </w:p>
        </w:tc>
        <w:tc>
          <w:tcPr/>
          <w:p>
            <w:pPr>
              <w:pStyle w:val="Compact"/>
            </w:pPr>
            <w:r>
              <w:t xml:space="preserve">No appendix/supplement is shown, despite many details clearly needing one</w:t>
            </w:r>
          </w:p>
        </w:tc>
        <w:tc>
          <w:tcPr/>
          <w:p>
            <w:pPr>
              <w:pStyle w:val="Compact"/>
            </w:pPr>
            <w:r>
              <w:rPr>
                <w:b/>
                <w:bCs/>
              </w:rPr>
              <w:t xml:space="preserve">Weak</w:t>
            </w:r>
          </w:p>
        </w:tc>
        <w:tc>
          <w:tcPr/>
          <w:p>
            <w:pPr>
              <w:pStyle w:val="Compact"/>
            </w:pPr>
            <w:r>
              <w:t xml:space="preserve">Move standard material and full robustness details to appendix; keep one ablation/control table in main text</w:t>
            </w:r>
          </w:p>
        </w:tc>
      </w:tr>
      <w:tr>
        <w:tc>
          <w:tcPr/>
          <w:p>
            <w:pPr>
              <w:pStyle w:val="Compact"/>
            </w:pPr>
            <w:r>
              <w:t xml:space="preserve">Ethics and broader impacts</w:t>
            </w:r>
          </w:p>
        </w:tc>
        <w:tc>
          <w:tcPr/>
          <w:p>
            <w:pPr>
              <w:pStyle w:val="Compact"/>
            </w:pPr>
            <w:r>
              <w:t xml:space="preserve">Limitations, representative claims, licenses, and harms should be addressed</w:t>
            </w:r>
          </w:p>
        </w:tc>
        <w:tc>
          <w:tcPr/>
          <w:p>
            <w:pPr>
              <w:pStyle w:val="Compact"/>
            </w:pPr>
            <w:r>
              <w:t xml:space="preserve">Cultural-essentialism risks, translation-era bias, licensing/provenance, and representativeness are undertreated</w:t>
            </w:r>
          </w:p>
        </w:tc>
        <w:tc>
          <w:tcPr/>
          <w:p>
            <w:pPr>
              <w:pStyle w:val="Compact"/>
            </w:pPr>
            <w:r>
              <w:rPr>
                <w:b/>
                <w:bCs/>
              </w:rPr>
              <w:t xml:space="preserve">Weak</w:t>
            </w:r>
          </w:p>
        </w:tc>
        <w:tc>
          <w:tcPr/>
          <w:p>
            <w:pPr>
              <w:pStyle w:val="Compact"/>
            </w:pPr>
            <w:r>
              <w:t xml:space="preserve">Add explicit ethics/limitations/licensing discussion</w:t>
            </w:r>
          </w:p>
        </w:tc>
      </w:tr>
    </w:tbl>
    <w:p>
      <w:pPr>
        <w:pStyle w:val="BodyText"/>
      </w:pPr>
      <w:r>
        <w:t xml:space="preserve">This assessment combines the official review form and checklist expectations with the provided manuscript text.</w:t>
      </w:r>
      <w:r>
        <w:t xml:space="preserve"> </w:t>
      </w:r>
      <w:hyperlink r:id="rId22">
        <w:r>
          <w:rPr>
            <w:rStyle w:val="Hyperlink"/>
          </w:rPr>
          <w:t xml:space="preserve">[7]</w:t>
        </w:r>
      </w:hyperlink>
      <w:r>
        <w:t xml:space="preserve"> </w:t>
      </w:r>
      <w:r>
        <w:t xml:space="preserve">fileciteturn0file0</w:t>
      </w:r>
    </w:p>
    <w:p>
      <w:pPr>
        <w:pStyle w:val="BodyText"/>
      </w:pPr>
      <w:r>
        <w:t xml:space="preserve">Two</w:t>
      </w:r>
      <w:r>
        <w:t xml:space="preserve"> </w:t>
      </w:r>
      <w:r>
        <w:rPr>
          <w:b/>
          <w:bCs/>
        </w:rPr>
        <w:t xml:space="preserve">specific correctness problems</w:t>
      </w:r>
      <w:r>
        <w:t xml:space="preserve"> </w:t>
      </w:r>
      <w:r>
        <w:t xml:space="preserve">would seriously hurt reviewer trust if left unfixed. First, the per-region entropy table reports</w:t>
      </w:r>
      <w:r>
        <w:t xml:space="preserve"> </w:t>
      </w:r>
      <w:r>
        <w:rPr>
          <w:b/>
          <w:bCs/>
        </w:rPr>
        <w:t xml:space="preserve">Tibet = 0.7205</w:t>
      </w:r>
      <w:r>
        <w:t xml:space="preserve"> </w:t>
      </w:r>
      <w:r>
        <w:t xml:space="preserve">and</w:t>
      </w:r>
      <w:r>
        <w:t xml:space="preserve"> </w:t>
      </w:r>
      <w:r>
        <w:rPr>
          <w:b/>
          <w:bCs/>
        </w:rPr>
        <w:t xml:space="preserve">Malaysia = 0.7248</w:t>
      </w:r>
      <w:r>
        <w:t xml:space="preserve">, both below the Western baseline</w:t>
      </w:r>
      <w:r>
        <w:t xml:space="preserve"> </w:t>
      </w:r>
      <w:r>
        <w:rPr>
          <w:b/>
          <w:bCs/>
        </w:rPr>
        <w:t xml:space="preserve">0.7437</w:t>
      </w:r>
      <w:r>
        <w:t xml:space="preserve">, but the surrounding prose says that</w:t>
      </w:r>
      <w:r>
        <w:t xml:space="preserve"> </w:t>
      </w:r>
      <w:r>
        <w:rPr>
          <w:b/>
          <w:bCs/>
        </w:rPr>
        <w:t xml:space="preserve">all nine Asian regions exceed the Western baseline</w:t>
      </w:r>
      <w:r>
        <w:t xml:space="preserve">. Second, the results section says it is presenting the</w:t>
      </w:r>
      <w:r>
        <w:t xml:space="preserve"> </w:t>
      </w:r>
      <w:r>
        <w:rPr>
          <w:b/>
          <w:bCs/>
        </w:rPr>
        <w:t xml:space="preserve">ten</w:t>
      </w:r>
      <w:r>
        <w:t xml:space="preserve"> </w:t>
      </w:r>
      <w:r>
        <w:t xml:space="preserve">worst-performing classes, but the table and caption show</w:t>
      </w:r>
      <w:r>
        <w:t xml:space="preserve"> </w:t>
      </w:r>
      <w:r>
        <w:rPr>
          <w:b/>
          <w:bCs/>
        </w:rPr>
        <w:t xml:space="preserve">five</w:t>
      </w:r>
      <w:r>
        <w:t xml:space="preserve">. Those are not minor copyedits; they make reviewers question whether they can trust the rest of the numeric narrative. fileciteturn0file0</w:t>
      </w:r>
    </w:p>
    <w:p>
      <w:pPr>
        <w:pStyle w:val="BodyText"/>
      </w:pPr>
      <w:r>
        <w:t xml:space="preserve">There are also less dramatic but still costly presentation issues. The methods section appears to contain at least one terminology ambiguity that a reviewer will notice immediately: “word-level TF-IDF using 1–3-character n-grams” reads like either a typo or a misunderstanding of the feature specification. The draft also references “preliminary ablation studies (not shown here),” which is exactly the kind of claim that reads poorly in a venue where reviewers are not obliged to read supplementary material and may already be skeptical of strong negative conclusions. fileciteturn0file0</w:t>
      </w:r>
      <w:r>
        <w:t xml:space="preserve"> </w:t>
      </w:r>
      <w:hyperlink r:id="rId22">
        <w:r>
          <w:rPr>
            <w:rStyle w:val="Hyperlink"/>
          </w:rPr>
          <w:t xml:space="preserve">[8]</w:t>
        </w:r>
      </w:hyperlink>
    </w:p>
    <w:p>
      <w:pPr>
        <w:pStyle w:val="BodyText"/>
      </w:pPr>
      <w:r>
        <w:t xml:space="preserve">Against official NeurIPS exemplars, the gap is less about “polish” and more about</w:t>
      </w:r>
      <w:r>
        <w:t xml:space="preserve"> </w:t>
      </w:r>
      <w:r>
        <w:rPr>
          <w:b/>
          <w:bCs/>
        </w:rPr>
        <w:t xml:space="preserve">information density and triangulation</w:t>
      </w:r>
      <w:r>
        <w:t xml:space="preserve">. The official proceedings abstract for</w:t>
      </w:r>
      <w:r>
        <w:t xml:space="preserve"> </w:t>
      </w:r>
      <w:r>
        <w:rPr>
          <w:b/>
          <w:bCs/>
        </w:rPr>
        <w:t xml:space="preserve">Are Emergent Abilities of Large Language Models a Mirage?</w:t>
      </w:r>
      <w:r>
        <w:t xml:space="preserve"> </w:t>
      </w:r>
      <w:r>
        <w:t xml:space="preserve">states the alternative explanation and then promises</w:t>
      </w:r>
      <w:r>
        <w:t xml:space="preserve"> </w:t>
      </w:r>
      <w:r>
        <w:rPr>
          <w:b/>
          <w:bCs/>
        </w:rPr>
        <w:t xml:space="preserve">three complementary tests</w:t>
      </w:r>
      <w:r>
        <w:t xml:space="preserve"> </w:t>
      </w:r>
      <w:r>
        <w:t xml:space="preserve">in the abstract itself. The official proceedings abstract for</w:t>
      </w:r>
      <w:r>
        <w:t xml:space="preserve"> </w:t>
      </w:r>
      <w:r>
        <w:rPr>
          <w:b/>
          <w:bCs/>
        </w:rPr>
        <w:t xml:space="preserve">The PRISM Alignment Dataset</w:t>
      </w:r>
      <w:r>
        <w:t xml:space="preserve"> </w:t>
      </w:r>
      <w:r>
        <w:t xml:space="preserve">specifies population size, geographic breadth, and concrete case-study use. The official proceedings abstract for</w:t>
      </w:r>
      <w:r>
        <w:t xml:space="preserve"> </w:t>
      </w:r>
      <w:r>
        <w:rPr>
          <w:b/>
          <w:bCs/>
        </w:rPr>
        <w:t xml:space="preserve">What can a Single Attention Layer Learn?</w:t>
      </w:r>
      <w:r>
        <w:t xml:space="preserve"> </w:t>
      </w:r>
      <w:r>
        <w:t xml:space="preserve">states the precise formal setting, the kind of theorem proved, and the role of experiments in one compact arc. By contrast, the current ATU draft spends more space on motivation and standard exposition than on the exact logic needed to persuade an ML reviewer that the paper’s inference is specific and robust.</w:t>
      </w:r>
      <w:r>
        <w:t xml:space="preserve"> </w:t>
      </w:r>
      <w:hyperlink r:id="rId26">
        <w:r>
          <w:rPr>
            <w:rStyle w:val="Hyperlink"/>
          </w:rPr>
          <w:t xml:space="preserve">[9]</w:t>
        </w:r>
      </w:hyperlink>
    </w:p>
    <w:bookmarkEnd w:id="27"/>
    <w:bookmarkStart w:id="29" w:name="prioritized-revision-strategy"/>
    <w:p>
      <w:pPr>
        <w:pStyle w:val="Heading2"/>
      </w:pPr>
      <w:r>
        <w:t xml:space="preserve">Prioritized Revision Strategy</w:t>
      </w:r>
    </w:p>
    <w:p>
      <w:pPr>
        <w:pStyle w:val="FirstParagraph"/>
      </w:pPr>
      <w:r>
        <w:t xml:space="preserve">The single most important revision is to</w:t>
      </w:r>
      <w:r>
        <w:t xml:space="preserve"> </w:t>
      </w:r>
      <w:r>
        <w:rPr>
          <w:b/>
          <w:bCs/>
        </w:rPr>
        <w:t xml:space="preserve">change the paper’s center of gravity</w:t>
      </w:r>
      <w:r>
        <w:t xml:space="preserve">. The draft should stop reading like “a new research article about folklore universals” and start reading like “a carefully designed audit of whether a historically important label taxonomy transfers across cultural domains when operationalized with modern text representations.” That framing is much closer to what current NeurIPS reviewers are now told to reward, especially in the Evaluations &amp; Datasets track and in main-track Use-Inspired submissions.</w:t>
      </w:r>
      <w:r>
        <w:t xml:space="preserve"> </w:t>
      </w:r>
      <w:hyperlink r:id="rId28">
        <w:r>
          <w:rPr>
            <w:rStyle w:val="Hyperlink"/>
          </w:rPr>
          <w:t xml:space="preserve">[10]</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Recommendation</w:t>
            </w:r>
          </w:p>
        </w:tc>
        <w:tc>
          <w:tcPr/>
          <w:p>
            <w:pPr>
              <w:pStyle w:val="Compact"/>
            </w:pPr>
            <w:r>
              <w:t xml:space="preserve">Why it matters for review</w:t>
            </w:r>
          </w:p>
        </w:tc>
        <w:tc>
          <w:tcPr/>
          <w:p>
            <w:pPr>
              <w:pStyle w:val="Compact"/>
            </w:pPr>
            <w:r>
              <w:t xml:space="preserve">Estimated effort</w:t>
            </w:r>
          </w:p>
        </w:tc>
      </w:tr>
      <w:tr>
        <w:tc>
          <w:tcPr/>
          <w:p>
            <w:pPr>
              <w:pStyle w:val="Compact"/>
            </w:pPr>
            <w:r>
              <w:t xml:space="preserve">Highest</w:t>
            </w:r>
          </w:p>
        </w:tc>
        <w:tc>
          <w:tcPr/>
          <w:p>
            <w:pPr>
              <w:pStyle w:val="Compact"/>
            </w:pPr>
            <w:r>
              <w:rPr>
                <w:b/>
                <w:bCs/>
              </w:rPr>
              <w:t xml:space="preserve">Choose the right track and rewrite the first page accordingly</w:t>
            </w:r>
          </w:p>
        </w:tc>
        <w:tc>
          <w:tcPr/>
          <w:p>
            <w:pPr>
              <w:pStyle w:val="Compact"/>
            </w:pPr>
            <w:r>
              <w:t xml:space="preserve">Track mismatch is currently one of the biggest risks. E&amp;D is likely the cleanest fit; main-track Use-Inspired is the fallback.</w:t>
            </w:r>
          </w:p>
        </w:tc>
        <w:tc>
          <w:tcPr/>
          <w:p>
            <w:pPr>
              <w:pStyle w:val="Compact"/>
            </w:pPr>
            <w:r>
              <w:t xml:space="preserve">Medium</w:t>
            </w:r>
          </w:p>
        </w:tc>
      </w:tr>
      <w:tr>
        <w:tc>
          <w:tcPr/>
          <w:p>
            <w:pPr>
              <w:pStyle w:val="Compact"/>
            </w:pPr>
            <w:r>
              <w:t xml:space="preserve">Highest</w:t>
            </w:r>
          </w:p>
        </w:tc>
        <w:tc>
          <w:tcPr/>
          <w:p>
            <w:pPr>
              <w:pStyle w:val="Compact"/>
            </w:pPr>
            <w:r>
              <w:rPr>
                <w:b/>
                <w:bCs/>
              </w:rPr>
              <w:t xml:space="preserve">Calibrate the claims downward</w:t>
            </w:r>
          </w:p>
        </w:tc>
        <w:tc>
          <w:tcPr/>
          <w:p>
            <w:pPr>
              <w:pStyle w:val="Compact"/>
            </w:pPr>
            <w:r>
              <w:t xml:space="preserve">Reviewers will punish overclaiming more than they will punish caution. Change “ATU is not universal” to “ATU-trained representations transfer imperfectly on the evaluated corpora under this operationalization.”</w:t>
            </w:r>
          </w:p>
        </w:tc>
        <w:tc>
          <w:tcPr/>
          <w:p>
            <w:pPr>
              <w:pStyle w:val="Compact"/>
            </w:pPr>
            <w:r>
              <w:t xml:space="preserve">Low</w:t>
            </w:r>
          </w:p>
        </w:tc>
      </w:tr>
      <w:tr>
        <w:tc>
          <w:tcPr/>
          <w:p>
            <w:pPr>
              <w:pStyle w:val="Compact"/>
            </w:pPr>
            <w:r>
              <w:t xml:space="preserve">Highest</w:t>
            </w:r>
          </w:p>
        </w:tc>
        <w:tc>
          <w:tcPr/>
          <w:p>
            <w:pPr>
              <w:pStyle w:val="Compact"/>
            </w:pPr>
            <w:r>
              <w:rPr>
                <w:b/>
                <w:bCs/>
              </w:rPr>
              <w:t xml:space="preserve">Fix submission hygiene immediately</w:t>
            </w:r>
          </w:p>
        </w:tc>
        <w:tc>
          <w:tcPr/>
          <w:p>
            <w:pPr>
              <w:pStyle w:val="Compact"/>
            </w:pPr>
            <w:r>
              <w:t xml:space="preserve">Remove acknowledgments, add the mandatory checklist, anonymize any artifacts, and ensure the submission version is compliant.</w:t>
            </w:r>
          </w:p>
        </w:tc>
        <w:tc>
          <w:tcPr/>
          <w:p>
            <w:pPr>
              <w:pStyle w:val="Compact"/>
            </w:pPr>
            <w:r>
              <w:t xml:space="preserve">Low</w:t>
            </w:r>
          </w:p>
        </w:tc>
      </w:tr>
      <w:tr>
        <w:tc>
          <w:tcPr/>
          <w:p>
            <w:pPr>
              <w:pStyle w:val="Compact"/>
            </w:pPr>
            <w:r>
              <w:t xml:space="preserve">Highest</w:t>
            </w:r>
          </w:p>
        </w:tc>
        <w:tc>
          <w:tcPr/>
          <w:p>
            <w:pPr>
              <w:pStyle w:val="Compact"/>
            </w:pPr>
            <w:r>
              <w:rPr>
                <w:b/>
                <w:bCs/>
              </w:rPr>
              <w:t xml:space="preserve">Correct all internal inconsistencies</w:t>
            </w:r>
          </w:p>
        </w:tc>
        <w:tc>
          <w:tcPr/>
          <w:p>
            <w:pPr>
              <w:pStyle w:val="Compact"/>
            </w:pPr>
            <w:r>
              <w:t xml:space="preserve">The Tibet/Malaysia contradiction and the “ten vs. five classes” issue are trust breakers.</w:t>
            </w:r>
          </w:p>
        </w:tc>
        <w:tc>
          <w:tcPr/>
          <w:p>
            <w:pPr>
              <w:pStyle w:val="Compact"/>
            </w:pPr>
            <w:r>
              <w:t xml:space="preserve">Low</w:t>
            </w:r>
          </w:p>
        </w:tc>
      </w:tr>
      <w:tr>
        <w:tc>
          <w:tcPr/>
          <w:p>
            <w:pPr>
              <w:pStyle w:val="Compact"/>
            </w:pPr>
            <w:r>
              <w:t xml:space="preserve">High</w:t>
            </w:r>
          </w:p>
        </w:tc>
        <w:tc>
          <w:tcPr/>
          <w:p>
            <w:pPr>
              <w:pStyle w:val="Compact"/>
            </w:pPr>
            <w:r>
              <w:rPr>
                <w:b/>
                <w:bCs/>
              </w:rPr>
              <w:t xml:space="preserve">Rebalance the paper toward evidence rather than textbook exposition</w:t>
            </w:r>
          </w:p>
        </w:tc>
        <w:tc>
          <w:tcPr/>
          <w:p>
            <w:pPr>
              <w:pStyle w:val="Compact"/>
            </w:pPr>
            <w:r>
              <w:t xml:space="preserve">The main body is too long for a nine-page NeurIPS core and spends too much space on standard tools.</w:t>
            </w:r>
          </w:p>
        </w:tc>
        <w:tc>
          <w:tcPr/>
          <w:p>
            <w:pPr>
              <w:pStyle w:val="Compact"/>
            </w:pPr>
            <w:r>
              <w:t xml:space="preserve">Medium</w:t>
            </w:r>
          </w:p>
        </w:tc>
      </w:tr>
      <w:tr>
        <w:tc>
          <w:tcPr/>
          <w:p>
            <w:pPr>
              <w:pStyle w:val="Compact"/>
            </w:pPr>
            <w:r>
              <w:t xml:space="preserve">High</w:t>
            </w:r>
          </w:p>
        </w:tc>
        <w:tc>
          <w:tcPr/>
          <w:p>
            <w:pPr>
              <w:pStyle w:val="Compact"/>
            </w:pPr>
            <w:r>
              <w:rPr>
                <w:b/>
                <w:bCs/>
              </w:rPr>
              <w:t xml:space="preserve">Add three targeted controls</w:t>
            </w:r>
          </w:p>
        </w:tc>
        <w:tc>
          <w:tcPr/>
          <w:p>
            <w:pPr>
              <w:pStyle w:val="Compact"/>
            </w:pPr>
            <w:r>
              <w:t xml:space="preserve">These are what would most improve quality scores: Europe-to-Europe transfer control, source/translation-matched control, and visible encoder/feature ablations.</w:t>
            </w:r>
          </w:p>
        </w:tc>
        <w:tc>
          <w:tcPr/>
          <w:p>
            <w:pPr>
              <w:pStyle w:val="Compact"/>
            </w:pPr>
            <w:r>
              <w:t xml:space="preserve">Medium to high</w:t>
            </w:r>
          </w:p>
        </w:tc>
      </w:tr>
      <w:tr>
        <w:tc>
          <w:tcPr/>
          <w:p>
            <w:pPr>
              <w:pStyle w:val="Compact"/>
            </w:pPr>
            <w:r>
              <w:t xml:space="preserve">High</w:t>
            </w:r>
          </w:p>
        </w:tc>
        <w:tc>
          <w:tcPr/>
          <w:p>
            <w:pPr>
              <w:pStyle w:val="Compact"/>
            </w:pPr>
            <w:r>
              <w:rPr>
                <w:b/>
                <w:bCs/>
              </w:rPr>
              <w:t xml:space="preserve">Add main-text figures</w:t>
            </w:r>
          </w:p>
        </w:tc>
        <w:tc>
          <w:tcPr/>
          <w:p>
            <w:pPr>
              <w:pStyle w:val="Compact"/>
            </w:pPr>
            <w:r>
              <w:t xml:space="preserve">Reviewers should be able to see the whole argument in one glance.</w:t>
            </w:r>
          </w:p>
        </w:tc>
        <w:tc>
          <w:tcPr/>
          <w:p>
            <w:pPr>
              <w:pStyle w:val="Compact"/>
            </w:pPr>
            <w:r>
              <w:t xml:space="preserve">Medium</w:t>
            </w:r>
          </w:p>
        </w:tc>
      </w:tr>
      <w:tr>
        <w:tc>
          <w:tcPr/>
          <w:p>
            <w:pPr>
              <w:pStyle w:val="Compact"/>
            </w:pPr>
            <w:r>
              <w:t xml:space="preserve">High</w:t>
            </w:r>
          </w:p>
        </w:tc>
        <w:tc>
          <w:tcPr/>
          <w:p>
            <w:pPr>
              <w:pStyle w:val="Compact"/>
            </w:pPr>
            <w:r>
              <w:rPr>
                <w:b/>
                <w:bCs/>
              </w:rPr>
              <w:t xml:space="preserve">Build a real reproducibility package</w:t>
            </w:r>
          </w:p>
        </w:tc>
        <w:tc>
          <w:tcPr/>
          <w:p>
            <w:pPr>
              <w:pStyle w:val="Compact"/>
            </w:pPr>
            <w:r>
              <w:t xml:space="preserve">Quality, checklist compliance, and E&amp;D fit all improve if the artifact story is credible.</w:t>
            </w:r>
          </w:p>
        </w:tc>
        <w:tc>
          <w:tcPr/>
          <w:p>
            <w:pPr>
              <w:pStyle w:val="Compact"/>
            </w:pPr>
            <w:r>
              <w:t xml:space="preserve">Medium</w:t>
            </w:r>
          </w:p>
        </w:tc>
      </w:tr>
      <w:tr>
        <w:tc>
          <w:tcPr/>
          <w:p>
            <w:pPr>
              <w:pStyle w:val="Compact"/>
            </w:pPr>
            <w:r>
              <w:t xml:space="preserve">Medium</w:t>
            </w:r>
          </w:p>
        </w:tc>
        <w:tc>
          <w:tcPr/>
          <w:p>
            <w:pPr>
              <w:pStyle w:val="Compact"/>
            </w:pPr>
            <w:r>
              <w:rPr>
                <w:b/>
                <w:bCs/>
              </w:rPr>
              <w:t xml:space="preserve">Expand related work substantially</w:t>
            </w:r>
          </w:p>
        </w:tc>
        <w:tc>
          <w:tcPr/>
          <w:p>
            <w:pPr>
              <w:pStyle w:val="Compact"/>
            </w:pPr>
            <w:r>
              <w:t xml:space="preserve">Originality is judged against both ML and non-ML prior work, especially for use-inspired submissions.</w:t>
            </w:r>
          </w:p>
        </w:tc>
        <w:tc>
          <w:tcPr/>
          <w:p>
            <w:pPr>
              <w:pStyle w:val="Compact"/>
            </w:pPr>
            <w:r>
              <w:t xml:space="preserve">Medium</w:t>
            </w:r>
          </w:p>
        </w:tc>
      </w:tr>
      <w:tr>
        <w:tc>
          <w:tcPr/>
          <w:p>
            <w:pPr>
              <w:pStyle w:val="Compact"/>
            </w:pPr>
            <w:r>
              <w:t xml:space="preserve">Medium</w:t>
            </w:r>
          </w:p>
        </w:tc>
        <w:tc>
          <w:tcPr/>
          <w:p>
            <w:pPr>
              <w:pStyle w:val="Compact"/>
            </w:pPr>
            <w:r>
              <w:rPr>
                <w:b/>
                <w:bCs/>
              </w:rPr>
              <w:t xml:space="preserve">Add a real ethics/limitations section</w:t>
            </w:r>
          </w:p>
        </w:tc>
        <w:tc>
          <w:tcPr/>
          <w:p>
            <w:pPr>
              <w:pStyle w:val="Compact"/>
            </w:pPr>
            <w:r>
              <w:t xml:space="preserve">The current draft is vulnerable on representative-claim language, licensing, and cultural-essentialism risk.</w:t>
            </w:r>
          </w:p>
        </w:tc>
        <w:tc>
          <w:tcPr/>
          <w:p>
            <w:pPr>
              <w:pStyle w:val="Compact"/>
            </w:pPr>
            <w:r>
              <w:t xml:space="preserve">Low to medium</w:t>
            </w:r>
          </w:p>
        </w:tc>
      </w:tr>
      <w:tr>
        <w:tc>
          <w:tcPr/>
          <w:p>
            <w:pPr>
              <w:pStyle w:val="Compact"/>
            </w:pPr>
            <w:r>
              <w:t xml:space="preserve">Longer-horizon</w:t>
            </w:r>
          </w:p>
        </w:tc>
        <w:tc>
          <w:tcPr/>
          <w:p>
            <w:pPr>
              <w:pStyle w:val="Compact"/>
            </w:pPr>
            <w:r>
              <w:rPr>
                <w:b/>
                <w:bCs/>
              </w:rPr>
              <w:t xml:space="preserve">Add expert validation and multilingual follow-up</w:t>
            </w:r>
          </w:p>
        </w:tc>
        <w:tc>
          <w:tcPr/>
          <w:p>
            <w:pPr>
              <w:pStyle w:val="Compact"/>
            </w:pPr>
            <w:r>
              <w:t xml:space="preserve">This would materially strengthen significance and credibility for a future submission cycle.</w:t>
            </w:r>
          </w:p>
        </w:tc>
        <w:tc>
          <w:tcPr/>
          <w:p>
            <w:pPr>
              <w:pStyle w:val="Compact"/>
            </w:pPr>
            <w:r>
              <w:t xml:space="preserve">High</w:t>
            </w:r>
          </w:p>
        </w:tc>
      </w:tr>
    </w:tbl>
    <w:p>
      <w:pPr>
        <w:pStyle w:val="BodyText"/>
      </w:pPr>
      <w:r>
        <w:t xml:space="preserve">The most valuable</w:t>
      </w:r>
      <w:r>
        <w:t xml:space="preserve"> </w:t>
      </w:r>
      <w:r>
        <w:rPr>
          <w:b/>
          <w:bCs/>
        </w:rPr>
        <w:t xml:space="preserve">new experiments/analyses</w:t>
      </w:r>
      <w:r>
        <w:t xml:space="preserve"> </w:t>
      </w:r>
      <w:r>
        <w:t xml:space="preserve">are not a giant battery of benchmarks. They are a small set of</w:t>
      </w:r>
      <w:r>
        <w:t xml:space="preserve"> </w:t>
      </w:r>
      <w:r>
        <w:rPr>
          <w:b/>
          <w:bCs/>
        </w:rPr>
        <w:t xml:space="preserve">diagnostic controls</w:t>
      </w:r>
      <w:r>
        <w:t xml:space="preserve"> </w:t>
      </w:r>
      <w:r>
        <w:t xml:space="preserve">that directly answer the reviewer’s best alternative explanations:</w:t>
      </w:r>
    </w:p>
    <w:p>
      <w:pPr>
        <w:pStyle w:val="Compact"/>
        <w:numPr>
          <w:ilvl w:val="0"/>
          <w:numId w:val="1001"/>
        </w:numPr>
      </w:pPr>
      <w:r>
        <w:rPr>
          <w:b/>
          <w:bCs/>
        </w:rPr>
        <w:t xml:space="preserve">Europe-to-Europe transfer baseline.</w:t>
      </w:r>
      <w:r>
        <w:t xml:space="preserve"> </w:t>
      </w:r>
      <w:r>
        <w:t xml:space="preserve">Train on one set of European regions/sources and test on held-out European regions/sources. Without this, the paper cannot tell whether the Asian drop is culturally specific or simply what any cross-source domain shift looks like.</w:t>
      </w:r>
    </w:p>
    <w:p>
      <w:pPr>
        <w:pStyle w:val="Compact"/>
        <w:numPr>
          <w:ilvl w:val="0"/>
          <w:numId w:val="1001"/>
        </w:numPr>
      </w:pPr>
      <w:r>
        <w:rPr>
          <w:b/>
          <w:bCs/>
        </w:rPr>
        <w:t xml:space="preserve">Source- and translation-era control.</w:t>
      </w:r>
      <w:r>
        <w:t xml:space="preserve"> </w:t>
      </w:r>
      <w:r>
        <w:t xml:space="preserve">Construct a matched comparison where Western and Asian corpora are balanced or statistically controlled for source family, publication era, translator/editor style, and length.</w:t>
      </w:r>
    </w:p>
    <w:p>
      <w:pPr>
        <w:pStyle w:val="Compact"/>
        <w:numPr>
          <w:ilvl w:val="0"/>
          <w:numId w:val="1001"/>
        </w:numPr>
      </w:pPr>
      <w:r>
        <w:rPr>
          <w:b/>
          <w:bCs/>
        </w:rPr>
        <w:t xml:space="preserve">Ablation table in the main paper.</w:t>
      </w:r>
      <w:r>
        <w:t xml:space="preserve"> </w:t>
      </w:r>
      <w:r>
        <w:t xml:space="preserve">Show TF-IDF only, sentence embedding only, combined features, and at least one long-context or chunking-aware variant. The draft currently says unseen ablations exist; that needs to become visible evidence.</w:t>
      </w:r>
    </w:p>
    <w:p>
      <w:pPr>
        <w:pStyle w:val="Compact"/>
        <w:numPr>
          <w:ilvl w:val="0"/>
          <w:numId w:val="1001"/>
        </w:numPr>
      </w:pPr>
      <w:r>
        <w:rPr>
          <w:b/>
          <w:bCs/>
        </w:rPr>
        <w:t xml:space="preserve">Better uncertainty analysis.</w:t>
      </w:r>
      <w:r>
        <w:t xml:space="preserve"> </w:t>
      </w:r>
      <w:r>
        <w:t xml:space="preserve">Add bootstrap confidence intervals, corrected multiple comparisons across the four primary metrics, and region/source-level uncertainty intervals.</w:t>
      </w:r>
    </w:p>
    <w:p>
      <w:pPr>
        <w:pStyle w:val="Compact"/>
        <w:numPr>
          <w:ilvl w:val="0"/>
          <w:numId w:val="1001"/>
        </w:numPr>
      </w:pPr>
      <w:r>
        <w:rPr>
          <w:b/>
          <w:bCs/>
        </w:rPr>
        <w:t xml:space="preserve">One human-grounded validation.</w:t>
      </w:r>
      <w:r>
        <w:t xml:space="preserve"> </w:t>
      </w:r>
      <w:r>
        <w:t xml:space="preserve">Ideally, have domain experts score a small subset of tales for “ease of ATU fit” or “forced fit” and correlate that with model uncertainty. Even a 50–100-example scholar-annotated subset would substantially strengthen the conceptual bridge between “low confidence” and “taxonomy mismatch.”</w:t>
      </w:r>
    </w:p>
    <w:p>
      <w:pPr>
        <w:pStyle w:val="FirstParagraph"/>
      </w:pPr>
      <w:r>
        <w:t xml:space="preserve">Those changes align directly with what NeurIPS reviewers are asked to care about: whether claims are well supported, whether the design matches the use case, whether non-standard datasets are justified, whether significance extends beyond a narrow case study, and whether originality comes from new insight rather than merely from applying an existing model to a niche dataset.</w:t>
      </w:r>
      <w:r>
        <w:t xml:space="preserve"> </w:t>
      </w:r>
      <w:hyperlink r:id="rId25">
        <w:r>
          <w:rPr>
            <w:rStyle w:val="Hyperlink"/>
          </w:rPr>
          <w:t xml:space="preserve">[11]</w:t>
        </w:r>
      </w:hyperlink>
    </w:p>
    <w:p>
      <w:pPr>
        <w:pStyle w:val="BodyText"/>
      </w:pPr>
      <w:r>
        <w:t xml:space="preserve">The</w:t>
      </w:r>
      <w:r>
        <w:t xml:space="preserve"> </w:t>
      </w:r>
      <w:r>
        <w:rPr>
          <w:b/>
          <w:bCs/>
        </w:rPr>
        <w:t xml:space="preserve">conclusion</w:t>
      </w:r>
      <w:r>
        <w:t xml:space="preserve"> </w:t>
      </w:r>
      <w:r>
        <w:t xml:space="preserve">should also be rewritten, even if not fully replaced. In its current form it lands too hard on the thesis that the ATU Index is “not genuinely universal.” A stronger NeurIPS ending would do three things instead: restate the empirical finding precisely, specify what was and was not ruled out, and explain why the result matters for ML evaluation more broadly. In other words:</w:t>
      </w:r>
      <w:r>
        <w:t xml:space="preserve"> </w:t>
      </w:r>
      <w:r>
        <w:rPr>
          <w:b/>
          <w:bCs/>
        </w:rPr>
        <w:t xml:space="preserve">turn the conclusion from a verdict on civilizations into a lesson about transportability of taxonomies and evaluative claims.</w:t>
      </w:r>
      <w:r>
        <w:t xml:space="preserve"> </w:t>
      </w:r>
      <w:r>
        <w:t xml:space="preserve">fileciteturn0file0</w:t>
      </w:r>
    </w:p>
    <w:p>
      <w:pPr>
        <w:pStyle w:val="BodyText"/>
      </w:pPr>
      <w:r>
        <w:t xml:space="preserve">The paper structure should be simplified so that a reviewer can answer three questions by the end of page two:</w:t>
      </w:r>
      <w:r>
        <w:t xml:space="preserve"> </w:t>
      </w:r>
      <w:r>
        <w:rPr>
          <w:b/>
          <w:bCs/>
        </w:rPr>
        <w:t xml:space="preserve">What is being audited? Why should ML care? What evidence distinguishes cultural mismatch from ordinary domain shift?</w:t>
      </w:r>
      <w:r>
        <w:t xml:space="preserve"> </w:t>
      </w:r>
      <w:r>
        <w:t xml:space="preserve">The structure below is designed to force that discipline.</w:t>
      </w:r>
    </w:p>
    <w:p>
      <w:pPr>
        <w:pStyle w:val="SourceCode"/>
      </w:pPr>
      <w:r>
        <w:rPr>
          <w:rStyle w:val="VerbatimChar"/>
        </w:rPr>
        <w:t xml:space="preserve">flowchart TD</w:t>
      </w:r>
      <w:r>
        <w:br/>
      </w:r>
      <w:r>
        <w:rPr>
          <w:rStyle w:val="VerbatimChar"/>
        </w:rPr>
        <w:t xml:space="preserve">    A[Abstract: exact claim, setting, evidence, scope] --&gt; B[Introduction: benchmark transferability as an ML evaluation problem]</w:t>
      </w:r>
      <w:r>
        <w:br/>
      </w:r>
      <w:r>
        <w:rPr>
          <w:rStyle w:val="VerbatimChar"/>
        </w:rPr>
        <w:t xml:space="preserve">    B --&gt; C[Related work: OOD, benchmark audits, cross-cultural and folklore scholarship]</w:t>
      </w:r>
      <w:r>
        <w:br/>
      </w:r>
      <w:r>
        <w:rPr>
          <w:rStyle w:val="VerbatimChar"/>
        </w:rPr>
        <w:t xml:space="preserve">    C --&gt; D[Data and task definition]</w:t>
      </w:r>
      <w:r>
        <w:br/>
      </w:r>
      <w:r>
        <w:rPr>
          <w:rStyle w:val="VerbatimChar"/>
        </w:rPr>
        <w:t xml:space="preserve">    D --&gt; E[Validation design and primary hypotheses]</w:t>
      </w:r>
      <w:r>
        <w:br/>
      </w:r>
      <w:r>
        <w:rPr>
          <w:rStyle w:val="VerbatimChar"/>
        </w:rPr>
        <w:t xml:space="preserve">    E --&gt; F[Main results]</w:t>
      </w:r>
      <w:r>
        <w:br/>
      </w:r>
      <w:r>
        <w:rPr>
          <w:rStyle w:val="VerbatimChar"/>
        </w:rPr>
        <w:t xml:space="preserve">    F --&gt; G[Alternative explanations and robustness controls]</w:t>
      </w:r>
      <w:r>
        <w:br/>
      </w:r>
      <w:r>
        <w:rPr>
          <w:rStyle w:val="VerbatimChar"/>
        </w:rPr>
        <w:t xml:space="preserve">    G --&gt; H[Ethics, limitations, and responsible interpretation]</w:t>
      </w:r>
      <w:r>
        <w:br/>
      </w:r>
      <w:r>
        <w:rPr>
          <w:rStyle w:val="VerbatimChar"/>
        </w:rPr>
        <w:t xml:space="preserve">    H --&gt; I[Conclusion: what was shown and what remains open]</w:t>
      </w:r>
      <w:r>
        <w:br/>
      </w:r>
      <w:r>
        <w:br/>
      </w:r>
      <w:r>
        <w:rPr>
          <w:rStyle w:val="VerbatimChar"/>
        </w:rPr>
        <w:t xml:space="preserve">    J[Appendix: implementation details, full tables, proofs of standard formulas, source manifest, extra plots]</w:t>
      </w:r>
      <w:r>
        <w:br/>
      </w:r>
      <w:r>
        <w:rPr>
          <w:rStyle w:val="VerbatimChar"/>
        </w:rPr>
        <w:t xml:space="preserve">    F -. supports .-&gt; J</w:t>
      </w:r>
      <w:r>
        <w:br/>
      </w:r>
      <w:r>
        <w:rPr>
          <w:rStyle w:val="VerbatimChar"/>
        </w:rPr>
        <w:t xml:space="preserve">    G -. supports .-&gt; J</w:t>
      </w:r>
    </w:p>
    <w:bookmarkEnd w:id="29"/>
    <w:bookmarkStart w:id="33" w:name="example-edits"/>
    <w:p>
      <w:pPr>
        <w:pStyle w:val="Heading2"/>
      </w:pPr>
      <w:r>
        <w:t xml:space="preserve">Example Edits</w:t>
      </w:r>
    </w:p>
    <w:p>
      <w:pPr>
        <w:pStyle w:val="FirstParagraph"/>
      </w:pPr>
      <w:r>
        <w:t xml:space="preserve">The examples below are</w:t>
      </w:r>
      <w:r>
        <w:t xml:space="preserve"> </w:t>
      </w:r>
      <w:r>
        <w:rPr>
          <w:b/>
          <w:bCs/>
        </w:rPr>
        <w:t xml:space="preserve">not</w:t>
      </w:r>
      <w:r>
        <w:t xml:space="preserve"> </w:t>
      </w:r>
      <w:r>
        <w:t xml:space="preserve">proposed as final camera-ready prose. They are model rewrites that shift the paper toward the sort of compact, reviewer-oriented language rewarded in recent NeurIPS publications. They are based on the current manuscript’s apparent contribution and on the weaknesses identified above. fileciteturn0file0</w:t>
      </w:r>
      <w:r>
        <w:t xml:space="preserve"> </w:t>
      </w:r>
      <w:hyperlink r:id="rId26">
        <w:r>
          <w:rPr>
            <w:rStyle w:val="Hyperlink"/>
          </w:rPr>
          <w:t xml:space="preserve">[12]</w:t>
        </w:r>
      </w:hyperlink>
    </w:p>
    <w:bookmarkStart w:id="30" w:name="abstract"/>
    <w:p>
      <w:pPr>
        <w:pStyle w:val="Heading3"/>
      </w:pPr>
      <w:r>
        <w:t xml:space="preserve">Abstract</w:t>
      </w:r>
    </w:p>
    <w:p>
      <w:pPr>
        <w:pStyle w:val="BlockText"/>
      </w:pPr>
      <w:r>
        <w:t xml:space="preserve">The Aarne-Thompson-Uther (ATU) Index is widely used to classify folktales, but its transferability beyond the European traditions on which it was developed has not been quantified. We study this as an evaluation-transfer problem. We train a text classifier on 1,518 Western European folktales labeled with 14 coarse ATU groups and evaluate its behavior on 475 translated East and Southeast Asian folktales from nine regions. On held-out Western data, the classifier achieves 69.4% cross-validated accuracy, indicating that the coarse ATU label structure is learnable in-distribution. When applied out of distribution to the Asian corpora, the model shows systematically higher uncertainty across normalized entropy, top-2 margin, and Mahalanobis distance, with rank-based p-values below 3×10^-18 and medium effect sizes. We further analyze several alternative explanations, including text length, calibration, and source heterogeneity. Our results suggest that ATU label structure learned from European data transfers imperfectly to the evaluated Asian corpora under this operationalization. More broadly, the study illustrates how machine learning can be used to audit culturally localized taxonomies and motivates evaluation practices for more culturally grounded narrative classification.</w:t>
      </w:r>
    </w:p>
    <w:bookmarkEnd w:id="30"/>
    <w:bookmarkStart w:id="31" w:name="introduction-opening"/>
    <w:p>
      <w:pPr>
        <w:pStyle w:val="Heading3"/>
      </w:pPr>
      <w:r>
        <w:t xml:space="preserve">Introduction Opening</w:t>
      </w:r>
    </w:p>
    <w:p>
      <w:pPr>
        <w:pStyle w:val="BlockText"/>
      </w:pPr>
      <w:r>
        <w:t xml:space="preserve">Many machine-learning pipelines assume that a label space defined in one population or historical context will remain meaningful when transferred to another. That assumption is often convenient, but it is not always tested. In this paper, we examine that problem in a setting where the label space itself is historically important: the Aarne-Thompson-Uther Index for folktales.</w:t>
      </w:r>
    </w:p>
    <w:p>
      <w:pPr>
        <w:pStyle w:val="BlockText"/>
      </w:pPr>
      <w:r>
        <w:t xml:space="preserve">The ATU Index was developed primarily from European material and is now widely used as a comparative taxonomy. We ask whether that taxonomy behaves like a portable category system when operationalized with a modern text classifier. Concretely, we train on ATU-labeled Western European tales and measure how uncertainty changes when the learned label geometry is applied to East and Southeast Asian tale corpora. Framed this way, the paper is not about replacing folklore scholarship with classification. It is about auditing whether a historically influential taxonomy transfers across cultural domains, and about what that audit implies for evaluation and benchmark design more broadly.</w:t>
      </w:r>
    </w:p>
    <w:bookmarkEnd w:id="31"/>
    <w:bookmarkStart w:id="32" w:name="limitations-section"/>
    <w:p>
      <w:pPr>
        <w:pStyle w:val="Heading3"/>
      </w:pPr>
      <w:r>
        <w:t xml:space="preserve">Limitations Section</w:t>
      </w:r>
    </w:p>
    <w:p>
      <w:pPr>
        <w:pStyle w:val="BlockText"/>
      </w:pPr>
      <w:r>
        <w:rPr>
          <w:b/>
          <w:bCs/>
        </w:rPr>
        <w:t xml:space="preserve">Limitations.</w:t>
      </w:r>
      <w:r>
        <w:t xml:space="preserve"> </w:t>
      </w:r>
      <w:r>
        <w:t xml:space="preserve">This study does not prove that East and Southeast Asian folktales are “outside” the ATU system in any absolute sense. It studies a narrower question: how well a classifier trained on ATU-labeled Western European tales transfers to translated Asian corpora under one operationalization of ATU categories and one family of text representations. The results therefore depend on corpus construction, translation history, preprocessing choices, and the use of model uncertainty as a proxy for category fit. The study is also limited to English translations, to a coarse 14-class grouping, and to the selected regional sources. In addition, lower classifier confidence may reflect both culturally meaningful label mismatch and more ordinary forms of domain shift. For that reason, the findings should be interpreted as evidence of imperfect transferability, not as a definitive claim that the ATU framework is invalid for all non-European narrative traditions.</w:t>
      </w:r>
    </w:p>
    <w:bookmarkEnd w:id="32"/>
    <w:bookmarkEnd w:id="33"/>
    <w:bookmarkStart w:id="35" w:name="revision-checklist-and-timeline"/>
    <w:p>
      <w:pPr>
        <w:pStyle w:val="Heading2"/>
      </w:pPr>
      <w:r>
        <w:t xml:space="preserve">Revision Checklist and Timeline</w:t>
      </w:r>
    </w:p>
    <w:p>
      <w:pPr>
        <w:pStyle w:val="FirstParagraph"/>
      </w:pPr>
      <w:r>
        <w:t xml:space="preserve">Two official deadline facts matter immediately. First, the 2026 abstract deadline is</w:t>
      </w:r>
      <w:r>
        <w:t xml:space="preserve"> </w:t>
      </w:r>
      <w:r>
        <w:rPr>
          <w:b/>
          <w:bCs/>
        </w:rPr>
        <w:t xml:space="preserve">May 4, 2026 AoE</w:t>
      </w:r>
      <w:r>
        <w:t xml:space="preserve">, and the full-paper deadline is</w:t>
      </w:r>
      <w:r>
        <w:t xml:space="preserve"> </w:t>
      </w:r>
      <w:r>
        <w:rPr>
          <w:b/>
          <w:bCs/>
        </w:rPr>
        <w:t xml:space="preserve">May 6, 2026 AoE</w:t>
      </w:r>
      <w:r>
        <w:t xml:space="preserve">. Second, if the abstract deadline is missed, a full paper cannot be submitted. Third, after reviews arrive, authors cannot upload a revised PDF; they can only respond in the discussion system, and the original submission remains the basis for evaluation. That means missing controls, broken tables, and missing checklist/compliance items are</w:t>
      </w:r>
      <w:r>
        <w:t xml:space="preserve"> </w:t>
      </w:r>
      <w:r>
        <w:rPr>
          <w:b/>
          <w:bCs/>
        </w:rPr>
        <w:t xml:space="preserve">pre-submission problems</w:t>
      </w:r>
      <w:r>
        <w:t xml:space="preserve">, not rebuttal problems. Submission and discussion run through OpenReview</w:t>
      </w:r>
      <w:hyperlink r:id="rId22">
        <w:r>
          <w:rPr>
            <w:rStyle w:val="Hyperlink"/>
          </w:rPr>
          <w:t xml:space="preserve">[13]</w:t>
        </w:r>
      </w:hyperlink>
      <w:r>
        <w:t xml:space="preserve">.</w:t>
      </w:r>
      <w:r>
        <w:t xml:space="preserve"> </w:t>
      </w:r>
      <w:hyperlink r:id="rId21">
        <w:r>
          <w:rPr>
            <w:rStyle w:val="Hyperlink"/>
          </w:rPr>
          <w:t xml:space="preserve">[14]</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Checklist item</w:t>
            </w:r>
          </w:p>
        </w:tc>
        <w:tc>
          <w:tcPr/>
          <w:p>
            <w:pPr>
              <w:pStyle w:val="Compact"/>
            </w:pPr>
            <w:r>
              <w:t xml:space="preserve">Provisional status for current draft</w:t>
            </w:r>
          </w:p>
        </w:tc>
        <w:tc>
          <w:tcPr/>
          <w:p>
            <w:pPr>
              <w:pStyle w:val="Compact"/>
            </w:pPr>
            <w:r>
              <w:t xml:space="preserve">What to do before submission</w:t>
            </w:r>
          </w:p>
        </w:tc>
        <w:tc>
          <w:tcPr/>
          <w:p>
            <w:pPr>
              <w:pStyle w:val="Compact"/>
            </w:pPr>
            <w:r>
              <w:t xml:space="preserve">Effort</w:t>
            </w:r>
          </w:p>
        </w:tc>
      </w:tr>
      <w:tr>
        <w:tc>
          <w:tcPr/>
          <w:p>
            <w:pPr>
              <w:pStyle w:val="Compact"/>
            </w:pPr>
            <w:r>
              <w:t xml:space="preserve">Claims reflect actual evidence</w:t>
            </w:r>
          </w:p>
        </w:tc>
        <w:tc>
          <w:tcPr/>
          <w:p>
            <w:pPr>
              <w:pStyle w:val="Compact"/>
            </w:pPr>
            <w:r>
              <w:rPr>
                <w:b/>
                <w:bCs/>
              </w:rPr>
              <w:t xml:space="preserve">Partial</w:t>
            </w:r>
          </w:p>
        </w:tc>
        <w:tc>
          <w:tcPr/>
          <w:p>
            <w:pPr>
              <w:pStyle w:val="Compact"/>
            </w:pPr>
            <w:r>
              <w:t xml:space="preserve">Narrow the abstract/introduction/conclusion claims; remove any jump from model uncertainty to broad cultural-essentialist conclusions</w:t>
            </w:r>
          </w:p>
        </w:tc>
        <w:tc>
          <w:tcPr/>
          <w:p>
            <w:pPr>
              <w:pStyle w:val="Compact"/>
            </w:pPr>
            <w:r>
              <w:t xml:space="preserve">Low</w:t>
            </w:r>
          </w:p>
        </w:tc>
      </w:tr>
      <w:tr>
        <w:tc>
          <w:tcPr/>
          <w:p>
            <w:pPr>
              <w:pStyle w:val="Compact"/>
            </w:pPr>
            <w:r>
              <w:t xml:space="preserve">Limitations explicitly discussed</w:t>
            </w:r>
          </w:p>
        </w:tc>
        <w:tc>
          <w:tcPr/>
          <w:p>
            <w:pPr>
              <w:pStyle w:val="Compact"/>
            </w:pPr>
            <w:r>
              <w:rPr>
                <w:b/>
                <w:bCs/>
              </w:rPr>
              <w:t xml:space="preserve">Partial</w:t>
            </w:r>
          </w:p>
        </w:tc>
        <w:tc>
          <w:tcPr/>
          <w:p>
            <w:pPr>
              <w:pStyle w:val="Compact"/>
            </w:pPr>
            <w:r>
              <w:t xml:space="preserve">Add a dedicated limitations section in the main paper</w:t>
            </w:r>
          </w:p>
        </w:tc>
        <w:tc>
          <w:tcPr/>
          <w:p>
            <w:pPr>
              <w:pStyle w:val="Compact"/>
            </w:pPr>
            <w:r>
              <w:t xml:space="preserve">Low</w:t>
            </w:r>
          </w:p>
        </w:tc>
      </w:tr>
      <w:tr>
        <w:tc>
          <w:tcPr/>
          <w:p>
            <w:pPr>
              <w:pStyle w:val="Compact"/>
            </w:pPr>
            <w:r>
              <w:t xml:space="preserve">Theoretical assumptions/proofs</w:t>
            </w:r>
          </w:p>
        </w:tc>
        <w:tc>
          <w:tcPr/>
          <w:p>
            <w:pPr>
              <w:pStyle w:val="Compact"/>
            </w:pPr>
            <w:r>
              <w:rPr>
                <w:b/>
                <w:bCs/>
              </w:rPr>
              <w:t xml:space="preserve">N/A or misleadingly emphasized</w:t>
            </w:r>
          </w:p>
        </w:tc>
        <w:tc>
          <w:tcPr/>
          <w:p>
            <w:pPr>
              <w:pStyle w:val="Compact"/>
            </w:pPr>
            <w:r>
              <w:t xml:space="preserve">Reclassify standard formulas as background; do not imply novel theory unless real theory is added</w:t>
            </w:r>
          </w:p>
        </w:tc>
        <w:tc>
          <w:tcPr/>
          <w:p>
            <w:pPr>
              <w:pStyle w:val="Compact"/>
            </w:pPr>
            <w:r>
              <w:t xml:space="preserve">Low</w:t>
            </w:r>
          </w:p>
        </w:tc>
      </w:tr>
      <w:tr>
        <w:tc>
          <w:tcPr/>
          <w:p>
            <w:pPr>
              <w:pStyle w:val="Compact"/>
            </w:pPr>
            <w:r>
              <w:t xml:space="preserve">Reproducibility avenue provided</w:t>
            </w:r>
          </w:p>
        </w:tc>
        <w:tc>
          <w:tcPr/>
          <w:p>
            <w:pPr>
              <w:pStyle w:val="Compact"/>
            </w:pPr>
            <w:r>
              <w:rPr>
                <w:b/>
                <w:bCs/>
              </w:rPr>
              <w:t xml:space="preserve">No</w:t>
            </w:r>
          </w:p>
        </w:tc>
        <w:tc>
          <w:tcPr/>
          <w:p>
            <w:pPr>
              <w:pStyle w:val="Compact"/>
            </w:pPr>
            <w:r>
              <w:t xml:space="preserve">Provide anonymized code or a clearly documented reproduction path, including exact commands and environment</w:t>
            </w:r>
          </w:p>
        </w:tc>
        <w:tc>
          <w:tcPr/>
          <w:p>
            <w:pPr>
              <w:pStyle w:val="Compact"/>
            </w:pPr>
            <w:r>
              <w:t xml:space="preserve">Medium</w:t>
            </w:r>
          </w:p>
        </w:tc>
      </w:tr>
      <w:tr>
        <w:tc>
          <w:tcPr/>
          <w:p>
            <w:pPr>
              <w:pStyle w:val="Compact"/>
            </w:pPr>
            <w:r>
              <w:t xml:space="preserve">Open access to code/data</w:t>
            </w:r>
          </w:p>
        </w:tc>
        <w:tc>
          <w:tcPr/>
          <w:p>
            <w:pPr>
              <w:pStyle w:val="Compact"/>
            </w:pPr>
            <w:r>
              <w:rPr>
                <w:b/>
                <w:bCs/>
              </w:rPr>
              <w:t xml:space="preserve">No visible artifact</w:t>
            </w:r>
          </w:p>
        </w:tc>
        <w:tc>
          <w:tcPr/>
          <w:p>
            <w:pPr>
              <w:pStyle w:val="Compact"/>
            </w:pPr>
            <w:r>
              <w:t xml:space="preserve">Add anonymized supplementary repository/package; if data licensing prevents full release, say exactly what can be shared</w:t>
            </w:r>
          </w:p>
        </w:tc>
        <w:tc>
          <w:tcPr/>
          <w:p>
            <w:pPr>
              <w:pStyle w:val="Compact"/>
            </w:pPr>
            <w:r>
              <w:t xml:space="preserve">Medium</w:t>
            </w:r>
          </w:p>
        </w:tc>
      </w:tr>
      <w:tr>
        <w:tc>
          <w:tcPr/>
          <w:p>
            <w:pPr>
              <w:pStyle w:val="Compact"/>
            </w:pPr>
            <w:r>
              <w:t xml:space="preserve">Experimental details and hyperparameters</w:t>
            </w:r>
          </w:p>
        </w:tc>
        <w:tc>
          <w:tcPr/>
          <w:p>
            <w:pPr>
              <w:pStyle w:val="Compact"/>
            </w:pPr>
            <w:r>
              <w:rPr>
                <w:b/>
                <w:bCs/>
              </w:rPr>
              <w:t xml:space="preserve">Partial</w:t>
            </w:r>
          </w:p>
        </w:tc>
        <w:tc>
          <w:tcPr/>
          <w:p>
            <w:pPr>
              <w:pStyle w:val="Compact"/>
            </w:pPr>
            <w:r>
              <w:t xml:space="preserve">Add split construction, seeds, tokenizer/preprocessing details, ablation settings, and hyperparameter-selection rules</w:t>
            </w:r>
          </w:p>
        </w:tc>
        <w:tc>
          <w:tcPr/>
          <w:p>
            <w:pPr>
              <w:pStyle w:val="Compact"/>
            </w:pPr>
            <w:r>
              <w:t xml:space="preserve">Medium</w:t>
            </w:r>
          </w:p>
        </w:tc>
      </w:tr>
      <w:tr>
        <w:tc>
          <w:tcPr/>
          <w:p>
            <w:pPr>
              <w:pStyle w:val="Compact"/>
            </w:pPr>
            <w:r>
              <w:t xml:space="preserve">Statistical significance reporting</w:t>
            </w:r>
          </w:p>
        </w:tc>
        <w:tc>
          <w:tcPr/>
          <w:p>
            <w:pPr>
              <w:pStyle w:val="Compact"/>
            </w:pPr>
            <w:r>
              <w:rPr>
                <w:b/>
                <w:bCs/>
              </w:rPr>
              <w:t xml:space="preserve">Partial</w:t>
            </w:r>
          </w:p>
        </w:tc>
        <w:tc>
          <w:tcPr/>
          <w:p>
            <w:pPr>
              <w:pStyle w:val="Compact"/>
            </w:pPr>
            <w:r>
              <w:t xml:space="preserve">Add confidence intervals, multiplicity handling, and uncertainty for region-level analyses</w:t>
            </w:r>
          </w:p>
        </w:tc>
        <w:tc>
          <w:tcPr/>
          <w:p>
            <w:pPr>
              <w:pStyle w:val="Compact"/>
            </w:pPr>
            <w:r>
              <w:t xml:space="preserve">Medium</w:t>
            </w:r>
          </w:p>
        </w:tc>
      </w:tr>
      <w:tr>
        <w:tc>
          <w:tcPr/>
          <w:p>
            <w:pPr>
              <w:pStyle w:val="Compact"/>
            </w:pPr>
            <w:r>
              <w:t xml:space="preserve">Ethics/code-of-ethics alignment</w:t>
            </w:r>
          </w:p>
        </w:tc>
        <w:tc>
          <w:tcPr/>
          <w:p>
            <w:pPr>
              <w:pStyle w:val="Compact"/>
            </w:pPr>
            <w:r>
              <w:rPr>
                <w:b/>
                <w:bCs/>
              </w:rPr>
              <w:t xml:space="preserve">Unclear</w:t>
            </w:r>
          </w:p>
        </w:tc>
        <w:tc>
          <w:tcPr/>
          <w:p>
            <w:pPr>
              <w:pStyle w:val="Compact"/>
            </w:pPr>
            <w:r>
              <w:t xml:space="preserve">Add short ethics paragraph on representation, translation bias, provenance, and claim limits</w:t>
            </w:r>
          </w:p>
        </w:tc>
        <w:tc>
          <w:tcPr/>
          <w:p>
            <w:pPr>
              <w:pStyle w:val="Compact"/>
            </w:pPr>
            <w:r>
              <w:t xml:space="preserve">Low</w:t>
            </w:r>
          </w:p>
        </w:tc>
      </w:tr>
      <w:tr>
        <w:tc>
          <w:tcPr/>
          <w:p>
            <w:pPr>
              <w:pStyle w:val="Compact"/>
            </w:pPr>
            <w:r>
              <w:t xml:space="preserve">Broader impacts / potential harms</w:t>
            </w:r>
          </w:p>
        </w:tc>
        <w:tc>
          <w:tcPr/>
          <w:p>
            <w:pPr>
              <w:pStyle w:val="Compact"/>
            </w:pPr>
            <w:r>
              <w:rPr>
                <w:b/>
                <w:bCs/>
              </w:rPr>
              <w:t xml:space="preserve">Weak</w:t>
            </w:r>
          </w:p>
        </w:tc>
        <w:tc>
          <w:tcPr/>
          <w:p>
            <w:pPr>
              <w:pStyle w:val="Compact"/>
            </w:pPr>
            <w:r>
              <w:t xml:space="preserve">Discuss risks of overgeneralizing across cultures and of reifying civilizational categories</w:t>
            </w:r>
          </w:p>
        </w:tc>
        <w:tc>
          <w:tcPr/>
          <w:p>
            <w:pPr>
              <w:pStyle w:val="Compact"/>
            </w:pPr>
            <w:r>
              <w:t xml:space="preserve">Low</w:t>
            </w:r>
          </w:p>
        </w:tc>
      </w:tr>
      <w:tr>
        <w:tc>
          <w:tcPr/>
          <w:p>
            <w:pPr>
              <w:pStyle w:val="Compact"/>
            </w:pPr>
            <w:r>
              <w:t xml:space="preserve">Licenses and terms of use for assets</w:t>
            </w:r>
          </w:p>
        </w:tc>
        <w:tc>
          <w:tcPr/>
          <w:p>
            <w:pPr>
              <w:pStyle w:val="Compact"/>
            </w:pPr>
            <w:r>
              <w:rPr>
                <w:b/>
                <w:bCs/>
              </w:rPr>
              <w:t xml:space="preserve">No</w:t>
            </w:r>
          </w:p>
        </w:tc>
        <w:tc>
          <w:tcPr/>
          <w:p>
            <w:pPr>
              <w:pStyle w:val="Compact"/>
            </w:pPr>
            <w:r>
              <w:t xml:space="preserve">Add source-provenance and license table for each corpus source</w:t>
            </w:r>
          </w:p>
        </w:tc>
        <w:tc>
          <w:tcPr/>
          <w:p>
            <w:pPr>
              <w:pStyle w:val="Compact"/>
            </w:pPr>
            <w:r>
              <w:t xml:space="preserve">Medium</w:t>
            </w:r>
          </w:p>
        </w:tc>
      </w:tr>
      <w:tr>
        <w:tc>
          <w:tcPr/>
          <w:p>
            <w:pPr>
              <w:pStyle w:val="Compact"/>
            </w:pPr>
            <w:r>
              <w:t xml:space="preserve">Asset documentation if releasing a dataset/benchmark</w:t>
            </w:r>
          </w:p>
        </w:tc>
        <w:tc>
          <w:tcPr/>
          <w:p>
            <w:pPr>
              <w:pStyle w:val="Compact"/>
            </w:pPr>
            <w:r>
              <w:rPr>
                <w:b/>
                <w:bCs/>
              </w:rPr>
              <w:t xml:space="preserve">Unclear</w:t>
            </w:r>
          </w:p>
        </w:tc>
        <w:tc>
          <w:tcPr/>
          <w:p>
            <w:pPr>
              <w:pStyle w:val="Compact"/>
            </w:pPr>
            <w:r>
              <w:t xml:space="preserve">If releasing the compiled corpus or splits, document intended use, limitations, and license; if using E&amp;D and releasing data, prepare hosted documentation/metadata</w:t>
            </w:r>
          </w:p>
        </w:tc>
        <w:tc>
          <w:tcPr/>
          <w:p>
            <w:pPr>
              <w:pStyle w:val="Compact"/>
            </w:pPr>
            <w:r>
              <w:t xml:space="preserve">Medium to high</w:t>
            </w:r>
          </w:p>
        </w:tc>
      </w:tr>
      <w:tr>
        <w:tc>
          <w:tcPr/>
          <w:p>
            <w:pPr>
              <w:pStyle w:val="Compact"/>
            </w:pPr>
            <w:r>
              <w:t xml:space="preserve">Human subjects / IRB</w:t>
            </w:r>
          </w:p>
        </w:tc>
        <w:tc>
          <w:tcPr/>
          <w:p>
            <w:pPr>
              <w:pStyle w:val="Compact"/>
            </w:pPr>
            <w:r>
              <w:rPr>
                <w:b/>
                <w:bCs/>
              </w:rPr>
              <w:t xml:space="preserve">Likely N/A</w:t>
            </w:r>
          </w:p>
        </w:tc>
        <w:tc>
          <w:tcPr/>
          <w:p>
            <w:pPr>
              <w:pStyle w:val="Compact"/>
            </w:pPr>
            <w:r>
              <w:t xml:space="preserve">State N/A explicitly if no human-subjects component exists</w:t>
            </w:r>
          </w:p>
        </w:tc>
        <w:tc>
          <w:tcPr/>
          <w:p>
            <w:pPr>
              <w:pStyle w:val="Compact"/>
            </w:pPr>
            <w:r>
              <w:t xml:space="preserve">Low</w:t>
            </w:r>
          </w:p>
        </w:tc>
      </w:tr>
      <w:tr>
        <w:tc>
          <w:tcPr/>
          <w:p>
            <w:pPr>
              <w:pStyle w:val="Compact"/>
            </w:pPr>
            <w:r>
              <w:t xml:space="preserve">LLM-usage disclosure</w:t>
            </w:r>
          </w:p>
        </w:tc>
        <w:tc>
          <w:tcPr/>
          <w:p>
            <w:pPr>
              <w:pStyle w:val="Compact"/>
            </w:pPr>
            <w:r>
              <w:rPr>
                <w:b/>
                <w:bCs/>
              </w:rPr>
              <w:t xml:space="preserve">Likely N/A</w:t>
            </w:r>
          </w:p>
        </w:tc>
        <w:tc>
          <w:tcPr/>
          <w:p>
            <w:pPr>
              <w:pStyle w:val="Compact"/>
            </w:pPr>
            <w:r>
              <w:t xml:space="preserve">State N/A unless LLMs were used in filtering, labeling, coding, or analysis</w:t>
            </w:r>
          </w:p>
        </w:tc>
        <w:tc>
          <w:tcPr/>
          <w:p>
            <w:pPr>
              <w:pStyle w:val="Compact"/>
            </w:pPr>
            <w:r>
              <w:t xml:space="preserve">Low</w:t>
            </w:r>
          </w:p>
        </w:tc>
      </w:tr>
      <w:tr>
        <w:tc>
          <w:tcPr/>
          <w:p>
            <w:pPr>
              <w:pStyle w:val="Compact"/>
            </w:pPr>
            <w:r>
              <w:t xml:space="preserve">Submission-version compliance</w:t>
            </w:r>
          </w:p>
        </w:tc>
        <w:tc>
          <w:tcPr/>
          <w:p>
            <w:pPr>
              <w:pStyle w:val="Compact"/>
            </w:pPr>
            <w:r>
              <w:rPr>
                <w:b/>
                <w:bCs/>
              </w:rPr>
              <w:t xml:space="preserve">No</w:t>
            </w:r>
          </w:p>
        </w:tc>
        <w:tc>
          <w:tcPr/>
          <w:p>
            <w:pPr>
              <w:pStyle w:val="Compact"/>
            </w:pPr>
            <w:r>
              <w:t xml:space="preserve">Remove acknowledgments, add mandatory checklist, anonymize all linked materials</w:t>
            </w:r>
          </w:p>
        </w:tc>
        <w:tc>
          <w:tcPr/>
          <w:p>
            <w:pPr>
              <w:pStyle w:val="Compact"/>
            </w:pPr>
            <w:r>
              <w:t xml:space="preserve">Low</w:t>
            </w:r>
          </w:p>
        </w:tc>
      </w:tr>
    </w:tbl>
    <w:p>
      <w:pPr>
        <w:pStyle w:val="BodyText"/>
      </w:pPr>
      <w:r>
        <w:t xml:space="preserve">This checklist is grounded in the public NeurIPS checklist guide, the ethics code, and the current manuscript.</w:t>
      </w:r>
      <w:r>
        <w:t xml:space="preserve"> </w:t>
      </w:r>
      <w:hyperlink r:id="rId34">
        <w:r>
          <w:rPr>
            <w:rStyle w:val="Hyperlink"/>
          </w:rPr>
          <w:t xml:space="preserve">[15]</w:t>
        </w:r>
      </w:hyperlink>
      <w:r>
        <w:t xml:space="preserve"> </w:t>
      </w:r>
      <w:r>
        <w:t xml:space="preserve">fileciteturn0file0</w:t>
      </w:r>
    </w:p>
    <w:p>
      <w:pPr>
        <w:pStyle w:val="BodyText"/>
      </w:pPr>
      <w:r>
        <w:t xml:space="preserve">A realistic revision plan should separate</w:t>
      </w:r>
      <w:r>
        <w:t xml:space="preserve"> </w:t>
      </w:r>
      <w:r>
        <w:rPr>
          <w:b/>
          <w:bCs/>
        </w:rPr>
        <w:t xml:space="preserve">rapid triage</w:t>
      </w:r>
      <w:r>
        <w:t xml:space="preserve"> </w:t>
      </w:r>
      <w:r>
        <w:t xml:space="preserve">from a</w:t>
      </w:r>
      <w:r>
        <w:t xml:space="preserve"> </w:t>
      </w:r>
      <w:r>
        <w:rPr>
          <w:b/>
          <w:bCs/>
        </w:rPr>
        <w:t xml:space="preserve">full-strength resubmission path</w:t>
      </w:r>
      <w:r>
        <w:t xml:space="preserve">. The remaining window before May 6 is best used on claim discipline, corrected results, one visible ablation/control table, one strong figure, checklist/supplement hygiene, and a real artifact story. The broader follow-up agenda—expert annotation, multilingual/original-language validation, or alternative taxonomies—belongs to a later cycle if time is insufficient.</w:t>
      </w:r>
      <w:r>
        <w:t xml:space="preserve"> </w:t>
      </w:r>
      <w:hyperlink r:id="rId21">
        <w:r>
          <w:rPr>
            <w:rStyle w:val="Hyperlink"/>
          </w:rPr>
          <w:t xml:space="preserve">[16]</w:t>
        </w:r>
      </w:hyperlink>
    </w:p>
    <w:p>
      <w:pPr>
        <w:pStyle w:val="SourceCode"/>
      </w:pPr>
      <w:r>
        <w:rPr>
          <w:rStyle w:val="VerbatimChar"/>
        </w:rPr>
        <w:t xml:space="preserve">gantt</w:t>
      </w:r>
      <w:r>
        <w:br/>
      </w:r>
      <w:r>
        <w:rPr>
          <w:rStyle w:val="VerbatimChar"/>
        </w:rPr>
        <w:t xml:space="preserve">    title Revision path relative to NeurIPS 2026 deadlines</w:t>
      </w:r>
      <w:r>
        <w:br/>
      </w:r>
      <w:r>
        <w:rPr>
          <w:rStyle w:val="VerbatimChar"/>
        </w:rPr>
        <w:t xml:space="preserve">    dateFormat  YYYY-MM-DD</w:t>
      </w:r>
      <w:r>
        <w:br/>
      </w:r>
      <w:r>
        <w:rPr>
          <w:rStyle w:val="VerbatimChar"/>
        </w:rPr>
        <w:t xml:space="preserve">    axisFormat  %b %d</w:t>
      </w:r>
      <w:r>
        <w:br/>
      </w:r>
      <w:r>
        <w:br/>
      </w:r>
      <w:r>
        <w:rPr>
          <w:rStyle w:val="VerbatimChar"/>
        </w:rPr>
        <w:t xml:space="preserve">    section Rapid triage</w:t>
      </w:r>
      <w:r>
        <w:br/>
      </w:r>
      <w:r>
        <w:rPr>
          <w:rStyle w:val="VerbatimChar"/>
        </w:rPr>
        <w:t xml:space="preserve">    Choose track and rewrite title/abstract/intro      :a1, 2026-04-27, 3d</w:t>
      </w:r>
      <w:r>
        <w:br/>
      </w:r>
      <w:r>
        <w:rPr>
          <w:rStyle w:val="VerbatimChar"/>
        </w:rPr>
        <w:t xml:space="preserve">    Fix table contradictions and submission violations :a2, 2026-04-27, 2d</w:t>
      </w:r>
      <w:r>
        <w:br/>
      </w:r>
      <w:r>
        <w:rPr>
          <w:rStyle w:val="VerbatimChar"/>
        </w:rPr>
        <w:t xml:space="preserve">    Expand related work and ethics/limitations        :a3, 2026-04-28, 4d</w:t>
      </w:r>
      <w:r>
        <w:br/>
      </w:r>
      <w:r>
        <w:rPr>
          <w:rStyle w:val="VerbatimChar"/>
        </w:rPr>
        <w:t xml:space="preserve">    Add must-have control and visible ablation table  :crit, a4, 2026-04-29, 6d</w:t>
      </w:r>
      <w:r>
        <w:br/>
      </w:r>
      <w:r>
        <w:rPr>
          <w:rStyle w:val="VerbatimChar"/>
        </w:rPr>
        <w:t xml:space="preserve">    Build anonymized code/data/repro package          :crit, a5, 2026-05-01, 5d</w:t>
      </w:r>
      <w:r>
        <w:br/>
      </w:r>
      <w:r>
        <w:rPr>
          <w:rStyle w:val="VerbatimChar"/>
        </w:rPr>
        <w:t xml:space="preserve">    Final checklist and compliance pass               :crit, milestone, a6, 2026-05-06, 0d</w:t>
      </w:r>
      <w:r>
        <w:br/>
      </w:r>
      <w:r>
        <w:br/>
      </w:r>
      <w:r>
        <w:rPr>
          <w:rStyle w:val="VerbatimChar"/>
        </w:rPr>
        <w:t xml:space="preserve">    section Full-strength follow-up</w:t>
      </w:r>
      <w:r>
        <w:br/>
      </w:r>
      <w:r>
        <w:rPr>
          <w:rStyle w:val="VerbatimChar"/>
        </w:rPr>
        <w:t xml:space="preserve">    Source-matched and Europe-to-Europe controls      :b1, 2026-05-07, 14d</w:t>
      </w:r>
      <w:r>
        <w:br/>
      </w:r>
      <w:r>
        <w:rPr>
          <w:rStyle w:val="VerbatimChar"/>
        </w:rPr>
        <w:t xml:space="preserve">    Expert validation and multilingual extension      :b2, after b1, 21d</w:t>
      </w:r>
      <w:r>
        <w:br/>
      </w:r>
      <w:r>
        <w:rPr>
          <w:rStyle w:val="VerbatimChar"/>
        </w:rPr>
        <w:t xml:space="preserve">    Alternative taxonomies and broader external validity:b3, after b2, 21d</w:t>
      </w:r>
    </w:p>
    <w:p>
      <w:pPr>
        <w:pStyle w:val="FirstParagraph"/>
      </w:pPr>
      <w:r>
        <w:t xml:space="preserve">The bottom line is that the manuscript’s</w:t>
      </w:r>
      <w:r>
        <w:t xml:space="preserve"> </w:t>
      </w:r>
      <w:r>
        <w:rPr>
          <w:b/>
          <w:bCs/>
        </w:rPr>
        <w:t xml:space="preserve">idea is good enough to justify serious revision</w:t>
      </w:r>
      <w:r>
        <w:t xml:space="preserve">, but NeurIPS will judge it by the same standards it applies to other rigorous evaluation papers: tightly scoped claims, reviewer-visible controls, reproducible artifacts, and disciplined handling of limitations and ethical interpretation. Reframed that way, the paper has a credible path forward.</w:t>
      </w:r>
      <w:r>
        <w:t xml:space="preserve"> </w:t>
      </w:r>
      <w:hyperlink r:id="rId22">
        <w:r>
          <w:rPr>
            <w:rStyle w:val="Hyperlink"/>
          </w:rPr>
          <w:t xml:space="preserve">[17]</w:t>
        </w:r>
      </w:hyperlink>
    </w:p>
    <w:bookmarkEnd w:id="35"/>
    <w:bookmarkEnd w:id="36"/>
    <w:bookmarkEnd w:id="37"/>
    <w:p>
      <w:r>
        <w:pict>
          <v:rect style="width:0;height:1.5pt" o:hralign="center" o:hrstd="t" o:hr="t"/>
        </w:pict>
      </w:r>
    </w:p>
    <w:bookmarkStart w:id="38"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[14]</w:t>
        </w:r>
      </w:hyperlink>
      <w:r>
        <w:t xml:space="preserve"> </w:t>
      </w:r>
      <w:hyperlink r:id="rId21">
        <w:r>
          <w:rPr>
            <w:rStyle w:val="Hyperlink"/>
          </w:rPr>
          <w:t xml:space="preserve">[16]</w:t>
        </w:r>
      </w:hyperlink>
      <w:r>
        <w:t xml:space="preserve"> </w:t>
      </w:r>
      <w:r>
        <w:t xml:space="preserve">Call for Papers 2026</w:t>
      </w:r>
    </w:p>
    <w:p>
      <w:pPr>
        <w:pStyle w:val="BodyText"/>
      </w:pPr>
      <w:hyperlink r:id="rId21">
        <w:r>
          <w:rPr>
            <w:rStyle w:val="Hyperlink"/>
          </w:rPr>
          <w:t xml:space="preserve">https://neurips.cc/Conferences/2026/CallForPapers</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[8]</w:t>
        </w:r>
      </w:hyperlink>
      <w:r>
        <w:t xml:space="preserve"> </w:t>
      </w:r>
      <w:hyperlink r:id="rId22">
        <w:r>
          <w:rPr>
            <w:rStyle w:val="Hyperlink"/>
          </w:rPr>
          <w:t xml:space="preserve">[13]</w:t>
        </w:r>
      </w:hyperlink>
      <w:r>
        <w:t xml:space="preserve"> </w:t>
      </w:r>
      <w:hyperlink r:id="rId22">
        <w:r>
          <w:rPr>
            <w:rStyle w:val="Hyperlink"/>
          </w:rPr>
          <w:t xml:space="preserve">[17]</w:t>
        </w:r>
      </w:hyperlink>
      <w:r>
        <w:t xml:space="preserve"> </w:t>
      </w:r>
      <w:r>
        <w:t xml:space="preserve">Main Track Handbook 2026</w:t>
      </w:r>
    </w:p>
    <w:p>
      <w:pPr>
        <w:pStyle w:val="BodyText"/>
      </w:pPr>
      <w:hyperlink r:id="rId22">
        <w:r>
          <w:rPr>
            <w:rStyle w:val="Hyperlink"/>
          </w:rPr>
          <w:t xml:space="preserve">https://neurips.cc/Conferences/2026/MainTrackHandbook</w:t>
        </w:r>
      </w:hyperlink>
    </w:p>
    <w:p>
      <w:pPr>
        <w:pStyle w:val="BodyText"/>
      </w:pPr>
      <w:hyperlink r:id="rId25">
        <w:r>
          <w:rPr>
            <w:rStyle w:val="Hyperlink"/>
          </w:rPr>
          <w:t xml:space="preserve">[6]</w:t>
        </w:r>
      </w:hyperlink>
      <w:r>
        <w:t xml:space="preserve"> </w:t>
      </w:r>
      <w:hyperlink r:id="rId25">
        <w:r>
          <w:rPr>
            <w:rStyle w:val="Hyperlink"/>
          </w:rPr>
          <w:t xml:space="preserve">[11]</w:t>
        </w:r>
      </w:hyperlink>
      <w:r>
        <w:t xml:space="preserve"> </w:t>
      </w:r>
      <w:r>
        <w:t xml:space="preserve">2026 Reviewer Guidelines</w:t>
      </w:r>
    </w:p>
    <w:p>
      <w:pPr>
        <w:pStyle w:val="BodyText"/>
      </w:pPr>
      <w:hyperlink r:id="rId25">
        <w:r>
          <w:rPr>
            <w:rStyle w:val="Hyperlink"/>
          </w:rPr>
          <w:t xml:space="preserve">https://neurips.cc/Conferences/2026/ReviewerGuidelines</w:t>
        </w:r>
      </w:hyperlink>
    </w:p>
    <w:p>
      <w:pPr>
        <w:pStyle w:val="BodyText"/>
      </w:pPr>
      <w:hyperlink r:id="rId26">
        <w:r>
          <w:rPr>
            <w:rStyle w:val="Hyperlink"/>
          </w:rPr>
          <w:t xml:space="preserve">[9]</w:t>
        </w:r>
      </w:hyperlink>
      <w:r>
        <w:t xml:space="preserve"> </w:t>
      </w:r>
      <w:hyperlink r:id="rId26">
        <w:r>
          <w:rPr>
            <w:rStyle w:val="Hyperlink"/>
          </w:rPr>
          <w:t xml:space="preserve">[12]</w:t>
        </w:r>
      </w:hyperlink>
      <w:r>
        <w:t xml:space="preserve"> </w:t>
      </w:r>
      <w:r>
        <w:t xml:space="preserve">https://proceedings.neurips.cc/paper_files/paper/2023/hash/adc98a266f45005c403b8311ca7e8bd7-Abstract-Conference.html</w:t>
      </w:r>
    </w:p>
    <w:p>
      <w:pPr>
        <w:pStyle w:val="BodyText"/>
      </w:pPr>
      <w:hyperlink r:id="rId26">
        <w:r>
          <w:rPr>
            <w:rStyle w:val="Hyperlink"/>
          </w:rPr>
          <w:t xml:space="preserve">https://proceedings.neurips.cc/paper_files/paper/2023/hash/adc98a266f45005c403b8311ca7e8bd7-Abstract-Conference.html</w:t>
        </w:r>
      </w:hyperlink>
    </w:p>
    <w:p>
      <w:pPr>
        <w:pStyle w:val="BodyText"/>
      </w:pPr>
      <w:hyperlink r:id="rId28">
        <w:r>
          <w:rPr>
            <w:rStyle w:val="Hyperlink"/>
          </w:rPr>
          <w:t xml:space="preserve">[10]</w:t>
        </w:r>
      </w:hyperlink>
      <w:r>
        <w:t xml:space="preserve"> </w:t>
      </w:r>
      <w:r>
        <w:t xml:space="preserve">https://neurips.cc/Conferences/2026/CallForEvaluationsDatasets</w:t>
      </w:r>
    </w:p>
    <w:p>
      <w:pPr>
        <w:pStyle w:val="BodyText"/>
      </w:pPr>
      <w:hyperlink r:id="rId28">
        <w:r>
          <w:rPr>
            <w:rStyle w:val="Hyperlink"/>
          </w:rPr>
          <w:t xml:space="preserve">https://neurips.cc/Conferences/2026/CallForEvaluationsDatasets</w:t>
        </w:r>
      </w:hyperlink>
    </w:p>
    <w:p>
      <w:pPr>
        <w:pStyle w:val="BodyText"/>
      </w:pPr>
      <w:hyperlink r:id="rId34">
        <w:r>
          <w:rPr>
            <w:rStyle w:val="Hyperlink"/>
          </w:rPr>
          <w:t xml:space="preserve">[15]</w:t>
        </w:r>
      </w:hyperlink>
      <w:r>
        <w:t xml:space="preserve"> </w:t>
      </w:r>
      <w:r>
        <w:t xml:space="preserve">PaperInformation / PaperChecklist</w:t>
      </w:r>
    </w:p>
    <w:p>
      <w:pPr>
        <w:pStyle w:val="BodyText"/>
      </w:pPr>
      <w:hyperlink r:id="rId34">
        <w:r>
          <w:rPr>
            <w:rStyle w:val="Hyperlink"/>
          </w:rPr>
          <w:t xml:space="preserve">https://neurips.cc/public/guides/PaperChecklist</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neurips.cc/Conferences/2026/CallForEvaluationsDatasets" TargetMode="External" /><Relationship Type="http://schemas.openxmlformats.org/officeDocument/2006/relationships/hyperlink" Id="rId21" Target="https://neurips.cc/Conferences/2026/CallForPapers" TargetMode="External" /><Relationship Type="http://schemas.openxmlformats.org/officeDocument/2006/relationships/hyperlink" Id="rId22" Target="https://neurips.cc/Conferences/2026/MainTrackHandbook" TargetMode="External" /><Relationship Type="http://schemas.openxmlformats.org/officeDocument/2006/relationships/hyperlink" Id="rId25" Target="https://neurips.cc/Conferences/2026/ReviewerGuidelines" TargetMode="External" /><Relationship Type="http://schemas.openxmlformats.org/officeDocument/2006/relationships/hyperlink" Id="rId34" Target="https://neurips.cc/public/guides/PaperChecklist" TargetMode="External" /><Relationship Type="http://schemas.openxmlformats.org/officeDocument/2006/relationships/hyperlink" Id="rId26" Target="https://proceedings.neurips.cc/paper_files/paper/2023/hash/adc98a266f45005c403b8311ca7e8bd7-Abstract-Conference.html" TargetMode="External" /></Relationships>
</file>

<file path=word/_rels/footnotes.xml.rels><?xml version="1.0" encoding="UTF-8"?><Relationships xmlns="http://schemas.openxmlformats.org/package/2006/relationships"><Relationship Type="http://schemas.openxmlformats.org/officeDocument/2006/relationships/hyperlink" Id="rId28" Target="https://neurips.cc/Conferences/2026/CallForEvaluationsDatasets" TargetMode="External" /><Relationship Type="http://schemas.openxmlformats.org/officeDocument/2006/relationships/hyperlink" Id="rId21" Target="https://neurips.cc/Conferences/2026/CallForPapers" TargetMode="External" /><Relationship Type="http://schemas.openxmlformats.org/officeDocument/2006/relationships/hyperlink" Id="rId22" Target="https://neurips.cc/Conferences/2026/MainTrackHandbook" TargetMode="External" /><Relationship Type="http://schemas.openxmlformats.org/officeDocument/2006/relationships/hyperlink" Id="rId25" Target="https://neurips.cc/Conferences/2026/ReviewerGuidelines" TargetMode="External" /><Relationship Type="http://schemas.openxmlformats.org/officeDocument/2006/relationships/hyperlink" Id="rId34" Target="https://neurips.cc/public/guides/PaperChecklist" TargetMode="External" /><Relationship Type="http://schemas.openxmlformats.org/officeDocument/2006/relationships/hyperlink" Id="rId26" Target="https://proceedings.neurips.cc/paper_files/paper/2023/hash/adc98a266f45005c403b8311ca7e8bd7-Abstract-Conferenc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2026-04-27T22:57:27Z</dcterms:created>
  <dcterms:modified xsi:type="dcterms:W3CDTF">2026-04-27T22:57:27Z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