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ABD08">
      <w:pPr>
        <w:spacing w:before="0" w:after="480"/>
        <w:jc w:val="center"/>
      </w:pPr>
      <w:r>
        <w:rPr>
          <w:rFonts w:ascii="宋体" w:hAnsi="宋体" w:eastAsia="宋体"/>
          <w:b/>
          <w:sz w:val="36"/>
        </w:rPr>
        <w:t>对小额诉讼程序异议申请书</w:t>
      </w:r>
    </w:p>
    <w:p w14:paraId="4AE8DBA9">
      <w:pPr>
        <w:spacing w:before="0" w:after="120"/>
        <w:jc w:val="left"/>
      </w:pPr>
      <w:r>
        <w:rPr>
          <w:rFonts w:ascii="宋体" w:hAnsi="宋体" w:eastAsia="宋体"/>
          <w:b/>
          <w:sz w:val="24"/>
        </w:rPr>
        <w:t>申请人（被告）：唐斐男</w:t>
      </w:r>
    </w:p>
    <w:p w14:paraId="51E4BC30">
      <w:pPr>
        <w:spacing w:before="0" w:after="240"/>
        <w:jc w:val="left"/>
      </w:pPr>
      <w:r>
        <w:rPr>
          <w:rFonts w:ascii="宋体" w:hAnsi="宋体" w:eastAsia="宋体"/>
          <w:b/>
          <w:sz w:val="24"/>
        </w:rPr>
        <w:t>案号：（2026）渝0157民初82907号</w:t>
      </w:r>
    </w:p>
    <w:p w14:paraId="173162F4">
      <w:pPr>
        <w:spacing w:before="240" w:after="120"/>
        <w:jc w:val="left"/>
      </w:pPr>
      <w:r>
        <w:rPr>
          <w:rFonts w:ascii="宋体" w:hAnsi="宋体" w:eastAsia="宋体"/>
          <w:b/>
          <w:sz w:val="28"/>
        </w:rPr>
        <w:t>异议事项</w:t>
      </w:r>
    </w:p>
    <w:p w14:paraId="4E9A5C62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请求贵院裁定本案不适用小额诉讼程序，转为普通程序审理。</w:t>
      </w:r>
    </w:p>
    <w:p w14:paraId="35DF4805">
      <w:pPr>
        <w:spacing w:before="240" w:after="120"/>
        <w:jc w:val="left"/>
      </w:pPr>
      <w:r>
        <w:rPr>
          <w:rFonts w:ascii="宋体" w:hAnsi="宋体" w:eastAsia="宋体"/>
          <w:b/>
          <w:sz w:val="28"/>
        </w:rPr>
        <w:t>事实和理由</w:t>
      </w:r>
    </w:p>
    <w:p w14:paraId="50B00535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申请人与被申请人物业服务合同纠纷一案，贵院已立案受理，案号为（2026）渝0157民初82907号。贵院向申请人送达了《适用小额诉讼案件通知书》，申请人对此提出异议，理由如下：</w:t>
      </w:r>
    </w:p>
    <w:p w14:paraId="27194B26">
      <w:pPr>
        <w:spacing w:before="160" w:after="120"/>
        <w:jc w:val="left"/>
      </w:pPr>
      <w:r>
        <w:rPr>
          <w:rFonts w:ascii="宋体" w:hAnsi="宋体" w:eastAsia="宋体"/>
          <w:b/>
          <w:sz w:val="24"/>
        </w:rPr>
        <w:t>一、本案存在重大事实争议，不属于"事实清楚、争议不大"的案件</w:t>
      </w:r>
    </w:p>
    <w:p w14:paraId="090B5782">
      <w:pPr>
        <w:spacing w:before="120" w:after="120"/>
        <w:jc w:val="left"/>
      </w:pPr>
      <w:r>
        <w:rPr>
          <w:rFonts w:ascii="宋体" w:hAnsi="宋体" w:eastAsia="宋体"/>
          <w:b/>
          <w:sz w:val="22"/>
        </w:rPr>
        <w:t xml:space="preserve">1. </w:t>
      </w:r>
      <w:r>
        <w:rPr>
          <w:rFonts w:hint="eastAsia" w:ascii="宋体" w:hAnsi="宋体" w:eastAsia="宋体"/>
          <w:b/>
          <w:sz w:val="22"/>
          <w:lang w:val="en-US" w:eastAsia="zh-CN"/>
        </w:rPr>
        <w:t>申请人房屋</w:t>
      </w:r>
      <w:r>
        <w:rPr>
          <w:rFonts w:ascii="宋体" w:hAnsi="宋体" w:eastAsia="宋体"/>
          <w:b/>
          <w:sz w:val="22"/>
        </w:rPr>
        <w:t>漏水问题</w:t>
      </w:r>
      <w:r>
        <w:rPr>
          <w:rFonts w:hint="eastAsia" w:ascii="宋体" w:hAnsi="宋体" w:eastAsia="宋体"/>
          <w:b/>
          <w:sz w:val="22"/>
          <w:lang w:val="en-US" w:eastAsia="zh-CN"/>
        </w:rPr>
        <w:t>维修整改过程中</w:t>
      </w:r>
      <w:r>
        <w:rPr>
          <w:rFonts w:ascii="宋体" w:hAnsi="宋体" w:eastAsia="宋体"/>
          <w:b/>
          <w:sz w:val="22"/>
        </w:rPr>
        <w:t>涉及</w:t>
      </w:r>
      <w:r>
        <w:rPr>
          <w:rFonts w:hint="eastAsia" w:ascii="宋体" w:hAnsi="宋体" w:eastAsia="宋体"/>
          <w:b/>
          <w:sz w:val="22"/>
          <w:lang w:val="en-US" w:eastAsia="zh-CN"/>
        </w:rPr>
        <w:t>物业</w:t>
      </w:r>
      <w:r>
        <w:rPr>
          <w:rFonts w:ascii="宋体" w:hAnsi="宋体" w:eastAsia="宋体"/>
          <w:b/>
          <w:sz w:val="22"/>
        </w:rPr>
        <w:t>责任认定，需经审理查明</w:t>
      </w:r>
    </w:p>
    <w:p w14:paraId="4FF6D2B8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申请人收房后即发现房屋存在严重漏水问题，该问题涉及：</w:t>
      </w:r>
    </w:p>
    <w:p w14:paraId="7EAFBD9A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物业协助义务认定：需查明物业是否尽到接收报修、转达开发商、跟进进度、反馈结果的协助义务</w:t>
      </w:r>
    </w:p>
    <w:p w14:paraId="188E2E81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物业配合监督义务认定：需查明物业是否尽到配合整改、监督进度、复验结果的义务</w:t>
      </w:r>
    </w:p>
    <w:p w14:paraId="4B2A8550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责任比例划分：需查明开发商、物业各自应承担的责任比例</w:t>
      </w:r>
    </w:p>
    <w:p w14:paraId="509FC55F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上述事实需经法庭调查、举证质证，不属于"事实清楚"的简单案件。</w:t>
      </w:r>
    </w:p>
    <w:p w14:paraId="11E364EC">
      <w:pPr>
        <w:spacing w:before="120" w:after="120"/>
        <w:jc w:val="left"/>
      </w:pPr>
      <w:r>
        <w:rPr>
          <w:rFonts w:ascii="宋体" w:hAnsi="宋体" w:eastAsia="宋体"/>
          <w:b/>
          <w:sz w:val="22"/>
        </w:rPr>
        <w:t>2. 物业服务质量争议需实体审理</w:t>
      </w:r>
    </w:p>
    <w:p w14:paraId="6FD66A48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申请人对物业服务质量存在重大异议，包括但不限于：</w:t>
      </w:r>
    </w:p>
    <w:p w14:paraId="1C9FD19C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漏水问题长期未解决（历时2年以上），物业未尽协助、配合、监督义务</w:t>
      </w:r>
    </w:p>
    <w:p w14:paraId="2E479651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物业未尽质量保证书委托义务</w:t>
      </w:r>
    </w:p>
    <w:p w14:paraId="76BCA233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物业未尽承接查验协议配合监督义务</w:t>
      </w:r>
    </w:p>
    <w:p w14:paraId="247AD6E0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物业服务质量不达标，原告未提供任何服务质量达标证据</w:t>
      </w:r>
    </w:p>
    <w:p w14:paraId="5DF10652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上述争议需经完整庭审程序才能查明，不适合小额诉讼的快速程序。</w:t>
      </w:r>
    </w:p>
    <w:p w14:paraId="2BDBE821">
      <w:pPr>
        <w:spacing w:before="160" w:after="120"/>
        <w:jc w:val="left"/>
      </w:pPr>
      <w:r>
        <w:rPr>
          <w:rFonts w:ascii="宋体" w:hAnsi="宋体" w:eastAsia="宋体"/>
          <w:b/>
          <w:sz w:val="24"/>
        </w:rPr>
        <w:t>二、本案涉及违约金调整，需实体审理</w:t>
      </w:r>
    </w:p>
    <w:p w14:paraId="1206189E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被申请人主张的违约金计算方式存在争议：</w:t>
      </w:r>
    </w:p>
    <w:p w14:paraId="76A1BACB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1. 申请人并非恶意拖欠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(自2019年5月开始一共缴纳33个月物业费)</w:t>
      </w:r>
      <w:r>
        <w:rPr>
          <w:rFonts w:ascii="宋体" w:hAnsi="宋体" w:eastAsia="宋体"/>
          <w:b w:val="0"/>
          <w:sz w:val="24"/>
        </w:rPr>
        <w:t>，而是因物业未履行协助、配合、监督义务导致的合理抗辩</w:t>
      </w:r>
    </w:p>
    <w:p w14:paraId="0F73740F">
      <w:pPr>
        <w:spacing w:before="0" w:after="120"/>
        <w:ind w:firstLine="420"/>
        <w:jc w:val="left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申请人</w:t>
      </w:r>
      <w:r>
        <w:rPr>
          <w:rFonts w:hint="eastAsia"/>
          <w:lang w:val="en-US" w:eastAsia="zh-CN"/>
        </w:rPr>
        <w:t>对依法应该缴纳的与服务匹配的物业费不拒绝，但物业从未提供过其</w:t>
      </w:r>
      <w:r>
        <w:rPr>
          <w:rFonts w:hint="eastAsia"/>
          <w:b/>
          <w:bCs/>
          <w:lang w:val="en-US" w:eastAsia="zh-CN"/>
        </w:rPr>
        <w:t>全面持续达标履行合同约定的服务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3231B0A1">
      <w:pPr>
        <w:spacing w:before="0" w:after="120"/>
        <w:ind w:firstLine="420"/>
        <w:jc w:val="left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ascii="宋体" w:hAnsi="宋体" w:eastAsia="宋体"/>
          <w:b w:val="0"/>
          <w:sz w:val="24"/>
        </w:rPr>
        <w:t>违约金标准可能过高，需法院酌情调整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 xml:space="preserve"> </w:t>
      </w:r>
    </w:p>
    <w:p w14:paraId="4926316C">
      <w:pPr>
        <w:spacing w:before="0" w:after="120"/>
        <w:ind w:firstLine="420"/>
        <w:jc w:val="left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4</w:t>
      </w:r>
      <w:r>
        <w:rPr>
          <w:rFonts w:ascii="宋体" w:hAnsi="宋体" w:eastAsia="宋体"/>
          <w:b w:val="0"/>
          <w:sz w:val="24"/>
        </w:rPr>
        <w:t>. 该争议需实体审理，不适合小额诉讼</w:t>
      </w:r>
    </w:p>
    <w:p w14:paraId="3DB480FD">
      <w:pPr>
        <w:spacing w:before="160" w:after="120"/>
        <w:jc w:val="left"/>
      </w:pPr>
      <w:r>
        <w:rPr>
          <w:rFonts w:ascii="宋体" w:hAnsi="宋体" w:eastAsia="宋体"/>
          <w:b/>
          <w:sz w:val="24"/>
        </w:rPr>
        <w:t>三、本案符合转为普通程序的情形</w:t>
      </w:r>
    </w:p>
    <w:p w14:paraId="20EDD712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根据《最高人民法院关于审理民事案件适用小额诉讼程序若干问题的规定》第六条，下列案件，不适用小额诉讼程序：</w:t>
      </w:r>
    </w:p>
    <w:p w14:paraId="139E4643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人身关系、财产确权纠纷</w:t>
      </w:r>
    </w:p>
    <w:p w14:paraId="546836A6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涉外民事纠纷</w:t>
      </w:r>
    </w:p>
    <w:p w14:paraId="71DBE797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知识产权纠纷</w:t>
      </w:r>
    </w:p>
    <w:p w14:paraId="559037A0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评估、鉴定或者对诉前评估、鉴定结果有异议的纠纷</w:t>
      </w:r>
    </w:p>
    <w:p w14:paraId="268C7E08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其他不宜适用一审终审的纠纷</w:t>
      </w:r>
    </w:p>
    <w:p w14:paraId="2CB7C447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本案虽不属于上述明确列举情形，但存在重大事实争议，需通过完整庭审程序查明事实，符合"其他不宜适用一审终审的纠纷"之情形。</w:t>
      </w:r>
    </w:p>
    <w:p w14:paraId="52A68A53">
      <w:pPr>
        <w:spacing w:before="160" w:after="120"/>
        <w:jc w:val="left"/>
      </w:pPr>
      <w:r>
        <w:rPr>
          <w:rFonts w:ascii="宋体" w:hAnsi="宋体" w:eastAsia="宋体"/>
          <w:b/>
          <w:sz w:val="24"/>
        </w:rPr>
        <w:t>四、程序保障需要</w:t>
      </w:r>
    </w:p>
    <w:p w14:paraId="5323357A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申请人作为自然人，缺乏法律专业知识，小额诉讼程序简化的庭审流程可能影响申请人充分行使诉讼权利。转为普通程序可保障申请人的：</w:t>
      </w:r>
    </w:p>
    <w:p w14:paraId="29E5F42E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充分的举证质证权利</w:t>
      </w:r>
    </w:p>
    <w:p w14:paraId="51D80903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完整的法庭辩论权利</w:t>
      </w:r>
    </w:p>
    <w:p w14:paraId="6B2A12BE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- 如判决不利，可依法上诉的权利</w:t>
      </w:r>
    </w:p>
    <w:p w14:paraId="29C3E3F5">
      <w:pPr>
        <w:spacing w:before="160" w:after="120"/>
        <w:jc w:val="left"/>
      </w:pPr>
      <w:r>
        <w:rPr>
          <w:rFonts w:ascii="宋体" w:hAnsi="宋体" w:eastAsia="宋体"/>
          <w:b/>
          <w:sz w:val="24"/>
        </w:rPr>
        <w:t>补充说明</w:t>
      </w:r>
    </w:p>
    <w:p w14:paraId="1D8303EB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申请人深知《适用小额诉讼案件通知书》规定的异议期为5日，本申请已逾期提交。但申请人并非故意延误，而是因对法律程序理解不足所致。考虑到本案确实存在上述复杂情形，恳请贵院综合考虑，裁定本案转为普通程序审理。</w:t>
      </w:r>
    </w:p>
    <w:p w14:paraId="3F044AD7">
      <w:pPr>
        <w:spacing w:before="240" w:after="120"/>
        <w:jc w:val="left"/>
      </w:pPr>
      <w:r>
        <w:rPr>
          <w:rFonts w:ascii="宋体" w:hAnsi="宋体" w:eastAsia="宋体"/>
          <w:b/>
          <w:sz w:val="28"/>
        </w:rPr>
        <w:t>法律依据</w:t>
      </w:r>
    </w:p>
    <w:p w14:paraId="3313213A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1. 《中华人民共和国民事诉讼法》第一百六十五条</w:t>
      </w:r>
    </w:p>
    <w:p w14:paraId="348430B8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2. 《最高人民法院关于适用〈中华人民共和国民事诉讼法〉的解释》第二百七十八条</w:t>
      </w:r>
    </w:p>
    <w:p w14:paraId="2F117EAC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3. 《最高人民法院关于审理民事案件适用小额诉讼程序若干问题的规定》第六条</w:t>
      </w:r>
    </w:p>
    <w:p w14:paraId="69F66BA7">
      <w:pPr>
        <w:spacing w:before="480" w:after="120"/>
        <w:jc w:val="left"/>
      </w:pPr>
      <w:r>
        <w:rPr>
          <w:rFonts w:ascii="宋体" w:hAnsi="宋体" w:eastAsia="宋体"/>
          <w:b w:val="0"/>
          <w:sz w:val="24"/>
        </w:rPr>
        <w:t>此致</w:t>
      </w:r>
    </w:p>
    <w:p w14:paraId="2ABF7646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重庆市两江新区人民法院</w:t>
      </w:r>
    </w:p>
    <w:p w14:paraId="5453D7E5">
      <w:pPr>
        <w:spacing w:before="0" w:after="120"/>
        <w:jc w:val="left"/>
      </w:pPr>
    </w:p>
    <w:p w14:paraId="405B1ACB">
      <w:pPr>
        <w:spacing w:before="480" w:after="120"/>
        <w:jc w:val="right"/>
      </w:pPr>
      <w:r>
        <w:rPr>
          <w:rFonts w:ascii="宋体" w:hAnsi="宋体" w:eastAsia="宋体"/>
          <w:b/>
          <w:sz w:val="24"/>
        </w:rPr>
        <w:t>申请人：唐斐男（签字）</w:t>
      </w:r>
    </w:p>
    <w:p w14:paraId="3205FCD9">
      <w:pPr>
        <w:spacing w:before="0" w:after="120"/>
        <w:jc w:val="right"/>
      </w:pPr>
      <w:r>
        <w:rPr>
          <w:rFonts w:ascii="宋体" w:hAnsi="宋体" w:eastAsia="宋体"/>
          <w:b/>
          <w:sz w:val="24"/>
        </w:rPr>
        <w:t>日期：2026年9月13日</w:t>
      </w:r>
    </w:p>
    <w:p w14:paraId="475F9610">
      <w:pPr>
        <w:spacing w:before="0" w:after="120"/>
        <w:jc w:val="left"/>
      </w:pPr>
    </w:p>
    <w:p w14:paraId="54E971FF">
      <w:pPr>
        <w:spacing w:before="240" w:after="120"/>
        <w:jc w:val="left"/>
      </w:pPr>
      <w:r>
        <w:rPr>
          <w:rFonts w:ascii="宋体" w:hAnsi="宋体" w:eastAsia="宋体"/>
          <w:b/>
          <w:sz w:val="24"/>
        </w:rPr>
        <w:t>附：提交说明</w:t>
      </w:r>
    </w:p>
    <w:p w14:paraId="159DAC79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提交材料：</w:t>
      </w:r>
    </w:p>
    <w:p w14:paraId="4F047744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1. 本申请书原件1份</w:t>
      </w:r>
    </w:p>
    <w:p w14:paraId="0AAE339C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2. 申请人身份证复印件1份</w:t>
      </w:r>
    </w:p>
    <w:p w14:paraId="1A3512A7">
      <w:pPr>
        <w:spacing w:before="0"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3. 《适用小额诉讼案件通知书》复印件1份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EC16D8"/>
    <w:rsid w:val="4291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1265</Words>
  <Characters>1300</Characters>
  <Lines>0</Lines>
  <Paragraphs>0</Paragraphs>
  <TotalTime>2</TotalTime>
  <ScaleCrop>false</ScaleCrop>
  <LinksUpToDate>false</LinksUpToDate>
  <CharactersWithSpaces>1327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Rena</cp:lastModifiedBy>
  <dcterms:modified xsi:type="dcterms:W3CDTF">2026-09-13T12:55:43Z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eyJoZGlkIjoiMzljZjA5MzYyZjg0NjU5ZDlmNDc5OTc5MzQ1OGM2NzEiLCJ1c2VySWQiOiIxMTU2MzA0MzI2In0=</vt:lpwstr>
  </property>
  <property fmtid="{D5CDD505-2E9C-101B-9397-08002B2CF9AE}" pid="3" name="KSOProductBuildVer">
    <vt:lpwstr>2052-12.1.0.28505</vt:lpwstr>
  </property>
  <property fmtid="{D5CDD505-2E9C-101B-9397-08002B2CF9AE}" pid="4" name="ICV">
    <vt:lpwstr>BB22DC7DCC0C4FF19F064A96E4FA1525_12</vt:lpwstr>
  </property>
</Properties>
</file>