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80"/>
        <w:jc w:val="center"/>
      </w:pPr>
      <w:r>
        <w:rPr>
          <w:rFonts w:ascii="SimSun" w:hAnsi="SimSun" w:eastAsia="SimSun"/>
          <w:b/>
          <w:sz w:val="36"/>
        </w:rPr>
        <w:t>对小额诉讼程序异议申请书</w:t>
      </w:r>
    </w:p>
    <w:p>
      <w:pPr>
        <w:spacing w:before="0" w:after="120"/>
        <w:jc w:val="left"/>
      </w:pPr>
      <w:r>
        <w:rPr>
          <w:rFonts w:ascii="SimSun" w:hAnsi="SimSun" w:eastAsia="SimSun"/>
          <w:b/>
          <w:sz w:val="24"/>
        </w:rPr>
        <w:t>申请人（被告）：唐斐男</w:t>
      </w:r>
    </w:p>
    <w:p>
      <w:pPr>
        <w:spacing w:before="0" w:after="240"/>
        <w:jc w:val="left"/>
      </w:pPr>
      <w:r>
        <w:rPr>
          <w:rFonts w:ascii="SimSun" w:hAnsi="SimSun" w:eastAsia="SimSun"/>
          <w:b/>
          <w:sz w:val="24"/>
        </w:rPr>
        <w:t>案号：（2026）渝0157民初82907号</w:t>
      </w:r>
    </w:p>
    <w:p>
      <w:pPr>
        <w:spacing w:before="240" w:after="120"/>
        <w:jc w:val="left"/>
      </w:pPr>
      <w:r>
        <w:rPr>
          <w:rFonts w:ascii="SimSun" w:hAnsi="SimSun" w:eastAsia="SimSun"/>
          <w:b/>
          <w:sz w:val="28"/>
        </w:rPr>
        <w:t>异议事项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请求贵院裁定本案不适用小额诉讼程序，转为普通程序审理。</w:t>
      </w:r>
    </w:p>
    <w:p>
      <w:pPr>
        <w:spacing w:before="240" w:after="120"/>
        <w:jc w:val="left"/>
      </w:pPr>
      <w:r>
        <w:rPr>
          <w:rFonts w:ascii="SimSun" w:hAnsi="SimSun" w:eastAsia="SimSun"/>
          <w:b/>
          <w:sz w:val="28"/>
        </w:rPr>
        <w:t>事实和理由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申请人与被申请人物业服务合同纠纷一案，贵院已立案受理，案号为（2026）渝0157民初82907号。贵院向申请人送达了《适用小额诉讼案件通知书》，申请人对此提出异议，理由如下：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一、本案存在重大事实争议，不属于"事实清楚、争议不大"的案件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1. 漏水问题需经实体审理查明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申请人收房后即发现房屋存在严重漏水问题，该问题涉及：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漏水原因鉴定：需确定是开发商工程质量问题还是物业维修不当所致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整改责任主体认定：需查明整改责任应由开发商、物业还是双方共同承担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整改期间认定：需查明漏水持续时间和整改历时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物业是否尽到维修义务：需审查物业是否及时响应、有效维修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上述事实需经法庭调查、举证质证，可能还需要司法鉴定才能查明，不属于"事实清楚"的简单案件。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2. 服务质量争议需实体审理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申请人对物业服务质量存在重大异议，包括但不限于：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漏水问题长期未解决（历时2年以上）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物业未尽保修协助义务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物业未尽承接查验协议配合监督义务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物业服务质量不达标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上述争议需经完整庭审程序才能查明，不适合小额诉讼的快速程序。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二、本案涉及违约金调整，需实体审理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被申请人主张的违约金计算方式存在争议：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1. 申请人并非恶意拖欠，而是因物业未履行维修义务导致的合理抗辩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2. 违约金标准可能过高，需法院酌情调整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3. 该争议需实体审理，不适合小额诉讼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三、本案符合转为普通程序的情形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根据《最高人民法院关于审理民事案件适用小额诉讼程序若干问题的规定》第六条，下列案件，不适用小额诉讼程序：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人身关系、财产确权纠纷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涉外民事纠纷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知识产权纠纷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评估、鉴定或者对诉前评估、鉴定结果有异议的纠纷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其他不宜适用一审终审的纠纷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本案虽不属于上述明确列举情形，但存在重大事实争议，需通过完整庭审程序查明事实，符合"其他不宜适用一审终审的纠纷"之情形。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四、程序保障需要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申请人作为自然人，缺乏法律专业知识，小额诉讼程序简化的庭审流程可能影响申请人充分行使诉讼权利。转为普通程序可保障申请人的：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充分的举证质证权利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完整的法庭辩论权利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如判决不利，可依法上诉的权利</w:t>
      </w:r>
    </w:p>
    <w:p>
      <w:pPr>
        <w:spacing w:before="160" w:after="120"/>
        <w:jc w:val="left"/>
      </w:pPr>
      <w:r>
        <w:rPr>
          <w:rFonts w:ascii="SimSun" w:hAnsi="SimSun" w:eastAsia="SimSun"/>
          <w:b/>
          <w:sz w:val="24"/>
        </w:rPr>
        <w:t>补充说明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申请人深知《适用小额诉讼案件通知书》规定的异议期为5日，本申请已逾期提交。但申请人并非故意延误，而是因对法律程序理解不足所致。考虑到本案确实存在上述复杂情形，恳请贵院综合考虑，裁定本案转为普通程序审理。</w:t>
      </w:r>
    </w:p>
    <w:p>
      <w:pPr>
        <w:spacing w:before="240" w:after="120"/>
        <w:jc w:val="left"/>
      </w:pPr>
      <w:r>
        <w:rPr>
          <w:rFonts w:ascii="SimSun" w:hAnsi="SimSun" w:eastAsia="SimSun"/>
          <w:b/>
          <w:sz w:val="28"/>
        </w:rPr>
        <w:t>法律依据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1. 《中华人民共和国民事诉讼法》第一百六十五条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2. 《最高人民法院关于适用〈中华人民共和国民事诉讼法〉的解释》第二百七十八条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3. 《最高人民法院关于审理民事案件适用小额诉讼程序若干问题的规定》第六条</w:t>
      </w:r>
    </w:p>
    <w:p>
      <w:pPr>
        <w:spacing w:before="480" w:after="120"/>
        <w:jc w:val="left"/>
      </w:pPr>
      <w:r>
        <w:rPr>
          <w:rFonts w:ascii="SimSun" w:hAnsi="SimSun" w:eastAsia="SimSun"/>
          <w:b w:val="0"/>
          <w:sz w:val="24"/>
        </w:rPr>
        <w:t>此致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重庆市两江新区人民法院</w:t>
      </w:r>
    </w:p>
    <w:p>
      <w:pPr>
        <w:spacing w:before="0" w:after="120"/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spacing w:before="480" w:after="120"/>
        <w:jc w:val="left"/>
      </w:pPr>
      <w:r>
        <w:rPr>
          <w:rFonts w:ascii="SimSun" w:hAnsi="SimSun" w:eastAsia="SimSun"/>
          <w:b/>
          <w:sz w:val="24"/>
        </w:rPr>
        <w:t>申请人：唐斐男（签字）</w:t>
      </w:r>
    </w:p>
    <w:p>
      <w:pPr>
        <w:spacing w:before="0" w:after="120"/>
        <w:jc w:val="left"/>
      </w:pPr>
      <w:r>
        <w:rPr>
          <w:rFonts w:ascii="SimSun" w:hAnsi="SimSun" w:eastAsia="SimSun"/>
          <w:b/>
          <w:sz w:val="24"/>
        </w:rPr>
        <w:t>日期：2026年9月13日</w:t>
      </w:r>
    </w:p>
    <w:p>
      <w:pPr>
        <w:spacing w:before="0" w:after="120"/>
        <w:jc w:val="left"/>
      </w:pPr>
      <w:r>
        <w:rPr>
          <w:rFonts w:ascii="SimSun" w:hAnsi="SimSun" w:eastAsia="SimSun"/>
          <w:b w:val="0"/>
          <w:sz w:val="24"/>
        </w:rPr>
      </w:r>
    </w:p>
    <w:p>
      <w:pPr>
        <w:spacing w:before="240" w:after="120"/>
        <w:jc w:val="left"/>
      </w:pPr>
      <w:r>
        <w:rPr>
          <w:rFonts w:ascii="SimSun" w:hAnsi="SimSun" w:eastAsia="SimSun"/>
          <w:b/>
          <w:sz w:val="24"/>
        </w:rPr>
        <w:t>附：提交说明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提交材料：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1. 本申请书原件1份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2. 申请人身份证复印件1份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3. 《适用小额诉讼案件通知书》复印件1份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提交方式：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现场提交：重庆市两江新区人民法院空港审判区调解室（一）【空港大道418号】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- 邮寄提交：寄至上述地址，使用EMS或挂号信，保留邮寄凭证</w:t>
      </w:r>
    </w:p>
    <w:p>
      <w:pPr>
        <w:spacing w:before="0" w:after="120"/>
        <w:ind w:firstLine="420"/>
        <w:jc w:val="left"/>
      </w:pPr>
      <w:r>
        <w:rPr>
          <w:rFonts w:ascii="SimSun" w:hAnsi="SimSun" w:eastAsia="SimSun"/>
          <w:b w:val="0"/>
          <w:sz w:val="24"/>
        </w:rPr>
        <w:t>联系人：审判员曹阳 联系电话：023-67820501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