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调查取证申请书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申请人（被告）：唐斐男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申请事项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请求法院向以下单位调取证据：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一、向成都万科物业服务有限公司调取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申请人房屋（重庆万科观承一期别墅9幢114）的报修记录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物业维修人员上门维修的记录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对申请人投诉的处理记录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4. 物业服务质量检查记录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5. 小区公共区域巡查记录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6. 业主满意度测评记录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7. 物业管理档案（含共用部位、共用设施设备档案）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二、向重庆星畔置业有限公司调取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申请人房屋的工程验收记录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申请人房屋的保修记录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防水工程的质保记录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事实与理由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一、申请调取证据的必要性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本案中，漏水问题的维修记录、投诉处理记录等均由物业公司掌握，工程验收记录、保修记录等由开发商掌握。申请人作为自然人，无法自行收集上述证据。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二、申请调取证据与案件事实的关系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上述证据对查明案件事实至关重要：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维修记录：证明物业是否履行维修义务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投诉处理记录：证明物业是否及时处理投诉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服务质量检查记录：证明物业服务质量是否达标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工程验收记录：证明房屋质量是否符合标准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保修记录：证明开发商是否履行保修义务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三、申请人无法自行收集的原因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申请人与物业公司不存在隶属关系，无法强制要求物业公司提供档案资料；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申请人与开发商不存在隶属关系，无法强制要求开发商提供工程记录；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上述证据属于物业公司、开发商的内部管理资料，申请人无法通过公开渠道获取。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法律依据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《中华人民共和国民事诉讼法》第六十七条：人民法院有权向有关单位调查取证。有关单位不得拒绝。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《最高人民法院关于民事诉讼证据的若干规定》第四十七条：确因客观原因不能自行收集的其他材料，可以申请人民法院调查收集。</w:t>
      </w:r>
    </w:p>
    <w:p>
      <w:pPr>
        <w:spacing w:before="480" w:after="120"/>
        <w:jc w:val="left"/>
      </w:pPr>
      <w:r>
        <w:rPr>
          <w:rFonts w:ascii="SimSun" w:hAnsi="SimSun" w:eastAsia="SimSun"/>
          <w:b w:val="0"/>
          <w:sz w:val="24"/>
        </w:rPr>
        <w:t>此致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重庆市两江新区人民法院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480" w:after="120"/>
        <w:jc w:val="left"/>
      </w:pPr>
      <w:r>
        <w:rPr>
          <w:rFonts w:ascii="SimSun" w:hAnsi="SimSun" w:eastAsia="SimSun"/>
          <w:b/>
          <w:sz w:val="24"/>
        </w:rPr>
        <w:t>申请人：唐斐男（签字）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日期：2026年9月14日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4"/>
        </w:rPr>
        <w:t>附：联系方式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  <w:t>- 地址：重庆市九龙坡区经纬大道1399号隆鑫花漾四季2幢4-6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  <w:t>- 电话：15025355361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