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snapToGrid w:val="0"/>
        <w:spacing w:before="156" w:beforeLines="50" w:after="156" w:afterLines="50"/>
        <w:jc w:val="center"/>
        <w:outlineLvl w:val="0"/>
        <w:rPr>
          <w:rFonts w:ascii="黑体" w:hAnsi="黑体" w:eastAsia="黑体"/>
          <w:b/>
          <w:sz w:val="30"/>
          <w:szCs w:val="30"/>
        </w:rPr>
      </w:pPr>
      <w:bookmarkStart w:id="0" w:name="_Toc501710488"/>
      <w:bookmarkStart w:id="1" w:name="_Toc17400"/>
      <w:bookmarkStart w:id="2" w:name="_Toc29337"/>
      <w:r>
        <w:rPr>
          <w:rFonts w:hint="eastAsia" w:ascii="黑体" w:hAnsi="黑体" w:eastAsia="黑体"/>
          <w:b/>
          <w:sz w:val="30"/>
          <w:szCs w:val="30"/>
        </w:rPr>
        <w:t>重庆邮电大学本科毕业设计（论文）开题报告</w:t>
      </w:r>
      <w:bookmarkEnd w:id="0"/>
      <w:bookmarkEnd w:id="1"/>
      <w:bookmarkEnd w:id="2"/>
    </w:p>
    <w:tbl>
      <w:tblPr>
        <w:tblStyle w:val="4"/>
        <w:tblW w:w="89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9"/>
        <w:gridCol w:w="3455"/>
        <w:gridCol w:w="1371"/>
        <w:gridCol w:w="29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题    目</w:t>
            </w:r>
          </w:p>
        </w:tc>
        <w:tc>
          <w:tcPr>
            <w:tcW w:w="7766" w:type="dxa"/>
            <w:gridSpan w:val="3"/>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jc w:val="center"/>
              <w:rPr>
                <w:rFonts w:asciiTheme="minorEastAsia" w:hAnsiTheme="minorEastAsia" w:eastAsiaTheme="minorEastAsia" w:cstheme="minorEastAsia"/>
                <w:sz w:val="24"/>
              </w:rPr>
            </w:pPr>
            <w:r>
              <w:rPr>
                <w:rFonts w:cs="等线" w:asciiTheme="minorEastAsia" w:hAnsiTheme="minorEastAsia" w:eastAsiaTheme="minorEastAsia"/>
                <w:sz w:val="24"/>
              </w:rPr>
              <w:t>足球比赛视频智能剪辑系统设计与实现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9"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学生姓名</w:t>
            </w:r>
          </w:p>
        </w:tc>
        <w:tc>
          <w:tcPr>
            <w:tcW w:w="3455"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谭雨婷</w:t>
            </w:r>
          </w:p>
        </w:tc>
        <w:tc>
          <w:tcPr>
            <w:tcW w:w="137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学    号</w:t>
            </w:r>
          </w:p>
        </w:tc>
        <w:tc>
          <w:tcPr>
            <w:tcW w:w="29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jc w:val="center"/>
              <w:rPr>
                <w:rFonts w:eastAsiaTheme="minorEastAsia"/>
                <w:sz w:val="24"/>
              </w:rPr>
            </w:pPr>
            <w:r>
              <w:rPr>
                <w:rFonts w:hint="eastAsia" w:eastAsiaTheme="minorEastAsia"/>
                <w:sz w:val="24"/>
              </w:rPr>
              <w:t>2022211929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9"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指导教师</w:t>
            </w:r>
          </w:p>
        </w:tc>
        <w:tc>
          <w:tcPr>
            <w:tcW w:w="3455"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杜雨露</w:t>
            </w:r>
          </w:p>
        </w:tc>
        <w:tc>
          <w:tcPr>
            <w:tcW w:w="137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所在单位</w:t>
            </w:r>
          </w:p>
        </w:tc>
        <w:tc>
          <w:tcPr>
            <w:tcW w:w="29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人工智能学院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5" w:type="dxa"/>
            <w:gridSpan w:val="4"/>
            <w:tcBorders>
              <w:top w:val="single" w:color="auto" w:sz="4" w:space="0"/>
            </w:tcBorders>
            <w:shd w:val="clear" w:color="auto" w:fill="F5F5F5"/>
            <w:vAlign w:val="center"/>
          </w:tcPr>
          <w:p>
            <w:pPr>
              <w:spacing w:before="100" w:beforeAutospacing="1" w:after="100" w:afterAutospacing="1"/>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一、选题背景（综述本课题研究现状、选题目的及意义）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5" w:type="dxa"/>
            <w:gridSpan w:val="4"/>
            <w:tcBorders>
              <w:bottom w:val="single" w:color="auto" w:sz="4" w:space="0"/>
            </w:tcBorders>
          </w:tcPr>
          <w:p>
            <w:pPr>
              <w:topLinePunct/>
              <w:snapToGrid w:val="0"/>
              <w:spacing w:line="300" w:lineRule="auto"/>
              <w:ind w:firstLine="480" w:firstLineChars="200"/>
              <w:rPr>
                <w:sz w:val="24"/>
              </w:rPr>
            </w:pPr>
            <w:r>
              <w:rPr>
                <w:sz w:val="24"/>
              </w:rPr>
              <w:t xml:space="preserve">1.1 </w:t>
            </w:r>
            <w:r>
              <w:rPr>
                <w:rFonts w:hint="eastAsia"/>
                <w:sz w:val="24"/>
              </w:rPr>
              <w:t>研究现状</w:t>
            </w:r>
          </w:p>
          <w:p>
            <w:pPr>
              <w:spacing w:line="300" w:lineRule="auto"/>
              <w:ind w:firstLine="480" w:firstLineChars="200"/>
              <w:rPr>
                <w:sz w:val="24"/>
              </w:rPr>
            </w:pPr>
            <w:r>
              <w:rPr>
                <w:sz w:val="24"/>
              </w:rPr>
              <w:t>足球作为全球最受欢迎的体育运动之一，其赛事视频内容的生产、分析与传播蕴含着巨大的商业价值和社会需求。传统的人工剪辑方式耗时费力，难以满足媒体快速报道、球迷即时分享以及球队战术复盘的需求。因此，利用人工智能技术实现足球视频的智能分析与自动化剪辑，已成为计算机视觉和体育科技交叉领域的研究热点与产业刚需。</w:t>
            </w:r>
          </w:p>
          <w:p>
            <w:pPr>
              <w:spacing w:line="300" w:lineRule="auto"/>
              <w:ind w:firstLine="480" w:firstLineChars="200"/>
              <w:rPr>
                <w:sz w:val="24"/>
              </w:rPr>
            </w:pPr>
            <w:r>
              <w:rPr>
                <w:sz w:val="24"/>
              </w:rPr>
              <w:t>从产业应用层面看，智能化剪辑系统已从概念验证走向实际部署。例如，上海广播电视台技术中心开发的Scube高光集锦产品，基于多模态大模型，已成功应用于中超、足协杯等赛事。该系统能够准确定位开球、射门、进球回放等关键事件，识别覆盖率超过85%，并将单场剪辑时间缩短至5分钟，显著提升了内容生产效率。挪威的AI-PRODUCER项目也致力于开发自动化的AI视频生产服务，通过检测标识转换、场景边界等信息，实现进球、判罚等事件的自动剪辑与集锦生成，旨在降低制作成本并拓宽应用范围。在国内，中国移动咪咕等平台也将AI技术深度融入赛事转播，通过智能生产增强观赛体验。这些实践表明，行业已不满足于单纯的事件检测，而是追求集“识别-剪辑-包装”于一体的端到端自动化流程。</w:t>
            </w:r>
          </w:p>
          <w:p>
            <w:pPr>
              <w:topLinePunct/>
              <w:snapToGrid w:val="0"/>
              <w:spacing w:line="300" w:lineRule="auto"/>
              <w:ind w:firstLine="480" w:firstLineChars="200"/>
              <w:rPr>
                <w:sz w:val="24"/>
              </w:rPr>
            </w:pPr>
            <w:r>
              <w:rPr>
                <w:sz w:val="24"/>
              </w:rPr>
              <w:t xml:space="preserve">1.2 </w:t>
            </w:r>
            <w:r>
              <w:rPr>
                <w:rFonts w:hint="eastAsia"/>
                <w:sz w:val="24"/>
              </w:rPr>
              <w:t>发展趋势</w:t>
            </w:r>
          </w:p>
          <w:p>
            <w:pPr>
              <w:spacing w:line="300" w:lineRule="auto"/>
              <w:ind w:firstLine="480" w:firstLineChars="200"/>
              <w:rPr>
                <w:sz w:val="24"/>
              </w:rPr>
            </w:pPr>
            <w:r>
              <w:rPr>
                <w:sz w:val="24"/>
              </w:rPr>
              <w:t>综合来看，足球视频智能剪辑系统的发展呈现以下趋势：</w:t>
            </w:r>
          </w:p>
          <w:p>
            <w:pPr>
              <w:spacing w:line="300" w:lineRule="auto"/>
              <w:ind w:firstLine="480" w:firstLineChars="200"/>
              <w:rPr>
                <w:sz w:val="24"/>
              </w:rPr>
            </w:pPr>
            <w:r>
              <w:rPr>
                <w:rFonts w:hint="eastAsia"/>
                <w:sz w:val="24"/>
              </w:rPr>
              <w:t>（1）</w:t>
            </w:r>
            <w:r>
              <w:rPr>
                <w:sz w:val="24"/>
              </w:rPr>
              <w:t>多模态深度融合：综合利用视觉、音频、文本（计分板、字幕）信号，并引入比赛知识图谱，使系统理解从“看到了什么”上升到“理解了正在发生什么”。</w:t>
            </w:r>
          </w:p>
          <w:p>
            <w:pPr>
              <w:spacing w:line="300" w:lineRule="auto"/>
              <w:ind w:firstLine="480" w:firstLineChars="200"/>
              <w:rPr>
                <w:sz w:val="24"/>
              </w:rPr>
            </w:pPr>
            <w:r>
              <w:rPr>
                <w:rFonts w:hint="eastAsia"/>
                <w:sz w:val="24"/>
              </w:rPr>
              <w:t>（2）</w:t>
            </w:r>
            <w:r>
              <w:rPr>
                <w:sz w:val="24"/>
              </w:rPr>
              <w:t>实时化与轻量化：研究重点从赛后分析向准实时甚至实时剪辑过渡，以满足 halftime show 或即时社交媒体发布的需求，这要求模型必须在精度和推理速度间取得平衡。</w:t>
            </w:r>
          </w:p>
          <w:p>
            <w:pPr>
              <w:spacing w:line="300" w:lineRule="auto"/>
              <w:ind w:firstLine="480" w:firstLineChars="200"/>
              <w:rPr>
                <w:sz w:val="24"/>
              </w:rPr>
            </w:pPr>
            <w:r>
              <w:rPr>
                <w:rFonts w:hint="eastAsia"/>
                <w:sz w:val="24"/>
              </w:rPr>
              <w:t>（3）</w:t>
            </w:r>
            <w:r>
              <w:rPr>
                <w:sz w:val="24"/>
              </w:rPr>
              <w:t>功能集成化：系统从单一的事件检测模块，发展为集成自动剪辑、智能包装（添加字幕、转场、特效）、缩略图推荐乃至AIGC解说的全链路平台。</w:t>
            </w:r>
          </w:p>
          <w:p>
            <w:pPr>
              <w:spacing w:line="300" w:lineRule="auto"/>
              <w:ind w:firstLine="480" w:firstLineChars="200"/>
              <w:rPr>
                <w:sz w:val="24"/>
              </w:rPr>
            </w:pPr>
            <w:r>
              <w:rPr>
                <w:rFonts w:hint="eastAsia"/>
                <w:sz w:val="24"/>
              </w:rPr>
              <w:t>（4）</w:t>
            </w:r>
            <w:r>
              <w:rPr>
                <w:sz w:val="24"/>
              </w:rPr>
              <w:t>应用场景下沉：从服务职业联赛广播，逐步拓展至业余比赛、青训分析、个人球迷自制集锦等长尾市场，对系统的易用性和成本控制提出新要求。</w:t>
            </w:r>
          </w:p>
          <w:p>
            <w:pPr>
              <w:topLinePunct/>
              <w:snapToGrid w:val="0"/>
              <w:spacing w:line="300" w:lineRule="auto"/>
              <w:ind w:firstLine="480" w:firstLineChars="200"/>
              <w:rPr>
                <w:sz w:val="24"/>
              </w:rPr>
            </w:pPr>
            <w:r>
              <w:rPr>
                <w:sz w:val="24"/>
              </w:rPr>
              <w:t>1.3目的及意义</w:t>
            </w:r>
          </w:p>
          <w:p>
            <w:pPr>
              <w:spacing w:line="300" w:lineRule="auto"/>
              <w:ind w:firstLine="480" w:firstLineChars="200"/>
              <w:rPr>
                <w:sz w:val="24"/>
              </w:rPr>
            </w:pPr>
            <w:r>
              <w:rPr>
                <w:sz w:val="24"/>
              </w:rPr>
              <w:t>本课题旨在融合计算机视觉与人工智能技术，设计并实现一个足球视频智能剪辑系统。其目的与意义在于：</w:t>
            </w:r>
          </w:p>
          <w:p>
            <w:pPr>
              <w:spacing w:line="300" w:lineRule="auto"/>
              <w:ind w:firstLine="480" w:firstLineChars="200"/>
              <w:rPr>
                <w:sz w:val="24"/>
              </w:rPr>
            </w:pPr>
            <w:r>
              <w:rPr>
                <w:sz w:val="24"/>
              </w:rPr>
              <w:t>学术价值：通过实践，深入探索基于深度学习的时序动作定位、多模态信息融合等前沿技术在复杂体育视频场景中的应用。针对现有系统在检测精度与端到端自动化之间的差距，本课题尝试构建一个兼顾性能与实用性的完整原型，为相关研究提供可参考的实现方案与评估案例</w:t>
            </w:r>
            <w:r>
              <w:rPr>
                <w:rFonts w:hint="eastAsia"/>
                <w:sz w:val="24"/>
              </w:rPr>
              <w:t>；</w:t>
            </w:r>
          </w:p>
          <w:p>
            <w:pPr>
              <w:spacing w:line="300" w:lineRule="auto"/>
              <w:ind w:firstLine="480" w:firstLineChars="200"/>
              <w:rPr>
                <w:szCs w:val="21"/>
              </w:rPr>
            </w:pPr>
            <w:r>
              <w:rPr>
                <w:sz w:val="24"/>
              </w:rPr>
              <w:t>应用价值：本系统旨在降低高质量足球集锦视频的制作门槛和时长。对于媒体机构，可提高内容产出效率；对于业余球队或足球爱好者，则提供了一个无需专业剪辑技能即可快速回顾比赛精彩瞬间的工具，有助于促进足球文化的普及与传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5" w:type="dxa"/>
            <w:gridSpan w:val="4"/>
            <w:shd w:val="clear" w:color="auto" w:fill="F8F8F8"/>
            <w:vAlign w:val="center"/>
          </w:tcPr>
          <w:p>
            <w:pPr>
              <w:spacing w:before="100" w:beforeAutospacing="1" w:after="100" w:afterAutospacing="1"/>
              <w:rPr>
                <w:rFonts w:eastAsiaTheme="minorEastAsia"/>
                <w:sz w:val="24"/>
              </w:rPr>
            </w:pPr>
            <w:r>
              <w:rPr>
                <w:rFonts w:eastAsiaTheme="minorEastAsia"/>
                <w:sz w:val="24"/>
              </w:rPr>
              <w:t>二、研究目标和内容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5" w:type="dxa"/>
            <w:gridSpan w:val="4"/>
            <w:tcBorders>
              <w:bottom w:val="single" w:color="auto" w:sz="4" w:space="0"/>
            </w:tcBorders>
          </w:tcPr>
          <w:p>
            <w:pPr>
              <w:topLinePunct/>
              <w:snapToGrid w:val="0"/>
              <w:spacing w:line="276" w:lineRule="auto"/>
              <w:ind w:firstLine="480" w:firstLineChars="200"/>
              <w:rPr>
                <w:sz w:val="24"/>
              </w:rPr>
            </w:pPr>
            <w:r>
              <w:rPr>
                <w:sz w:val="24"/>
              </w:rPr>
              <w:t>2.1研究目标</w:t>
            </w:r>
          </w:p>
          <w:p>
            <w:pPr>
              <w:spacing w:line="300" w:lineRule="auto"/>
              <w:ind w:firstLine="480" w:firstLineChars="200"/>
              <w:rPr>
                <w:sz w:val="24"/>
              </w:rPr>
            </w:pPr>
            <w:r>
              <w:rPr>
                <w:sz w:val="24"/>
              </w:rPr>
              <w:t>本课题的直接目标是：开发一个具备完整流程的足球视频智能剪辑原型系统。该系统能够自动完成从原始比赛视频输入到精彩集锦视频输出的全过程。具体分解为：</w:t>
            </w:r>
          </w:p>
          <w:p>
            <w:pPr>
              <w:spacing w:line="300" w:lineRule="auto"/>
              <w:ind w:firstLine="480" w:firstLineChars="200"/>
              <w:rPr>
                <w:sz w:val="24"/>
              </w:rPr>
            </w:pPr>
            <w:r>
              <w:rPr>
                <w:rFonts w:hint="eastAsia"/>
                <w:sz w:val="24"/>
              </w:rPr>
              <w:t>（1）</w:t>
            </w:r>
            <w:r>
              <w:rPr>
                <w:sz w:val="24"/>
              </w:rPr>
              <w:t>实现高准确率的关键事件检测：基于深度学习模型，实现对“进球”、“射门（含射正与封堵）”、“红黄牌”等核心精彩事件的自动识别与时间定位。以公开数据集或自建测试集评估，目标检测平均精度均值不低于80%，时间定位误差控制在1秒以内。</w:t>
            </w:r>
          </w:p>
          <w:p>
            <w:pPr>
              <w:spacing w:line="300" w:lineRule="auto"/>
              <w:ind w:firstLine="480" w:firstLineChars="200"/>
              <w:rPr>
                <w:sz w:val="24"/>
              </w:rPr>
            </w:pPr>
            <w:r>
              <w:rPr>
                <w:rFonts w:hint="eastAsia"/>
                <w:sz w:val="24"/>
              </w:rPr>
              <w:t>（2）</w:t>
            </w:r>
            <w:r>
              <w:rPr>
                <w:sz w:val="24"/>
              </w:rPr>
              <w:t>实现自动化视频剪辑与合成：根据检测到的事件及类型，依据预设的剪辑逻辑（如提取事件前后若干秒），调用视频处理引擎自动完成片段的裁剪、排序、拼接，并添加基础转场效果与事件描述字幕，生成一段连贯、可视性强的精彩集锦视频。</w:t>
            </w:r>
          </w:p>
          <w:p>
            <w:pPr>
              <w:spacing w:line="300" w:lineRule="auto"/>
              <w:ind w:firstLine="480" w:firstLineChars="200"/>
              <w:rPr>
                <w:sz w:val="24"/>
              </w:rPr>
            </w:pPr>
            <w:r>
              <w:rPr>
                <w:rFonts w:hint="eastAsia"/>
                <w:sz w:val="24"/>
              </w:rPr>
              <w:t>（3）</w:t>
            </w:r>
            <w:r>
              <w:rPr>
                <w:sz w:val="24"/>
              </w:rPr>
              <w:t>交付可交互的原型系统：构建一个包含用户界面的软件原型，提供视频上传、分析处理、结果预览与下载等核心功能，完成系统集成与测试，验证整体流程的有效性与实用性</w:t>
            </w:r>
          </w:p>
          <w:p>
            <w:pPr>
              <w:topLinePunct/>
              <w:snapToGrid w:val="0"/>
              <w:spacing w:line="300" w:lineRule="auto"/>
              <w:ind w:firstLine="480" w:firstLineChars="200"/>
              <w:rPr>
                <w:sz w:val="24"/>
              </w:rPr>
            </w:pPr>
            <w:r>
              <w:rPr>
                <w:sz w:val="24"/>
              </w:rPr>
              <w:t>2.2主要研究内容</w:t>
            </w:r>
          </w:p>
          <w:p>
            <w:pPr>
              <w:spacing w:line="300" w:lineRule="auto"/>
              <w:ind w:firstLine="480" w:firstLineChars="200"/>
              <w:rPr>
                <w:sz w:val="24"/>
              </w:rPr>
            </w:pPr>
            <w:r>
              <w:rPr>
                <w:sz w:val="24"/>
              </w:rPr>
              <w:t>本课题将围绕“如何准确识别事件”和“如何生成高质量集锦”两个核心问题展开，主要研究内容包括：</w:t>
            </w:r>
          </w:p>
          <w:p>
            <w:pPr>
              <w:spacing w:line="300" w:lineRule="auto"/>
              <w:ind w:firstLine="480" w:firstLineChars="200"/>
              <w:rPr>
                <w:sz w:val="24"/>
              </w:rPr>
            </w:pPr>
            <w:r>
              <w:rPr>
                <w:rFonts w:hint="eastAsia"/>
                <w:sz w:val="24"/>
              </w:rPr>
              <w:t>（1）</w:t>
            </w:r>
            <w:r>
              <w:rPr>
                <w:sz w:val="24"/>
              </w:rPr>
              <w:t>足球视频关键事件检测模型的设计与实现：这是系统的核心。研究将采用基于深度学习的时序动作定位框架。重点研究如何有效提取并融合视频的视觉特征与音频特征（如欢呼声、解说关键词），以提升检测鲁棒性</w:t>
            </w:r>
            <w:r>
              <w:fldChar w:fldCharType="begin"/>
            </w:r>
            <w:r>
              <w:instrText xml:space="preserve"> HYPERLINK "https://library.cnu.ac.kr/eds/detail/edsdoj_edsdoj.551f15f161c4d7e81032f23b6b6c482?briefLink=/eds/brief/discoveryResult?st=KWRD&amp;service_type=brief&amp;si=AU&amp;q=%22Mengjiao+Han%22&amp;" \t "https://chat.deepseek.com/a/chat/s/_blank" </w:instrText>
            </w:r>
            <w:r>
              <w:fldChar w:fldCharType="separate"/>
            </w:r>
            <w:r>
              <w:rPr>
                <w:sz w:val="24"/>
              </w:rPr>
              <w:t>-9</w:t>
            </w:r>
            <w:r>
              <w:rPr>
                <w:sz w:val="24"/>
              </w:rPr>
              <w:fldChar w:fldCharType="end"/>
            </w:r>
            <w:r>
              <w:rPr>
                <w:sz w:val="24"/>
              </w:rPr>
              <w:t>。计划在SoccerNet等公开数据集上对预训练模型进行微调与优化，重点解决射门等相似动作的区分以及事件时间边界的精确标定问题。</w:t>
            </w:r>
          </w:p>
          <w:p>
            <w:pPr>
              <w:spacing w:line="300" w:lineRule="auto"/>
              <w:ind w:firstLine="480" w:firstLineChars="200"/>
              <w:rPr>
                <w:sz w:val="24"/>
              </w:rPr>
            </w:pPr>
            <w:r>
              <w:rPr>
                <w:rFonts w:hint="eastAsia"/>
                <w:sz w:val="24"/>
              </w:rPr>
              <w:t>（2）</w:t>
            </w:r>
            <w:r>
              <w:rPr>
                <w:sz w:val="24"/>
              </w:rPr>
              <w:t>基于规则与重要性的智能剪辑逻辑设计：研究如何将检测到的事件列表转化为剪辑指令。内容包括：为不同类型事件定义差异化的片段选取时长；设计集锦的叙事逻辑（如按时间顺序、按重要性排序）；以及实现基于FFmpeg等工具的视频自动处理流水线，完成裁剪、拼接、添加静态字幕和简单转场等任务。</w:t>
            </w:r>
          </w:p>
          <w:p>
            <w:pPr>
              <w:spacing w:line="300" w:lineRule="auto"/>
              <w:ind w:firstLine="480" w:firstLineChars="200"/>
              <w:rPr>
                <w:rFonts w:hint="eastAsia"/>
                <w:sz w:val="24"/>
              </w:rPr>
            </w:pPr>
            <w:r>
              <w:rPr>
                <w:rFonts w:hint="eastAsia"/>
                <w:sz w:val="24"/>
              </w:rPr>
              <w:t>（3）</w:t>
            </w:r>
            <w:r>
              <w:rPr>
                <w:sz w:val="24"/>
              </w:rPr>
              <w:t>足球视频智能剪辑原型系统的集成与开发：采用前后端分离的架构进行系统集成。前端负责用户交互，后端承载模型推理与视频处理任务。研究如何设计高效的通信接口，以管理视频上传、处理状态跟踪、结果返回等流程，最终形成一个功能完整、可供测试验证的软件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5" w:type="dxa"/>
            <w:gridSpan w:val="4"/>
            <w:shd w:val="clear" w:color="auto" w:fill="F8F8F8"/>
            <w:vAlign w:val="center"/>
          </w:tcPr>
          <w:p>
            <w:pPr>
              <w:spacing w:before="100" w:beforeAutospacing="1" w:after="100" w:afterAutospacing="1"/>
              <w:rPr>
                <w:rFonts w:eastAsiaTheme="minorEastAsia"/>
                <w:sz w:val="24"/>
              </w:rPr>
            </w:pPr>
            <w:r>
              <w:rPr>
                <w:rFonts w:eastAsiaTheme="minorEastAsia"/>
                <w:sz w:val="24"/>
              </w:rPr>
              <w:t>三、研究方案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5" w:type="dxa"/>
            <w:gridSpan w:val="4"/>
            <w:tcBorders>
              <w:bottom w:val="single" w:color="auto" w:sz="4" w:space="0"/>
            </w:tcBorders>
          </w:tcPr>
          <w:p>
            <w:pPr>
              <w:topLinePunct/>
              <w:snapToGrid w:val="0"/>
              <w:spacing w:line="300" w:lineRule="auto"/>
              <w:ind w:firstLine="480" w:firstLineChars="200"/>
              <w:rPr>
                <w:sz w:val="24"/>
              </w:rPr>
            </w:pPr>
            <w:r>
              <w:rPr>
                <w:sz w:val="24"/>
              </w:rPr>
              <w:t>3.1研究方法</w:t>
            </w:r>
          </w:p>
          <w:p>
            <w:pPr>
              <w:topLinePunct/>
              <w:snapToGrid w:val="0"/>
              <w:spacing w:line="300" w:lineRule="auto"/>
              <w:ind w:firstLine="480" w:firstLineChars="200"/>
              <w:rPr>
                <w:sz w:val="24"/>
              </w:rPr>
            </w:pPr>
            <w:r>
              <w:rPr>
                <w:rFonts w:hint="eastAsia"/>
                <w:sz w:val="24"/>
              </w:rPr>
              <w:t>（1）</w:t>
            </w:r>
            <w:r>
              <w:rPr>
                <w:sz w:val="24"/>
              </w:rPr>
              <w:t>系统梳理深度学习、时序动作检测、多模态学习在体育视频分析领域的相关文献，对比不同技术路线的优劣，为系统设计奠定理论基础。</w:t>
            </w:r>
          </w:p>
          <w:p>
            <w:pPr>
              <w:topLinePunct/>
              <w:snapToGrid w:val="0"/>
              <w:spacing w:line="300" w:lineRule="auto"/>
              <w:ind w:firstLine="480" w:firstLineChars="200"/>
              <w:rPr>
                <w:sz w:val="24"/>
              </w:rPr>
            </w:pPr>
            <w:r>
              <w:rPr>
                <w:rFonts w:hint="eastAsia"/>
                <w:sz w:val="24"/>
              </w:rPr>
              <w:t>（2）</w:t>
            </w:r>
            <w:r>
              <w:rPr>
                <w:sz w:val="24"/>
              </w:rPr>
              <w:t>采用软件工程中的快速原型开发模式，分模块（数据预处理、模型推理、剪辑引擎、Web应用）实现系统功能，并逐步迭代集成。</w:t>
            </w:r>
          </w:p>
          <w:p>
            <w:pPr>
              <w:topLinePunct/>
              <w:snapToGrid w:val="0"/>
              <w:spacing w:line="300" w:lineRule="auto"/>
              <w:ind w:firstLine="480" w:firstLineChars="200"/>
              <w:rPr>
                <w:sz w:val="24"/>
              </w:rPr>
            </w:pPr>
            <w:r>
              <w:rPr>
                <w:sz w:val="24"/>
              </w:rPr>
              <w:t>（3）使用SoccerNet等标准数据集划分训练集、验证集和测试集，采用平均精度等指标量化评估事件检测模型的性能。对最终生成的集锦视频，将通过主观评测（邀请目标用户观看评分）与客观指标（处理耗时、片段覆盖率）相结合的方式进行系统整体评估。</w:t>
            </w:r>
          </w:p>
          <w:p>
            <w:pPr>
              <w:topLinePunct/>
              <w:snapToGrid w:val="0"/>
              <w:spacing w:line="300" w:lineRule="auto"/>
              <w:ind w:firstLine="480" w:firstLineChars="200"/>
              <w:rPr>
                <w:sz w:val="24"/>
              </w:rPr>
            </w:pPr>
            <w:r>
              <w:rPr>
                <w:sz w:val="24"/>
              </w:rPr>
              <w:t>3.2实施步骤</w:t>
            </w:r>
          </w:p>
          <w:p>
            <w:pPr>
              <w:spacing w:line="300" w:lineRule="auto"/>
              <w:ind w:firstLine="480" w:firstLineChars="200"/>
              <w:rPr>
                <w:sz w:val="24"/>
              </w:rPr>
            </w:pPr>
            <w:r>
              <w:rPr>
                <w:rFonts w:hint="eastAsia"/>
                <w:sz w:val="24"/>
              </w:rPr>
              <w:t>首先从理论学习与数据准备入手，系统掌握时序动作检测与多模态融合的核心原理，并完成SoccerNet等数据集的获取与预处理，构建模型开发的基准。</w:t>
            </w:r>
          </w:p>
          <w:p>
            <w:pPr>
              <w:spacing w:line="300" w:lineRule="auto"/>
              <w:ind w:firstLine="480" w:firstLineChars="200"/>
              <w:rPr>
                <w:sz w:val="24"/>
              </w:rPr>
            </w:pPr>
            <w:r>
              <w:rPr>
                <w:rFonts w:hint="eastAsia"/>
                <w:sz w:val="24"/>
              </w:rPr>
              <w:t>在此基础上，针对足球视频关键事件检测的具体挑战，设计并实现融合视觉与音频特征的多模态检测模型，通过训练、调参与验证，使其达到预期的精度指标</w:t>
            </w:r>
          </w:p>
          <w:p>
            <w:pPr>
              <w:spacing w:line="300" w:lineRule="auto"/>
              <w:ind w:firstLine="480" w:firstLineChars="200"/>
              <w:rPr>
                <w:sz w:val="24"/>
              </w:rPr>
            </w:pPr>
            <w:r>
              <w:rPr>
                <w:rFonts w:hint="eastAsia"/>
                <w:sz w:val="24"/>
              </w:rPr>
              <w:t>进而，开发智能剪辑引擎与完整的软件原型系统，实现从事件识别到集锦生成与展示的端到端功能集成。</w:t>
            </w:r>
          </w:p>
          <w:p>
            <w:pPr>
              <w:spacing w:line="300" w:lineRule="auto"/>
              <w:ind w:firstLine="480" w:firstLineChars="200"/>
              <w:rPr>
                <w:sz w:val="24"/>
              </w:rPr>
            </w:pPr>
            <w:r>
              <w:rPr>
                <w:rFonts w:hint="eastAsia"/>
                <w:sz w:val="24"/>
              </w:rPr>
              <w:t>最后，对集成系统进行全面的测试与性能评估，并根据结果优化模型参数与剪辑逻辑。</w:t>
            </w:r>
          </w:p>
          <w:p>
            <w:pPr>
              <w:topLinePunct/>
              <w:snapToGrid w:val="0"/>
              <w:spacing w:line="300" w:lineRule="auto"/>
              <w:ind w:firstLine="480" w:firstLineChars="200"/>
              <w:rPr>
                <w:sz w:val="24"/>
              </w:rPr>
            </w:pPr>
            <w:r>
              <w:rPr>
                <w:sz w:val="24"/>
              </w:rPr>
              <w:t>3.3拟解决的主要问题及措施</w:t>
            </w:r>
          </w:p>
          <w:p>
            <w:pPr>
              <w:topLinePunct/>
              <w:snapToGrid w:val="0"/>
              <w:spacing w:line="300" w:lineRule="auto"/>
              <w:ind w:firstLine="480" w:firstLineChars="200"/>
              <w:rPr>
                <w:rStyle w:val="6"/>
                <w:rFonts w:ascii="Segoe UI" w:hAnsi="Segoe UI" w:eastAsia="Segoe UI" w:cs="Segoe UI"/>
                <w:bCs/>
                <w:color w:val="0F1115"/>
                <w:sz w:val="18"/>
                <w:szCs w:val="18"/>
                <w:shd w:val="clear" w:color="auto" w:fill="FFFFFF"/>
              </w:rPr>
            </w:pPr>
            <w:r>
              <w:rPr>
                <w:sz w:val="24"/>
              </w:rPr>
              <w:t>（1）</w:t>
            </w:r>
            <w:r>
              <w:rPr>
                <w:rStyle w:val="6"/>
                <w:b w:val="0"/>
                <w:color w:val="0F1115"/>
                <w:sz w:val="24"/>
                <w:shd w:val="clear" w:color="auto" w:fill="FFFFFF"/>
              </w:rPr>
              <w:t>事件检测的准确性与鲁棒性</w:t>
            </w:r>
          </w:p>
          <w:p>
            <w:pPr>
              <w:spacing w:line="300" w:lineRule="auto"/>
              <w:ind w:firstLine="480" w:firstLineChars="200"/>
              <w:rPr>
                <w:color w:val="0F1115"/>
                <w:sz w:val="24"/>
                <w:shd w:val="clear" w:color="auto" w:fill="FFFFFF"/>
              </w:rPr>
            </w:pPr>
            <w:r>
              <w:rPr>
                <w:rFonts w:hint="eastAsia"/>
                <w:color w:val="0F1115"/>
                <w:sz w:val="24"/>
                <w:shd w:val="clear" w:color="auto" w:fill="FFFFFF"/>
              </w:rPr>
              <w:t>问题具体描述：</w:t>
            </w:r>
            <w:r>
              <w:rPr>
                <w:color w:val="0F1115"/>
                <w:sz w:val="24"/>
                <w:shd w:val="clear" w:color="auto" w:fill="FFFFFF"/>
              </w:rPr>
              <w:t>足球视频场景复杂，动作相似度高（如射门与长传），易产生误检和漏检；广播视频镜头切换频繁，干扰时序分析。</w:t>
            </w:r>
          </w:p>
          <w:p>
            <w:pPr>
              <w:spacing w:line="300" w:lineRule="auto"/>
              <w:ind w:firstLine="480" w:firstLineChars="200"/>
              <w:rPr>
                <w:color w:val="0F1115"/>
                <w:sz w:val="24"/>
                <w:shd w:val="clear" w:color="auto" w:fill="FFFFFF"/>
              </w:rPr>
            </w:pPr>
            <w:r>
              <w:rPr>
                <w:rFonts w:hint="eastAsia"/>
                <w:color w:val="0F1115"/>
                <w:sz w:val="24"/>
                <w:shd w:val="clear" w:color="auto" w:fill="FFFFFF"/>
              </w:rPr>
              <w:t>拟采取措施：</w:t>
            </w:r>
            <w:r>
              <w:rPr>
                <w:color w:val="0F1115"/>
                <w:sz w:val="24"/>
                <w:shd w:val="clear" w:color="auto" w:fill="FFFFFF"/>
              </w:rPr>
              <w:t>采用在多模态体育数据集上预训练的模型作为主干，利用其学到的通用时空特征</w:t>
            </w:r>
            <w:r>
              <w:rPr>
                <w:rFonts w:hint="eastAsia"/>
                <w:color w:val="0F1115"/>
                <w:sz w:val="24"/>
                <w:shd w:val="clear" w:color="auto" w:fill="FFFFFF"/>
              </w:rPr>
              <w:t>；</w:t>
            </w:r>
            <w:r>
              <w:rPr>
                <w:color w:val="0F1115"/>
                <w:sz w:val="24"/>
                <w:shd w:val="clear" w:color="auto" w:fill="FFFFFF"/>
              </w:rPr>
              <w:t>引入音频分析模块，将欢呼声、解说员音调变化作为检测进球等高潮事件的强辅助信号</w:t>
            </w:r>
            <w:r>
              <w:rPr>
                <w:rFonts w:hint="eastAsia"/>
                <w:color w:val="0F1115"/>
                <w:sz w:val="24"/>
                <w:shd w:val="clear" w:color="auto" w:fill="FFFFFF"/>
              </w:rPr>
              <w:t>；</w:t>
            </w:r>
            <w:r>
              <w:rPr>
                <w:color w:val="0F1115"/>
                <w:sz w:val="24"/>
                <w:shd w:val="clear" w:color="auto" w:fill="FFFFFF"/>
              </w:rPr>
              <w:t>在模型训练中采用数据增强（如随机裁剪、抖动）以提高泛化能力。</w:t>
            </w:r>
          </w:p>
          <w:p>
            <w:pPr>
              <w:topLinePunct/>
              <w:snapToGrid w:val="0"/>
              <w:spacing w:line="300" w:lineRule="auto"/>
              <w:ind w:firstLine="480" w:firstLineChars="200"/>
              <w:rPr>
                <w:sz w:val="24"/>
              </w:rPr>
            </w:pPr>
            <w:r>
              <w:rPr>
                <w:sz w:val="24"/>
              </w:rPr>
              <w:t>（2）</w:t>
            </w:r>
            <w:r>
              <w:rPr>
                <w:rStyle w:val="6"/>
                <w:b w:val="0"/>
                <w:color w:val="0F1115"/>
                <w:sz w:val="24"/>
                <w:shd w:val="clear" w:color="auto" w:fill="FFFFFF"/>
              </w:rPr>
              <w:t>检测结果到剪辑指令的转换</w:t>
            </w:r>
          </w:p>
          <w:p>
            <w:pPr>
              <w:spacing w:line="300" w:lineRule="auto"/>
              <w:ind w:firstLine="480" w:firstLineChars="200"/>
              <w:rPr>
                <w:color w:val="0F1115"/>
                <w:sz w:val="24"/>
                <w:shd w:val="clear" w:color="auto" w:fill="FFFFFF"/>
              </w:rPr>
            </w:pPr>
            <w:r>
              <w:rPr>
                <w:rFonts w:hint="eastAsia"/>
                <w:color w:val="0F1115"/>
                <w:sz w:val="24"/>
                <w:shd w:val="clear" w:color="auto" w:fill="FFFFFF"/>
              </w:rPr>
              <w:t>问题具体描述：如何将模型输出的一系列事件时间戳，转化为观赏性强、逻辑连贯的集锦视频。</w:t>
            </w:r>
          </w:p>
          <w:p>
            <w:pPr>
              <w:spacing w:line="300" w:lineRule="auto"/>
              <w:ind w:firstLine="480" w:firstLineChars="200"/>
              <w:rPr>
                <w:color w:val="0F1115"/>
                <w:sz w:val="24"/>
                <w:shd w:val="clear" w:color="auto" w:fill="FFFFFF"/>
              </w:rPr>
            </w:pPr>
            <w:r>
              <w:rPr>
                <w:rFonts w:hint="eastAsia"/>
                <w:color w:val="0F1115"/>
                <w:sz w:val="24"/>
                <w:shd w:val="clear" w:color="auto" w:fill="FFFFFF"/>
              </w:rPr>
              <w:t>拟采取措施：设计基于规则的剪辑策略：为“进球”、“射正”、“黄牌”等不同事件类型配置不同的前后文抽取时长（如进球取前后10秒，射门取前后5秒）；</w:t>
            </w:r>
            <w:r>
              <w:rPr>
                <w:color w:val="0F1115"/>
                <w:sz w:val="24"/>
                <w:shd w:val="clear" w:color="auto" w:fill="FFFFFF"/>
              </w:rPr>
              <w:t>设计重要性排序与去重逻辑：优先保留重要事件，合并时间上过于接近的同类事件片段，避免集锦冗长重复。</w:t>
            </w:r>
          </w:p>
          <w:p>
            <w:pPr>
              <w:topLinePunct/>
              <w:snapToGrid w:val="0"/>
              <w:spacing w:line="300" w:lineRule="auto"/>
              <w:ind w:firstLine="480" w:firstLineChars="200"/>
              <w:rPr>
                <w:sz w:val="24"/>
              </w:rPr>
            </w:pPr>
            <w:r>
              <w:rPr>
                <w:sz w:val="24"/>
              </w:rPr>
              <w:t>（3）</w:t>
            </w:r>
            <w:r>
              <w:rPr>
                <w:rStyle w:val="6"/>
                <w:b w:val="0"/>
                <w:color w:val="0F1115"/>
                <w:sz w:val="24"/>
                <w:shd w:val="clear" w:color="auto" w:fill="FFFFFF"/>
              </w:rPr>
              <w:t>系统整体性能与效率</w:t>
            </w:r>
          </w:p>
          <w:p>
            <w:pPr>
              <w:spacing w:line="300" w:lineRule="auto"/>
              <w:ind w:firstLine="480" w:firstLineChars="200"/>
              <w:rPr>
                <w:color w:val="0F1115"/>
                <w:sz w:val="24"/>
                <w:shd w:val="clear" w:color="auto" w:fill="FFFFFF"/>
              </w:rPr>
            </w:pPr>
            <w:r>
              <w:rPr>
                <w:rFonts w:hint="eastAsia"/>
                <w:color w:val="0F1115"/>
                <w:sz w:val="24"/>
                <w:shd w:val="clear" w:color="auto" w:fill="FFFFFF"/>
              </w:rPr>
              <w:t>问题具体描述：视频推理和剪辑处理耗时较长，难以实现快速响应。</w:t>
            </w:r>
          </w:p>
          <w:p>
            <w:pPr>
              <w:spacing w:line="300" w:lineRule="auto"/>
              <w:ind w:firstLine="480" w:firstLineChars="200"/>
              <w:rPr>
                <w:rFonts w:eastAsia="Segoe UI"/>
                <w:color w:val="0F1115"/>
                <w:sz w:val="19"/>
                <w:szCs w:val="19"/>
                <w:shd w:val="clear" w:color="auto" w:fill="FFFFFF"/>
              </w:rPr>
            </w:pPr>
            <w:r>
              <w:rPr>
                <w:rFonts w:hint="eastAsia"/>
                <w:color w:val="0F1115"/>
                <w:sz w:val="24"/>
                <w:shd w:val="clear" w:color="auto" w:fill="FFFFFF"/>
              </w:rPr>
              <w:t>拟采取措施：在模型部署时，使用ONNX Runtime或TensorRT等推理引擎进行优化，加速模型前向传播；</w:t>
            </w:r>
            <w:r>
              <w:rPr>
                <w:color w:val="0F1115"/>
                <w:sz w:val="24"/>
                <w:shd w:val="clear" w:color="auto" w:fill="FFFFFF"/>
              </w:rPr>
              <w:t xml:space="preserve"> 对视频处理任务采用异步队列处理机制，避免Web请求阻塞，提升用户体验。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5" w:type="dxa"/>
            <w:gridSpan w:val="4"/>
            <w:shd w:val="clear" w:color="auto" w:fill="F8F8F8"/>
            <w:vAlign w:val="center"/>
          </w:tcPr>
          <w:p>
            <w:pPr>
              <w:spacing w:before="100" w:beforeAutospacing="1" w:after="100" w:afterAutospacing="1"/>
              <w:rPr>
                <w:rFonts w:eastAsiaTheme="minorEastAsia"/>
                <w:sz w:val="24"/>
              </w:rPr>
            </w:pPr>
            <w:r>
              <w:rPr>
                <w:rFonts w:hint="eastAsia" w:eastAsiaTheme="minorEastAsia"/>
                <w:sz w:val="24"/>
              </w:rPr>
              <w:t>四</w:t>
            </w:r>
            <w:r>
              <w:rPr>
                <w:rFonts w:eastAsiaTheme="minorEastAsia"/>
                <w:sz w:val="24"/>
              </w:rPr>
              <w:t>、进度计划（按月编制）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5" w:type="dxa"/>
            <w:gridSpan w:val="4"/>
            <w:tcBorders>
              <w:bottom w:val="single" w:color="auto" w:sz="4" w:space="0"/>
            </w:tcBorders>
          </w:tcPr>
          <w:tbl>
            <w:tblPr>
              <w:tblStyle w:val="4"/>
              <w:tblW w:w="87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8"/>
              <w:gridCol w:w="3591"/>
              <w:gridCol w:w="2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tcPr>
                <w:p>
                  <w:pPr>
                    <w:ind w:right="-107" w:rightChars="-51"/>
                    <w:jc w:val="center"/>
                    <w:rPr>
                      <w:rFonts w:eastAsiaTheme="minorEastAsia"/>
                      <w:sz w:val="24"/>
                    </w:rPr>
                  </w:pPr>
                  <w:r>
                    <w:rPr>
                      <w:rFonts w:eastAsiaTheme="minorEastAsia"/>
                      <w:sz w:val="24"/>
                    </w:rPr>
                    <w:t>时间</w:t>
                  </w:r>
                </w:p>
              </w:tc>
              <w:tc>
                <w:tcPr>
                  <w:tcW w:w="3591" w:type="dxa"/>
                </w:tcPr>
                <w:p>
                  <w:pPr>
                    <w:ind w:right="-107" w:rightChars="-51"/>
                    <w:jc w:val="center"/>
                    <w:rPr>
                      <w:rFonts w:eastAsiaTheme="minorEastAsia"/>
                      <w:sz w:val="24"/>
                    </w:rPr>
                  </w:pPr>
                  <w:r>
                    <w:rPr>
                      <w:rFonts w:eastAsiaTheme="minorEastAsia"/>
                      <w:sz w:val="24"/>
                    </w:rPr>
                    <w:t>主要工作</w:t>
                  </w:r>
                </w:p>
              </w:tc>
              <w:tc>
                <w:tcPr>
                  <w:tcW w:w="2910" w:type="dxa"/>
                </w:tcPr>
                <w:p>
                  <w:pPr>
                    <w:ind w:right="-107" w:rightChars="-51"/>
                    <w:jc w:val="center"/>
                    <w:rPr>
                      <w:rFonts w:eastAsiaTheme="minorEastAsia"/>
                      <w:sz w:val="24"/>
                    </w:rPr>
                  </w:pPr>
                  <w:r>
                    <w:rPr>
                      <w:rFonts w:eastAsiaTheme="minorEastAsia"/>
                      <w:sz w:val="24"/>
                    </w:rPr>
                    <w:t>预期阶段成果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vAlign w:val="center"/>
                </w:tcPr>
                <w:p>
                  <w:pPr>
                    <w:ind w:right="-107" w:rightChars="-51"/>
                    <w:jc w:val="center"/>
                    <w:rPr>
                      <w:rFonts w:eastAsiaTheme="minorEastAsia"/>
                      <w:sz w:val="24"/>
                    </w:rPr>
                  </w:pPr>
                  <w:r>
                    <w:rPr>
                      <w:rFonts w:hint="eastAsia" w:eastAsiaTheme="minorEastAsia"/>
                      <w:sz w:val="24"/>
                    </w:rPr>
                    <w:t>2026年1月</w:t>
                  </w:r>
                </w:p>
              </w:tc>
              <w:tc>
                <w:tcPr>
                  <w:tcW w:w="3591" w:type="dxa"/>
                  <w:vAlign w:val="center"/>
                </w:tcPr>
                <w:p>
                  <w:pPr>
                    <w:ind w:right="-107" w:rightChars="-51"/>
                    <w:rPr>
                      <w:rFonts w:eastAsiaTheme="minorEastAsia"/>
                      <w:sz w:val="24"/>
                    </w:rPr>
                  </w:pPr>
                  <w:r>
                    <w:rPr>
                      <w:rFonts w:eastAsiaTheme="minorEastAsia"/>
                      <w:sz w:val="24"/>
                    </w:rPr>
                    <w:t>技术预研与数据准备。完成文献综述，确定技术路线；完成开发环境搭建；完成数据集的获取与预处理。</w:t>
                  </w:r>
                  <w:bookmarkStart w:id="3" w:name="_GoBack"/>
                  <w:bookmarkEnd w:id="3"/>
                </w:p>
              </w:tc>
              <w:tc>
                <w:tcPr>
                  <w:tcW w:w="2910" w:type="dxa"/>
                  <w:vAlign w:val="center"/>
                </w:tcPr>
                <w:p>
                  <w:pPr>
                    <w:ind w:right="-107" w:rightChars="-51"/>
                    <w:rPr>
                      <w:rFonts w:eastAsiaTheme="minorEastAsia"/>
                      <w:sz w:val="24"/>
                    </w:rPr>
                  </w:pPr>
                  <w:r>
                    <w:rPr>
                      <w:rFonts w:eastAsiaTheme="minorEastAsia"/>
                      <w:sz w:val="24"/>
                    </w:rPr>
                    <w:t>1. 提交详细的文献综述与技术方案报告。</w:t>
                  </w:r>
                  <w:r>
                    <w:rPr>
                      <w:rFonts w:eastAsiaTheme="minorEastAsia"/>
                      <w:sz w:val="24"/>
                    </w:rPr>
                    <w:br w:type="textWrapping"/>
                  </w:r>
                  <w:r>
                    <w:rPr>
                      <w:rFonts w:eastAsiaTheme="minorEastAsia"/>
                      <w:sz w:val="24"/>
                    </w:rPr>
                    <w:t>2. 可运行的数据预处理代码。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vAlign w:val="center"/>
                </w:tcPr>
                <w:p>
                  <w:pPr>
                    <w:ind w:right="-107" w:rightChars="-51"/>
                    <w:jc w:val="center"/>
                    <w:rPr>
                      <w:rFonts w:eastAsiaTheme="minorEastAsia"/>
                      <w:sz w:val="24"/>
                    </w:rPr>
                  </w:pPr>
                  <w:r>
                    <w:rPr>
                      <w:rFonts w:hint="eastAsia" w:eastAsiaTheme="minorEastAsia"/>
                      <w:sz w:val="24"/>
                    </w:rPr>
                    <w:t>2026年2月</w:t>
                  </w:r>
                </w:p>
              </w:tc>
              <w:tc>
                <w:tcPr>
                  <w:tcW w:w="3591" w:type="dxa"/>
                  <w:vAlign w:val="center"/>
                </w:tcPr>
                <w:p>
                  <w:pPr>
                    <w:ind w:right="-107" w:rightChars="-51"/>
                    <w:rPr>
                      <w:rFonts w:eastAsiaTheme="minorEastAsia"/>
                      <w:sz w:val="24"/>
                    </w:rPr>
                  </w:pPr>
                  <w:r>
                    <w:rPr>
                      <w:rFonts w:eastAsiaTheme="minorEastAsia"/>
                      <w:sz w:val="24"/>
                    </w:rPr>
                    <w:t>事件检测模型开发与训练。完成多模态特征提取模块；完成模型构建、训练与调优；在验证集上达到初步性能指标。</w:t>
                  </w:r>
                </w:p>
              </w:tc>
              <w:tc>
                <w:tcPr>
                  <w:tcW w:w="2910" w:type="dxa"/>
                  <w:vAlign w:val="center"/>
                </w:tcPr>
                <w:p>
                  <w:pPr>
                    <w:ind w:right="-107" w:rightChars="-51"/>
                    <w:rPr>
                      <w:rFonts w:eastAsiaTheme="minorEastAsia"/>
                      <w:sz w:val="24"/>
                    </w:rPr>
                  </w:pPr>
                  <w:r>
                    <w:rPr>
                      <w:rFonts w:eastAsiaTheme="minorEastAsia"/>
                      <w:sz w:val="24"/>
                    </w:rPr>
                    <w:t>1. 训练好的关键事件检测模型文件。</w:t>
                  </w:r>
                  <w:r>
                    <w:rPr>
                      <w:rFonts w:eastAsiaTheme="minorEastAsia"/>
                      <w:sz w:val="24"/>
                    </w:rPr>
                    <w:br w:type="textWrapping"/>
                  </w:r>
                  <w:r>
                    <w:rPr>
                      <w:rFonts w:eastAsiaTheme="minorEastAsia"/>
                      <w:sz w:val="24"/>
                    </w:rPr>
                    <w:t>2. 模型在标准验证集上的评估报告。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vAlign w:val="center"/>
                </w:tcPr>
                <w:p>
                  <w:pPr>
                    <w:ind w:right="-107" w:rightChars="-51"/>
                    <w:jc w:val="center"/>
                    <w:rPr>
                      <w:rFonts w:eastAsiaTheme="minorEastAsia"/>
                      <w:sz w:val="24"/>
                    </w:rPr>
                  </w:pPr>
                  <w:r>
                    <w:rPr>
                      <w:rFonts w:hint="eastAsia" w:eastAsiaTheme="minorEastAsia"/>
                      <w:sz w:val="24"/>
                    </w:rPr>
                    <w:t>2026年3月</w:t>
                  </w:r>
                </w:p>
              </w:tc>
              <w:tc>
                <w:tcPr>
                  <w:tcW w:w="3591" w:type="dxa"/>
                  <w:shd w:val="clear" w:color="auto" w:fill="auto"/>
                  <w:vAlign w:val="center"/>
                </w:tcPr>
                <w:p>
                  <w:pPr>
                    <w:ind w:right="-107" w:rightChars="-51"/>
                    <w:rPr>
                      <w:rFonts w:eastAsiaTheme="minorEastAsia"/>
                      <w:sz w:val="24"/>
                    </w:rPr>
                  </w:pPr>
                  <w:r>
                    <w:rPr>
                      <w:rFonts w:eastAsiaTheme="minorEastAsia"/>
                      <w:sz w:val="24"/>
                    </w:rPr>
                    <w:t>剪辑引擎与系统集成开发。完成自动化剪辑逻辑与脚本开发；完成Web系统前后端基础功能开发；完成模型与业务系统的集成</w:t>
                  </w:r>
                </w:p>
              </w:tc>
              <w:tc>
                <w:tcPr>
                  <w:tcW w:w="2910" w:type="dxa"/>
                  <w:shd w:val="clear" w:color="auto" w:fill="auto"/>
                  <w:vAlign w:val="center"/>
                </w:tcPr>
                <w:p>
                  <w:pPr>
                    <w:ind w:right="-107" w:rightChars="-51"/>
                    <w:rPr>
                      <w:rFonts w:eastAsiaTheme="minorEastAsia"/>
                      <w:sz w:val="24"/>
                    </w:rPr>
                  </w:pPr>
                  <w:r>
                    <w:rPr>
                      <w:rFonts w:eastAsiaTheme="minorEastAsia"/>
                      <w:sz w:val="24"/>
                    </w:rPr>
                    <w:t>1. 可独立运行的自动剪辑命令行工具。</w:t>
                  </w:r>
                  <w:r>
                    <w:rPr>
                      <w:rFonts w:eastAsiaTheme="minorEastAsia"/>
                      <w:sz w:val="24"/>
                    </w:rPr>
                    <w:br w:type="textWrapping"/>
                  </w:r>
                  <w:r>
                    <w:rPr>
                      <w:rFonts w:eastAsiaTheme="minorEastAsia"/>
                      <w:sz w:val="24"/>
                    </w:rPr>
                    <w:t>2. 具备视频上传、处理、展示功能的可交互原型系统。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vAlign w:val="center"/>
                </w:tcPr>
                <w:p>
                  <w:pPr>
                    <w:ind w:right="-107" w:rightChars="-51"/>
                    <w:jc w:val="center"/>
                    <w:rPr>
                      <w:rFonts w:eastAsiaTheme="minorEastAsia"/>
                      <w:sz w:val="24"/>
                    </w:rPr>
                  </w:pPr>
                  <w:r>
                    <w:rPr>
                      <w:rFonts w:hint="eastAsia" w:eastAsiaTheme="minorEastAsia"/>
                      <w:sz w:val="24"/>
                    </w:rPr>
                    <w:t>2026年4月</w:t>
                  </w:r>
                </w:p>
              </w:tc>
              <w:tc>
                <w:tcPr>
                  <w:tcW w:w="3591" w:type="dxa"/>
                  <w:vAlign w:val="center"/>
                </w:tcPr>
                <w:p>
                  <w:pPr>
                    <w:ind w:right="-107" w:rightChars="-51"/>
                    <w:rPr>
                      <w:rFonts w:eastAsiaTheme="minorEastAsia"/>
                      <w:sz w:val="24"/>
                    </w:rPr>
                  </w:pPr>
                  <w:r>
                    <w:rPr>
                      <w:rFonts w:eastAsiaTheme="minorEastAsia"/>
                      <w:sz w:val="24"/>
                    </w:rPr>
                    <w:t>系统测试、优化。对完整系统进行端到端测试与性能评估；根据测试结果优化系统</w:t>
                  </w:r>
                </w:p>
              </w:tc>
              <w:tc>
                <w:tcPr>
                  <w:tcW w:w="2910" w:type="dxa"/>
                  <w:vAlign w:val="center"/>
                </w:tcPr>
                <w:p>
                  <w:pPr>
                    <w:ind w:right="-107" w:rightChars="-51"/>
                    <w:rPr>
                      <w:rFonts w:eastAsiaTheme="minorEastAsia"/>
                      <w:sz w:val="24"/>
                    </w:rPr>
                  </w:pPr>
                  <w:r>
                    <w:rPr>
                      <w:rFonts w:eastAsiaTheme="minorEastAsia"/>
                      <w:sz w:val="24"/>
                    </w:rPr>
                    <w:t>系统整体测试报告与优化记录。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vAlign w:val="center"/>
                </w:tcPr>
                <w:p>
                  <w:pPr>
                    <w:ind w:right="-107" w:rightChars="-51"/>
                    <w:jc w:val="center"/>
                    <w:rPr>
                      <w:rFonts w:eastAsiaTheme="minorEastAsia"/>
                      <w:sz w:val="24"/>
                    </w:rPr>
                  </w:pPr>
                  <w:r>
                    <w:rPr>
                      <w:rFonts w:hint="eastAsia" w:eastAsiaTheme="minorEastAsia"/>
                      <w:sz w:val="24"/>
                    </w:rPr>
                    <w:t>2026年5月</w:t>
                  </w:r>
                </w:p>
              </w:tc>
              <w:tc>
                <w:tcPr>
                  <w:tcW w:w="3591" w:type="dxa"/>
                  <w:vAlign w:val="center"/>
                </w:tcPr>
                <w:p>
                  <w:pPr>
                    <w:ind w:right="-107" w:rightChars="-51"/>
                    <w:rPr>
                      <w:rFonts w:eastAsiaTheme="minorEastAsia"/>
                      <w:sz w:val="24"/>
                    </w:rPr>
                  </w:pPr>
                  <w:r>
                    <w:rPr>
                      <w:rFonts w:eastAsiaTheme="minorEastAsia"/>
                      <w:sz w:val="24"/>
                    </w:rPr>
                    <w:t>论文的编写、修改和提交</w:t>
                  </w:r>
                </w:p>
              </w:tc>
              <w:tc>
                <w:tcPr>
                  <w:tcW w:w="2910" w:type="dxa"/>
                  <w:vAlign w:val="center"/>
                </w:tcPr>
                <w:p>
                  <w:pPr>
                    <w:ind w:right="-107" w:rightChars="-51"/>
                    <w:rPr>
                      <w:rFonts w:eastAsiaTheme="minorEastAsia"/>
                      <w:sz w:val="24"/>
                    </w:rPr>
                  </w:pPr>
                  <w:r>
                    <w:rPr>
                      <w:rFonts w:eastAsiaTheme="minorEastAsia"/>
                      <w:sz w:val="24"/>
                    </w:rPr>
                    <w:t>完成论文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vAlign w:val="center"/>
                </w:tcPr>
                <w:p>
                  <w:pPr>
                    <w:ind w:right="-107" w:rightChars="-51"/>
                    <w:jc w:val="center"/>
                    <w:rPr>
                      <w:rFonts w:eastAsiaTheme="minorEastAsia"/>
                      <w:sz w:val="24"/>
                    </w:rPr>
                  </w:pPr>
                  <w:r>
                    <w:rPr>
                      <w:rFonts w:hint="eastAsia" w:eastAsiaTheme="minorEastAsia"/>
                      <w:sz w:val="24"/>
                    </w:rPr>
                    <w:t>2026年6月</w:t>
                  </w:r>
                </w:p>
              </w:tc>
              <w:tc>
                <w:tcPr>
                  <w:tcW w:w="3591" w:type="dxa"/>
                  <w:vAlign w:val="center"/>
                </w:tcPr>
                <w:p>
                  <w:pPr>
                    <w:ind w:right="-107" w:rightChars="-51"/>
                    <w:rPr>
                      <w:rFonts w:eastAsiaTheme="minorEastAsia"/>
                      <w:sz w:val="24"/>
                    </w:rPr>
                  </w:pPr>
                  <w:r>
                    <w:rPr>
                      <w:rFonts w:eastAsiaTheme="minorEastAsia"/>
                      <w:sz w:val="24"/>
                    </w:rPr>
                    <w:t>按要求准备并参加答辩</w:t>
                  </w:r>
                </w:p>
              </w:tc>
              <w:tc>
                <w:tcPr>
                  <w:tcW w:w="2910" w:type="dxa"/>
                  <w:vAlign w:val="center"/>
                </w:tcPr>
                <w:p>
                  <w:pPr>
                    <w:ind w:right="-107" w:rightChars="-51"/>
                    <w:rPr>
                      <w:rFonts w:eastAsiaTheme="minorEastAsia"/>
                      <w:sz w:val="24"/>
                    </w:rPr>
                  </w:pPr>
                  <w:r>
                    <w:rPr>
                      <w:rFonts w:eastAsiaTheme="minorEastAsia"/>
                      <w:sz w:val="24"/>
                    </w:rPr>
                    <w:t>通过答辩</w:t>
                  </w:r>
                </w:p>
              </w:tc>
            </w:tr>
          </w:tbl>
          <w:p>
            <w:pPr>
              <w:spacing w:before="100" w:beforeAutospacing="1" w:after="100" w:afterAutospacing="1"/>
              <w:ind w:firstLine="480" w:firstLineChars="200"/>
              <w:rPr>
                <w:rFonts w:eastAsiaTheme="min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5" w:type="dxa"/>
            <w:gridSpan w:val="4"/>
            <w:shd w:val="clear" w:color="auto" w:fill="F8F8F8"/>
            <w:vAlign w:val="center"/>
          </w:tcPr>
          <w:p>
            <w:pPr>
              <w:spacing w:before="100" w:beforeAutospacing="1" w:after="100" w:afterAutospacing="1"/>
              <w:rPr>
                <w:rFonts w:eastAsiaTheme="minorEastAsia"/>
                <w:sz w:val="24"/>
              </w:rPr>
            </w:pPr>
            <w:r>
              <w:rPr>
                <w:rFonts w:hint="eastAsia" w:eastAsiaTheme="minorEastAsia"/>
                <w:sz w:val="24"/>
              </w:rPr>
              <w:t>五</w:t>
            </w:r>
            <w:r>
              <w:rPr>
                <w:rFonts w:eastAsiaTheme="minorEastAsia"/>
                <w:sz w:val="24"/>
              </w:rPr>
              <w:t>、指导教师意见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5" w:type="dxa"/>
            <w:gridSpan w:val="4"/>
          </w:tcPr>
          <w:p>
            <w:pPr>
              <w:spacing w:line="360" w:lineRule="auto"/>
              <w:rPr>
                <w:rFonts w:eastAsiaTheme="minorEastAsia"/>
                <w:sz w:val="24"/>
              </w:rPr>
            </w:pPr>
          </w:p>
          <w:p>
            <w:pPr>
              <w:spacing w:line="360" w:lineRule="auto"/>
              <w:rPr>
                <w:rFonts w:eastAsiaTheme="minorEastAsia"/>
                <w:sz w:val="24"/>
              </w:rPr>
            </w:pPr>
            <w:r>
              <w:rPr>
                <w:rFonts w:eastAsiaTheme="minorEastAsia"/>
                <w:sz w:val="24"/>
              </w:rPr>
              <w:t xml:space="preserve">    </w:t>
            </w:r>
            <w:r>
              <w:rPr>
                <w:rFonts w:eastAsiaTheme="minorEastAsia"/>
                <w:sz w:val="24"/>
              </w:rPr>
              <w:sym w:font="Wingdings 2" w:char="00A3"/>
            </w:r>
            <w:r>
              <w:rPr>
                <w:rFonts w:eastAsiaTheme="minorEastAsia"/>
                <w:sz w:val="24"/>
              </w:rPr>
              <w:t>同意开题</w:t>
            </w:r>
          </w:p>
          <w:p>
            <w:pPr>
              <w:spacing w:line="360" w:lineRule="auto"/>
              <w:ind w:firstLine="480"/>
              <w:rPr>
                <w:rFonts w:eastAsiaTheme="minorEastAsia"/>
                <w:sz w:val="24"/>
              </w:rPr>
            </w:pPr>
            <w:r>
              <w:rPr>
                <w:rFonts w:hint="eastAsia" w:eastAsiaTheme="minorEastAsia"/>
                <w:sz w:val="24"/>
              </w:rPr>
              <w:t>□</w:t>
            </w:r>
            <w:r>
              <w:rPr>
                <w:rFonts w:eastAsiaTheme="minorEastAsia"/>
                <w:sz w:val="24"/>
              </w:rPr>
              <w:t>不同意开题</w:t>
            </w:r>
          </w:p>
          <w:p>
            <w:pPr>
              <w:spacing w:line="360" w:lineRule="auto"/>
              <w:ind w:firstLine="480"/>
              <w:rPr>
                <w:rFonts w:eastAsiaTheme="minorEastAsia"/>
                <w:sz w:val="24"/>
              </w:rPr>
            </w:pPr>
          </w:p>
          <w:tbl>
            <w:tblPr>
              <w:tblStyle w:val="4"/>
              <w:tblW w:w="3686" w:type="dxa"/>
              <w:jc w:val="right"/>
              <w:tblLayout w:type="fixed"/>
              <w:tblCellMar>
                <w:top w:w="0" w:type="dxa"/>
                <w:left w:w="108" w:type="dxa"/>
                <w:bottom w:w="0" w:type="dxa"/>
                <w:right w:w="108" w:type="dxa"/>
              </w:tblCellMar>
            </w:tblPr>
            <w:tblGrid>
              <w:gridCol w:w="1132"/>
              <w:gridCol w:w="510"/>
              <w:gridCol w:w="510"/>
              <w:gridCol w:w="510"/>
              <w:gridCol w:w="510"/>
              <w:gridCol w:w="514"/>
            </w:tblGrid>
            <w:tr>
              <w:tblPrEx>
                <w:tblCellMar>
                  <w:top w:w="0" w:type="dxa"/>
                  <w:left w:w="108" w:type="dxa"/>
                  <w:bottom w:w="0" w:type="dxa"/>
                  <w:right w:w="108" w:type="dxa"/>
                </w:tblCellMar>
              </w:tblPrEx>
              <w:trPr>
                <w:trHeight w:val="578" w:hRule="atLeast"/>
                <w:jc w:val="right"/>
              </w:trPr>
              <w:tc>
                <w:tcPr>
                  <w:tcW w:w="1642" w:type="dxa"/>
                  <w:gridSpan w:val="2"/>
                  <w:tcMar>
                    <w:top w:w="0" w:type="dxa"/>
                    <w:left w:w="0" w:type="dxa"/>
                    <w:bottom w:w="0" w:type="dxa"/>
                    <w:right w:w="0" w:type="dxa"/>
                  </w:tcMar>
                  <w:vAlign w:val="bottom"/>
                </w:tcPr>
                <w:p>
                  <w:pPr>
                    <w:rPr>
                      <w:rFonts w:eastAsiaTheme="minorEastAsia"/>
                      <w:sz w:val="24"/>
                    </w:rPr>
                  </w:pPr>
                  <w:r>
                    <w:rPr>
                      <w:rFonts w:eastAsiaTheme="minorEastAsia"/>
                      <w:sz w:val="24"/>
                    </w:rPr>
                    <w:t>指导教师</w:t>
                  </w:r>
                  <w:r>
                    <w:rPr>
                      <w:kern w:val="0"/>
                      <w:sz w:val="24"/>
                    </w:rPr>
                    <w:t>签字：</w:t>
                  </w:r>
                </w:p>
              </w:tc>
              <w:tc>
                <w:tcPr>
                  <w:tcW w:w="2044" w:type="dxa"/>
                  <w:gridSpan w:val="4"/>
                  <w:tcBorders>
                    <w:bottom w:val="single" w:color="auto" w:sz="4" w:space="0"/>
                  </w:tcBorders>
                  <w:tcMar>
                    <w:top w:w="0" w:type="dxa"/>
                    <w:left w:w="0" w:type="dxa"/>
                    <w:bottom w:w="0" w:type="dxa"/>
                    <w:right w:w="0" w:type="dxa"/>
                  </w:tcMar>
                  <w:vAlign w:val="bottom"/>
                </w:tcPr>
                <w:p>
                  <w:pPr>
                    <w:jc w:val="center"/>
                    <w:rPr>
                      <w:rFonts w:eastAsiaTheme="minorEastAsia"/>
                      <w:sz w:val="24"/>
                    </w:rPr>
                  </w:pPr>
                </w:p>
              </w:tc>
            </w:tr>
            <w:tr>
              <w:tblPrEx>
                <w:tblCellMar>
                  <w:top w:w="0" w:type="dxa"/>
                  <w:left w:w="108" w:type="dxa"/>
                  <w:bottom w:w="0" w:type="dxa"/>
                  <w:right w:w="108" w:type="dxa"/>
                </w:tblCellMar>
              </w:tblPrEx>
              <w:trPr>
                <w:trHeight w:val="578" w:hRule="atLeast"/>
                <w:jc w:val="right"/>
              </w:trPr>
              <w:tc>
                <w:tcPr>
                  <w:tcW w:w="1132" w:type="dxa"/>
                  <w:tcBorders>
                    <w:bottom w:val="single" w:color="auto" w:sz="4" w:space="0"/>
                  </w:tcBorders>
                  <w:tcMar>
                    <w:top w:w="0" w:type="dxa"/>
                    <w:left w:w="0" w:type="dxa"/>
                    <w:bottom w:w="0" w:type="dxa"/>
                    <w:right w:w="0" w:type="dxa"/>
                  </w:tcMar>
                  <w:vAlign w:val="bottom"/>
                </w:tcPr>
                <w:p>
                  <w:pPr>
                    <w:jc w:val="center"/>
                    <w:rPr>
                      <w:rFonts w:eastAsiaTheme="minorEastAsia"/>
                      <w:sz w:val="24"/>
                    </w:rPr>
                  </w:pPr>
                </w:p>
              </w:tc>
              <w:tc>
                <w:tcPr>
                  <w:tcW w:w="510" w:type="dxa"/>
                  <w:tcMar>
                    <w:top w:w="0" w:type="dxa"/>
                    <w:left w:w="0" w:type="dxa"/>
                    <w:bottom w:w="0" w:type="dxa"/>
                    <w:right w:w="0" w:type="dxa"/>
                  </w:tcMar>
                  <w:vAlign w:val="bottom"/>
                </w:tcPr>
                <w:p>
                  <w:pPr>
                    <w:jc w:val="center"/>
                    <w:rPr>
                      <w:rFonts w:eastAsiaTheme="minorEastAsia"/>
                      <w:sz w:val="24"/>
                    </w:rPr>
                  </w:pPr>
                  <w:r>
                    <w:rPr>
                      <w:rFonts w:eastAsiaTheme="minorEastAsia"/>
                      <w:sz w:val="24"/>
                    </w:rPr>
                    <w:t>年</w:t>
                  </w:r>
                </w:p>
              </w:tc>
              <w:tc>
                <w:tcPr>
                  <w:tcW w:w="510" w:type="dxa"/>
                  <w:tcBorders>
                    <w:top w:val="single" w:color="auto" w:sz="4" w:space="0"/>
                    <w:bottom w:val="single" w:color="auto" w:sz="4" w:space="0"/>
                  </w:tcBorders>
                  <w:tcMar>
                    <w:top w:w="0" w:type="dxa"/>
                    <w:left w:w="0" w:type="dxa"/>
                    <w:bottom w:w="0" w:type="dxa"/>
                    <w:right w:w="0" w:type="dxa"/>
                  </w:tcMar>
                  <w:vAlign w:val="bottom"/>
                </w:tcPr>
                <w:p>
                  <w:pPr>
                    <w:jc w:val="center"/>
                    <w:rPr>
                      <w:rFonts w:eastAsiaTheme="minorEastAsia"/>
                      <w:sz w:val="24"/>
                    </w:rPr>
                  </w:pPr>
                </w:p>
              </w:tc>
              <w:tc>
                <w:tcPr>
                  <w:tcW w:w="510" w:type="dxa"/>
                  <w:tcBorders>
                    <w:top w:val="single" w:color="auto" w:sz="4" w:space="0"/>
                  </w:tcBorders>
                  <w:tcMar>
                    <w:top w:w="0" w:type="dxa"/>
                    <w:left w:w="0" w:type="dxa"/>
                    <w:bottom w:w="0" w:type="dxa"/>
                    <w:right w:w="0" w:type="dxa"/>
                  </w:tcMar>
                  <w:vAlign w:val="bottom"/>
                </w:tcPr>
                <w:p>
                  <w:pPr>
                    <w:jc w:val="center"/>
                    <w:rPr>
                      <w:rFonts w:eastAsiaTheme="minorEastAsia"/>
                      <w:sz w:val="24"/>
                    </w:rPr>
                  </w:pPr>
                  <w:r>
                    <w:rPr>
                      <w:rFonts w:eastAsiaTheme="minorEastAsia"/>
                      <w:sz w:val="24"/>
                    </w:rPr>
                    <w:t>月</w:t>
                  </w:r>
                </w:p>
              </w:tc>
              <w:tc>
                <w:tcPr>
                  <w:tcW w:w="510" w:type="dxa"/>
                  <w:tcBorders>
                    <w:top w:val="single" w:color="auto" w:sz="4" w:space="0"/>
                    <w:bottom w:val="single" w:color="auto" w:sz="4" w:space="0"/>
                  </w:tcBorders>
                  <w:tcMar>
                    <w:top w:w="0" w:type="dxa"/>
                    <w:left w:w="0" w:type="dxa"/>
                    <w:bottom w:w="0" w:type="dxa"/>
                    <w:right w:w="0" w:type="dxa"/>
                  </w:tcMar>
                  <w:vAlign w:val="bottom"/>
                </w:tcPr>
                <w:p>
                  <w:pPr>
                    <w:jc w:val="center"/>
                    <w:rPr>
                      <w:rFonts w:eastAsiaTheme="minorEastAsia"/>
                      <w:sz w:val="24"/>
                    </w:rPr>
                  </w:pPr>
                </w:p>
              </w:tc>
              <w:tc>
                <w:tcPr>
                  <w:tcW w:w="514" w:type="dxa"/>
                  <w:tcBorders>
                    <w:top w:val="single" w:color="auto" w:sz="4" w:space="0"/>
                  </w:tcBorders>
                  <w:tcMar>
                    <w:top w:w="0" w:type="dxa"/>
                    <w:left w:w="0" w:type="dxa"/>
                    <w:bottom w:w="0" w:type="dxa"/>
                    <w:right w:w="0" w:type="dxa"/>
                  </w:tcMar>
                  <w:vAlign w:val="bottom"/>
                </w:tcPr>
                <w:p>
                  <w:pPr>
                    <w:jc w:val="center"/>
                    <w:rPr>
                      <w:rFonts w:eastAsiaTheme="minorEastAsia"/>
                      <w:sz w:val="24"/>
                    </w:rPr>
                  </w:pPr>
                  <w:r>
                    <w:rPr>
                      <w:rFonts w:eastAsiaTheme="minorEastAsia"/>
                      <w:sz w:val="24"/>
                    </w:rPr>
                    <w:t>日</w:t>
                  </w:r>
                </w:p>
              </w:tc>
            </w:tr>
          </w:tbl>
          <w:p>
            <w:pPr>
              <w:spacing w:before="100" w:beforeAutospacing="1" w:after="100" w:afterAutospacing="1"/>
              <w:jc w:val="center"/>
              <w:rPr>
                <w:rFonts w:eastAsiaTheme="minorEastAsia"/>
                <w:bCs/>
                <w:sz w:val="24"/>
              </w:rPr>
            </w:pPr>
          </w:p>
        </w:tc>
      </w:tr>
    </w:tbl>
    <w:p>
      <w:pPr>
        <w:rPr>
          <w:sz w:val="24"/>
        </w:rPr>
      </w:pPr>
    </w:p>
    <w:p>
      <w:pPr>
        <w:snapToGrid w:val="0"/>
        <w:jc w:val="left"/>
      </w:pPr>
      <w:r>
        <w:rPr>
          <w:rFonts w:hint="eastAsia"/>
          <w:bCs/>
          <w:sz w:val="24"/>
        </w:rPr>
        <w:t>备注：此报告应根据下达的毕业设计(论文)任务书，在指导教师的指导下由学生独立撰写，并于任务书下达后两周内完成。</w:t>
      </w: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7"/>
      </w:rPr>
    </w:pP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2"/>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728"/>
    <w:rsid w:val="00063CCF"/>
    <w:rsid w:val="0009198B"/>
    <w:rsid w:val="000C46B9"/>
    <w:rsid w:val="00416AD1"/>
    <w:rsid w:val="00515728"/>
    <w:rsid w:val="0055521F"/>
    <w:rsid w:val="005A66A6"/>
    <w:rsid w:val="00DC39A1"/>
    <w:rsid w:val="00F2535D"/>
    <w:rsid w:val="13C3447C"/>
    <w:rsid w:val="21D84DFF"/>
    <w:rsid w:val="2C7262F8"/>
    <w:rsid w:val="2D6400A4"/>
    <w:rsid w:val="4CA7437F"/>
    <w:rsid w:val="6253455C"/>
    <w:rsid w:val="63B808C2"/>
    <w:rsid w:val="74FB52B6"/>
    <w:rsid w:val="753C14AA"/>
    <w:rsid w:val="78730F7A"/>
    <w:rsid w:val="7E243A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autoRedefine/>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Normal (Web)"/>
    <w:basedOn w:val="1"/>
    <w:qFormat/>
    <w:uiPriority w:val="0"/>
    <w:rPr>
      <w:sz w:val="24"/>
    </w:rPr>
  </w:style>
  <w:style w:type="character" w:styleId="6">
    <w:name w:val="Strong"/>
    <w:basedOn w:val="5"/>
    <w:autoRedefine/>
    <w:qFormat/>
    <w:uiPriority w:val="0"/>
    <w:rPr>
      <w:b/>
    </w:rPr>
  </w:style>
  <w:style w:type="character" w:styleId="7">
    <w:name w:val="page number"/>
    <w:basedOn w:val="5"/>
    <w:autoRedefine/>
    <w:qFormat/>
    <w:uiPriority w:val="0"/>
  </w:style>
  <w:style w:type="character" w:styleId="8">
    <w:name w:val="Hyperlink"/>
    <w:basedOn w:val="5"/>
    <w:autoRedefine/>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586</Words>
  <Characters>3346</Characters>
  <Lines>27</Lines>
  <Paragraphs>7</Paragraphs>
  <TotalTime>0</TotalTime>
  <ScaleCrop>false</ScaleCrop>
  <LinksUpToDate>false</LinksUpToDate>
  <CharactersWithSpaces>3925</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2025-12-29T09:02:00Z</dcterms:created>
  <dc:creator>ACER</dc:creator>
  <cp:lastModifiedBy>学不好物理不改名</cp:lastModifiedBy>
  <dcterms:modified xsi:type="dcterms:W3CDTF">2026-01-06T08:54:45Z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KSOTemplateDocerSaveRecord">
    <vt:lpwstr>eyJoZGlkIjoiN2YzNjBkOTgyNWQ1YTMxYzM3MzMwNWFiODNmOWIzYWMiLCJ1c2VySWQiOiIxNDEwMjMwOTQzIn0=</vt:lpwstr>
  </property>
  <property fmtid="{D5CDD505-2E9C-101B-9397-08002B2CF9AE}" pid="4" name="ICV">
    <vt:lpwstr>CF376CC897AB4CA89E0A2A3BD6F20C58_13</vt:lpwstr>
  </property>
</Properties>
</file>