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Price_is_Rght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Better forecasting will generate value for interacting with wholesale market. Could be captured by a generator to bid better, better use of battery.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Optmize bid price in day-ahead market, and volume plan to sell.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Target user:  Any entity with front-of-the meter storage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Two markets: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Day-ahead market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Real-time (balancing)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machine learning to maximize profits from operating storage assets by more accurately forecasting pricing and load.  Value streams are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Arbitrage: charging when power is cheapest, discharging when it is most valuable.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Spinning reserves: allows renewable sources to meet resource adequacy requirements (quantify value)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Frequency regulation: maintain 60 Hz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Factors that affect price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Bid price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Weather: sunny and windy weather increase supply and reduce price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Cost of coal and gas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 of hydro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Factors that affect load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events (ie, transmission failure)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Data sets used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Hourly spot market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(PJM Data Miner 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Hourly weather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storage capacity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Depth of discharge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 learn from PJM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Frequnecy regulation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FIGURES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53000" cy="5191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jm.com/markets-and-operations/etools/data-miner-2.aspx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