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457_Machine_Learning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Obligatorio final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Jessica Menendez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Ignacio Amarilla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Informe del Modelo: "Mi Cliente Comprador"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objetivo del proyecto es desarrollar un modelo de Machine Learning para predecir si un cliente potencial realizará una compra, basado en diversas características sociodemográficas y transaccionales. Para este propósito, se empleó un enfoque supervisado utilizando la biblioteca scikit-learn en Python.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Estructura del Código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1. Preprocesamiento de Datos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esta etapa, se manejaron valores nulos y se prepararon los datos para su uso en el modelo:</w:t>
        <w:br w:type="textWrapping"/>
        <w:t xml:space="preserve">1. Valores nulos en las columnas 'Género’ se reemplazaron por 'Desconocido' y 'Mes de contacto' se reemplazaron por la moda.</w:t>
        <w:br w:type="textWrapping"/>
        <w:t xml:space="preserve">2. Las variables categóricas fueron codificadas usando get_dummies.</w:t>
        <w:br w:type="textWrapping"/>
        <w:t xml:space="preserve">3. Las variables numéricas fueron estandarizadas utilizando StandardScaler.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2. Separación de Datos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datos se dividieron en independientes (X) y dependientes (y). La variable objetivo 'Compra' fue mapeada a valores binarios: 'si' a 1 y 'no' a 0. Posteriormente, se realizó una división en conjuntos de entrenamiento y prueba con un 20% de datos para prueba.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3. Creación del Modelo y Optimización de Hiperparámetros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utilizó el modelo Random Forest Classifier.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GridSearchCV se empleó para encontrar los mejores hiperparámetros del modelo. El parámetro de evaluación fue 'accuracy', y se probaron diferentes combinaciones de hiperparámetros como el número de árboles (n_estimators), la profundidad máxima (max_depth), y los criterios de división y hojas mínimas.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4. Validación Cruzada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realizó una validación cruzada con 5 particiones en el conjunto de entrenamiento para evaluar la estabilidad del modelo. Se reportó el promedio de las métricas obtenidas.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5. Entrenamiento y Evaluación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modelo fue entrenado con los datos de entrenamiento y evaluado con el conjunto de prueba. Se calcularon métricas de desempeño como la precisión (accuracy), el informe de clasificación y la matriz de confusión.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modelo alcanzó un nivel de precisión satisfactorio en la predicción de clientes compradores. El informe de clasificación y la matriz de confusión proporcionaron una visión detallada del desempeño para cada clase.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Sugerencias de Mejora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Probar con otros modelos como Gradient Boosting, XGBoost o LightGBM.</w:t>
        <w:br w:type="textWrapping"/>
        <w:t xml:space="preserve">2. Incrementar el tamaño del dataset para mejorar la capacidad de generalización del modelo.</w:t>
        <w:br w:type="textWrapping"/>
        <w:t xml:space="preserve">3. Ajustar los hiperparámetros con mayor profundidad.</w:t>
        <w:br w:type="textWrapping"/>
        <w:t xml:space="preserve">4. Realizar una selección de características basada en análisis de importancia.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