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160"/>
        <w:jc w:val="center"/>
      </w:pPr>
      <w:r>
        <w:rPr>
          <w:rFonts w:ascii="Arial" w:cs="Arial" w:eastAsia="Arial" w:hAnsi="Arial"/>
          <w:b/>
          <w:bCs/>
          <w:i w:val="false"/>
          <w:iCs w:val="false"/>
          <w:color w:val="1F6FA8"/>
          <w:sz w:val="32"/>
          <w:szCs w:val="32"/>
        </w:rPr>
        <w:t xml:space="preserve">POLITÉCNICO GRAN COLOMBIANO</w:t>
      </w:r>
    </w:p>
    <w:p>
      <w:pPr>
        <w:spacing w:after="160"/>
        <w:jc w:val="center"/>
      </w:pPr>
      <w:r>
        <w:rPr>
          <w:rFonts w:ascii="Arial" w:cs="Arial" w:eastAsia="Arial" w:hAnsi="Arial"/>
          <w:b w:val="false"/>
          <w:bCs w:val="false"/>
          <w:i w:val="false"/>
          <w:iCs w:val="false"/>
          <w:color w:val="595959"/>
          <w:sz w:val="26"/>
          <w:szCs w:val="26"/>
        </w:rPr>
        <w:t xml:space="preserve">Facultad de Ingeniería, Diseño e Innovación</w:t>
      </w:r>
    </w:p>
    <w:p>
      <w:pPr>
        <w:spacing w:after="160"/>
        <w:jc w:val="center"/>
      </w:pPr>
      <w:r>
        <w:rPr>
          <w:rFonts w:ascii="Arial" w:cs="Arial" w:eastAsia="Arial" w:hAnsi="Arial"/>
          <w:b w:val="false"/>
          <w:bCs w:val="false"/>
          <w:i w:val="false"/>
          <w:iCs w:val="false"/>
          <w:color w:val="595959"/>
          <w:sz w:val="26"/>
          <w:szCs w:val="26"/>
        </w:rPr>
        <w:t xml:space="preserve">Ingeniería de Software</w:t>
      </w:r>
    </w:p>
    <w:p>
      <w:pPr>
        <w:pBdr>
          <w:bottom w:val="single" w:color="1F6FA8" w:sz="6" w:space="1"/>
        </w:pBdr>
        <w:spacing w:after="200"/>
        <w:jc w:val="center"/>
      </w:pPr>
      <w:r>
        <w:rPr>
          <w:rFonts w:ascii="Arial" w:cs="Arial" w:eastAsia="Arial" w:hAnsi="Arial"/>
          <w:b w:val="false"/>
          <w:bCs w:val="false"/>
          <w:i w:val="false"/>
          <w:iCs w:val="false"/>
          <w:color w:val="000000"/>
          <w:sz w:val="22"/>
          <w:szCs w:val="22"/>
        </w:rPr>
        <w:t xml:space="preserve"/>
      </w:r>
    </w:p>
    <w:p>
      <w:pPr>
        <w:spacing w:after="160"/>
      </w:pPr>
      <w:r>
        <w:t xml:space="preserve"/>
      </w:r>
    </w:p>
    <w:p>
      <w:pPr>
        <w:spacing w:after="160"/>
        <w:jc w:val="center"/>
      </w:pPr>
      <w:r>
        <w:rPr>
          <w:rFonts w:ascii="Arial" w:cs="Arial" w:eastAsia="Arial" w:hAnsi="Arial"/>
          <w:b/>
          <w:bCs/>
          <w:i w:val="false"/>
          <w:iCs w:val="false"/>
          <w:color w:val="1F6FA8"/>
          <w:sz w:val="36"/>
          <w:szCs w:val="36"/>
        </w:rPr>
        <w:t xml:space="preserve">Análisis en la implementación de la arquitectura de software orientada a servicios</w:t>
      </w:r>
    </w:p>
    <w:p>
      <w:pPr>
        <w:spacing w:after="160"/>
        <w:jc w:val="center"/>
      </w:pPr>
      <w:r>
        <w:rPr>
          <w:rFonts w:ascii="Arial" w:cs="Arial" w:eastAsia="Arial" w:hAnsi="Arial"/>
          <w:b w:val="false"/>
          <w:bCs w:val="false"/>
          <w:i/>
          <w:iCs/>
          <w:color w:val="595959"/>
          <w:sz w:val="26"/>
          <w:szCs w:val="26"/>
        </w:rPr>
        <w:t xml:space="preserve">Entrega 2 — Semanas 3, 5 y 7</w:t>
      </w:r>
    </w:p>
    <w:p>
      <w:pPr>
        <w:spacing w:after="320"/>
      </w:pPr>
      <w:r>
        <w:t xml:space="preserve"/>
      </w:r>
    </w:p>
    <w:p>
      <w:pPr>
        <w:spacing w:after="160"/>
        <w:jc w:val="center"/>
      </w:pPr>
      <w:r>
        <w:rPr>
          <w:rFonts w:ascii="Arial" w:cs="Arial" w:eastAsia="Arial" w:hAnsi="Arial"/>
          <w:b/>
          <w:bCs/>
          <w:i w:val="false"/>
          <w:iCs w:val="false"/>
          <w:color w:val="000000"/>
          <w:sz w:val="24"/>
          <w:szCs w:val="24"/>
        </w:rPr>
        <w:t xml:space="preserve">Módulo:</w:t>
      </w:r>
      <w:r>
        <w:rPr>
          <w:rFonts w:ascii="Arial" w:cs="Arial" w:eastAsia="Arial" w:hAnsi="Arial"/>
          <w:b w:val="false"/>
          <w:bCs w:val="false"/>
          <w:i w:val="false"/>
          <w:iCs w:val="false"/>
          <w:color w:val="000000"/>
          <w:sz w:val="24"/>
          <w:szCs w:val="24"/>
        </w:rPr>
        <w:t xml:space="preserve">  Arquitectura del Software</w:t>
      </w:r>
    </w:p>
    <w:p>
      <w:pPr>
        <w:spacing w:after="160"/>
        <w:jc w:val="center"/>
      </w:pPr>
      <w:r>
        <w:rPr>
          <w:rFonts w:ascii="Arial" w:cs="Arial" w:eastAsia="Arial" w:hAnsi="Arial"/>
          <w:b/>
          <w:bCs/>
          <w:i w:val="false"/>
          <w:iCs w:val="false"/>
          <w:color w:val="000000"/>
          <w:sz w:val="24"/>
          <w:szCs w:val="24"/>
        </w:rPr>
        <w:t xml:space="preserve">Docente:</w:t>
      </w:r>
      <w:r>
        <w:rPr>
          <w:rFonts w:ascii="Arial" w:cs="Arial" w:eastAsia="Arial" w:hAnsi="Arial"/>
          <w:b w:val="false"/>
          <w:bCs w:val="false"/>
          <w:i w:val="false"/>
          <w:iCs w:val="false"/>
          <w:color w:val="000000"/>
          <w:sz w:val="24"/>
          <w:szCs w:val="24"/>
        </w:rPr>
        <w:t xml:space="preserve">  Isabel Andrea Mahecha Nieto</w:t>
      </w:r>
    </w:p>
    <w:p>
      <w:pPr>
        <w:spacing w:after="160"/>
      </w:pPr>
      <w:r>
        <w:t xml:space="preserve"/>
      </w:r>
    </w:p>
    <w:p>
      <w:pPr>
        <w:spacing w:after="160"/>
        <w:jc w:val="center"/>
      </w:pPr>
      <w:r>
        <w:rPr>
          <w:rFonts w:ascii="Arial" w:cs="Arial" w:eastAsia="Arial" w:hAnsi="Arial"/>
          <w:b/>
          <w:bCs/>
          <w:i w:val="false"/>
          <w:iCs w:val="false"/>
          <w:color w:val="000000"/>
          <w:sz w:val="24"/>
          <w:szCs w:val="24"/>
        </w:rPr>
        <w:t xml:space="preserve">Integrantes:</w:t>
      </w:r>
    </w:p>
    <w:p>
      <w:pPr>
        <w:spacing w:after="160"/>
        <w:jc w:val="center"/>
      </w:pPr>
      <w:r>
        <w:rPr>
          <w:rFonts w:ascii="Arial" w:cs="Arial" w:eastAsia="Arial" w:hAnsi="Arial"/>
          <w:b w:val="false"/>
          <w:bCs w:val="false"/>
          <w:i w:val="false"/>
          <w:iCs w:val="false"/>
          <w:color w:val="000000"/>
          <w:sz w:val="24"/>
          <w:szCs w:val="24"/>
        </w:rPr>
        <w:t xml:space="preserve">Cristian Ricardo Rojas</w:t>
      </w:r>
    </w:p>
    <w:p>
      <w:pPr>
        <w:spacing w:after="160"/>
        <w:jc w:val="center"/>
      </w:pPr>
      <w:r>
        <w:rPr>
          <w:rFonts w:ascii="Arial" w:cs="Arial" w:eastAsia="Arial" w:hAnsi="Arial"/>
          <w:b w:val="false"/>
          <w:bCs w:val="false"/>
          <w:i w:val="false"/>
          <w:iCs w:val="false"/>
          <w:color w:val="000000"/>
          <w:sz w:val="24"/>
          <w:szCs w:val="24"/>
        </w:rPr>
        <w:t xml:space="preserve">Luigy Nieves</w:t>
      </w:r>
    </w:p>
    <w:p>
      <w:pPr>
        <w:spacing w:after="160"/>
      </w:pPr>
      <w:r>
        <w:t xml:space="preserve"/>
      </w:r>
    </w:p>
    <w:p>
      <w:pPr>
        <w:spacing w:after="160"/>
        <w:jc w:val="center"/>
      </w:pPr>
      <w:r>
        <w:rPr>
          <w:rFonts w:ascii="Arial" w:cs="Arial" w:eastAsia="Arial" w:hAnsi="Arial"/>
          <w:b w:val="false"/>
          <w:bCs w:val="false"/>
          <w:i w:val="false"/>
          <w:iCs w:val="false"/>
          <w:color w:val="595959"/>
          <w:sz w:val="22"/>
          <w:szCs w:val="22"/>
        </w:rPr>
        <w:t xml:space="preserve">Bogotá D.C., Colombia — 2026</w:t>
      </w:r>
    </w:p>
    <w:p>
      <w:r>
        <w:br w:type="page"/>
      </w:r>
    </w:p>
    <w:p>
      <w:pPr>
        <w:shd w:fill="1F6FA8" w:val="clear"/>
        <w:spacing w:after="0" w:before="200"/>
        <w:jc w:val="center"/>
      </w:pPr>
      <w:r>
        <w:rPr>
          <w:rFonts w:ascii="Arial" w:cs="Arial" w:eastAsia="Arial" w:hAnsi="Arial"/>
          <w:b/>
          <w:bCs/>
          <w:i w:val="false"/>
          <w:iCs w:val="false"/>
          <w:color w:val="FFFFFF"/>
          <w:sz w:val="26"/>
          <w:szCs w:val="26"/>
        </w:rPr>
        <w:t xml:space="preserve">ENTREGA PREVIA 1</w:t>
      </w:r>
    </w:p>
    <w:p>
      <w:pPr>
        <w:shd w:fill="2E2E2E" w:val="clear"/>
        <w:spacing w:after="240" w:before="0"/>
        <w:jc w:val="center"/>
      </w:pPr>
      <w:r>
        <w:rPr>
          <w:rFonts w:ascii="Arial" w:cs="Arial" w:eastAsia="Arial" w:hAnsi="Arial"/>
          <w:b/>
          <w:bCs/>
          <w:i w:val="false"/>
          <w:iCs w:val="false"/>
          <w:color w:val="FFFFFF"/>
          <w:sz w:val="30"/>
          <w:szCs w:val="30"/>
        </w:rPr>
        <w:t xml:space="preserve">SEMANA 3</w:t>
      </w:r>
    </w:p>
    <w:p>
      <w:pPr>
        <w:spacing w:after="80"/>
      </w:pPr>
      <w:r>
        <w:t xml:space="preserve"/>
      </w:r>
    </w:p>
    <w:p>
      <w:pPr>
        <w:pStyle w:val="Heading1"/>
        <w:spacing w:after="160" w:before="320"/>
      </w:pPr>
      <w:r>
        <w:rPr>
          <w:rFonts w:ascii="Arial" w:cs="Arial" w:eastAsia="Arial" w:hAnsi="Arial"/>
          <w:b/>
          <w:bCs/>
          <w:color w:val="1F6FA8"/>
          <w:sz w:val="30"/>
          <w:szCs w:val="30"/>
        </w:rPr>
        <w:t xml:space="preserve">1. Descripción detallada de la situación problema</w:t>
      </w:r>
    </w:p>
    <w:p>
      <w:pPr>
        <w:spacing w:after="160"/>
        <w:jc w:val="both"/>
      </w:pPr>
      <w:r>
        <w:rPr>
          <w:rFonts w:ascii="Arial" w:cs="Arial" w:eastAsia="Arial" w:hAnsi="Arial"/>
          <w:b w:val="false"/>
          <w:bCs w:val="false"/>
          <w:i w:val="false"/>
          <w:iCs w:val="false"/>
          <w:color w:val="000000"/>
          <w:sz w:val="22"/>
          <w:szCs w:val="22"/>
        </w:rPr>
        <w:t xml:space="preserve">En Colombia y en gran parte de Latinoamérica, los ciudadanos que utilizan servicios digitales —banca en línea, correo electrónico, redes sociales, plataformas de comercio electrónico— se enfrentan a una problemática recurrente y silenciosa: la exposición de sus datos personales a través de filtraciones de seguridad (data breaches) sin que tengan conocimiento oportuno de ello ni orientación concreta sobre cómo actuar.</w:t>
      </w:r>
    </w:p>
    <w:p>
      <w:pPr>
        <w:spacing w:after="160"/>
        <w:jc w:val="both"/>
      </w:pPr>
      <w:r>
        <w:rPr>
          <w:rFonts w:ascii="Arial" w:cs="Arial" w:eastAsia="Arial" w:hAnsi="Arial"/>
          <w:b w:val="false"/>
          <w:bCs w:val="false"/>
          <w:i w:val="false"/>
          <w:iCs w:val="false"/>
          <w:color w:val="000000"/>
          <w:sz w:val="22"/>
          <w:szCs w:val="22"/>
        </w:rPr>
        <w:t xml:space="preserve">Según el informe de IBM Security (2023), el tiempo promedio global para identificar y contener una brecha de datos es de 277 días. Durante ese lapso, las credenciales comprometidas circulan en mercados clandestinos de la dark web, siendo utilizadas para fraudes bancarios, robo de identidad y accesos no autorizados a cuentas. La mayoría de los usuarios afectados solo se entera de la situación cuando sufre un daño tangible, como un cargo no reconocido o el bloqueo de su cuenta.</w:t>
      </w:r>
    </w:p>
    <w:p>
      <w:pPr>
        <w:spacing w:after="160"/>
        <w:jc w:val="both"/>
      </w:pPr>
      <w:r>
        <w:rPr>
          <w:rFonts w:ascii="Arial" w:cs="Arial" w:eastAsia="Arial" w:hAnsi="Arial"/>
          <w:b w:val="false"/>
          <w:bCs w:val="false"/>
          <w:i w:val="false"/>
          <w:iCs w:val="false"/>
          <w:color w:val="000000"/>
          <w:sz w:val="22"/>
          <w:szCs w:val="22"/>
        </w:rPr>
        <w:t xml:space="preserve">La situación se agrava por la ausencia de herramientas accesibles y contextualizadas para el entorno colombiano. Las plataformas existentes, como el sitio web oficial de Have I Been Pwned (HIBP) o el monitor de contraseñas de Google, están diseñadas en inglés y carecen de orientación específica para los servicios digitales más utilizados en Colombia (Nequi, Bancolombia, Rappi, Claro, EPM, entre otros). Esto genera una brecha de accesibilidad que margina precisamente a los usuarios más vulnerables: adultos mayores, personas con bajo nivel de alfabetización digital y trabajadores de pymes sin soporte de TI.</w:t>
      </w:r>
    </w:p>
    <w:p>
      <w:pPr>
        <w:spacing w:after="160"/>
        <w:jc w:val="both"/>
      </w:pPr>
      <w:r>
        <w:rPr>
          <w:rFonts w:ascii="Arial" w:cs="Arial" w:eastAsia="Arial" w:hAnsi="Arial"/>
          <w:b w:val="false"/>
          <w:bCs w:val="false"/>
          <w:i w:val="false"/>
          <w:iCs w:val="false"/>
          <w:color w:val="000000"/>
          <w:sz w:val="22"/>
          <w:szCs w:val="22"/>
        </w:rPr>
        <w:t xml:space="preserve">Desde la perspectiva de la arquitectura de software, la situación problema se puede enunciar así: ¿cómo diseñar un sistema orientado a servicios que integre una API externa de seguridad (HIBP), procese eventos de brecha de forma asíncrona, almacene el historial de exposición del usuario, y entregue notificaciones y guías de acción en tiempo real, garantizando disponibilidad, escalabilidad y cumplimiento de la normativa colombiana de protección de datos (Ley 1581 de 2012)?</w:t>
      </w:r>
    </w:p>
    <w:p>
      <w:pPr>
        <w:spacing w:after="160"/>
        <w:jc w:val="both"/>
      </w:pPr>
      <w:r>
        <w:rPr>
          <w:rFonts w:ascii="Arial" w:cs="Arial" w:eastAsia="Arial" w:hAnsi="Arial"/>
          <w:b w:val="false"/>
          <w:bCs w:val="false"/>
          <w:i w:val="false"/>
          <w:iCs w:val="false"/>
          <w:color w:val="000000"/>
          <w:sz w:val="22"/>
          <w:szCs w:val="22"/>
        </w:rPr>
        <w:t xml:space="preserve">Esta es la situación problema que CiberEscudo busca resolver: la falta de visibilidad, detección temprana y orientación post-brecha para el ciudadano colombiano en materia de seguridad de sus datos personales en entornos digitales.</w:t>
      </w:r>
    </w:p>
    <w:p>
      <w:pPr>
        <w:spacing w:after="80"/>
      </w:pPr>
      <w:r>
        <w:t xml:space="preserve"/>
      </w:r>
    </w:p>
    <w:p>
      <w:pPr>
        <w:pStyle w:val="Heading1"/>
        <w:spacing w:after="160" w:before="320"/>
      </w:pPr>
      <w:r>
        <w:rPr>
          <w:rFonts w:ascii="Arial" w:cs="Arial" w:eastAsia="Arial" w:hAnsi="Arial"/>
          <w:b/>
          <w:bCs/>
          <w:color w:val="1F6FA8"/>
          <w:sz w:val="30"/>
          <w:szCs w:val="30"/>
        </w:rPr>
        <w:t xml:space="preserve">2. Referentes</w:t>
      </w:r>
    </w:p>
    <w:p>
      <w:pPr>
        <w:pStyle w:val="Heading2"/>
        <w:spacing w:after="120" w:before="240"/>
      </w:pPr>
      <w:r>
        <w:rPr>
          <w:rFonts w:ascii="Arial" w:cs="Arial" w:eastAsia="Arial" w:hAnsi="Arial"/>
          <w:b/>
          <w:bCs/>
          <w:color w:val="1F6FA8"/>
          <w:sz w:val="26"/>
          <w:szCs w:val="26"/>
        </w:rPr>
        <w:t xml:space="preserve">2.1 Patrones de arquitectura</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Erl, T. (2009). SOA Design Patterns. Prentice Hall. — Fuente principal para los patrones Service Registry, Publish-Subscribe y Service Façade aplicados en el diseño de CiberEscudo.</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Richardson, C. (2018). Microservices Patterns: With Examples in Java. Manning Publications. — Proporciona el patrón API Gateway y el patrón Saga para la gestión de transacciones distribuidas.</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Richards, M., &amp; Ford, N. (2020). Fundamentals of Software Architecture: An Engineering Approach. O'Reilly Media. — Marco de referencia para la selección del estilo arquitectónico y los atributos de calidad.</w:t>
      </w:r>
    </w:p>
    <w:p>
      <w:pPr>
        <w:spacing w:after="80"/>
      </w:pPr>
      <w:r>
        <w:t xml:space="preserve"/>
      </w:r>
    </w:p>
    <w:p>
      <w:pPr>
        <w:pStyle w:val="Heading2"/>
        <w:spacing w:after="120" w:before="240"/>
      </w:pPr>
      <w:r>
        <w:rPr>
          <w:rFonts w:ascii="Arial" w:cs="Arial" w:eastAsia="Arial" w:hAnsi="Arial"/>
          <w:b/>
          <w:bCs/>
          <w:color w:val="1F6FA8"/>
          <w:sz w:val="26"/>
          <w:szCs w:val="26"/>
        </w:rPr>
        <w:t xml:space="preserve">2.2 Libros y artículos de investigación relacionados</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IBM Security. (2023). Cost of a Data Breach Report 2023. IBM Corporation. — Datos empíricos sobre el tiempo de detección y costo de las brechas de seguridad a nivel global.</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Shostack, A. (2014). Threat Modeling: Designing for Security. Wiley. — Marco de modelado de amenazas aplicado al análisis de riesgos en CiberEscudo.</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Caivano, D., Fernández-Alemán, J. L., &amp; Toval, A. (2019). Personal data protection in social networking sites: A systematic review. Computers &amp; Security, 77, 382–400. — Evidencia académica sobre la exposición de datos personales en plataformas digitales.</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Superintendencia de Industria y Comercio (SIC). (2022). Informe de actividad de datos personales en Colombia 2022. — Contexto normativo y estadístico del problema en el entorno colombiano.</w:t>
      </w:r>
    </w:p>
    <w:p>
      <w:pPr>
        <w:spacing w:after="80"/>
      </w:pPr>
      <w:r>
        <w:t xml:space="preserve"/>
      </w:r>
    </w:p>
    <w:p>
      <w:pPr>
        <w:pStyle w:val="Heading2"/>
        <w:spacing w:after="120" w:before="240"/>
      </w:pPr>
      <w:r>
        <w:rPr>
          <w:rFonts w:ascii="Arial" w:cs="Arial" w:eastAsia="Arial" w:hAnsi="Arial"/>
          <w:b/>
          <w:bCs/>
          <w:color w:val="1F6FA8"/>
          <w:sz w:val="26"/>
          <w:szCs w:val="26"/>
        </w:rPr>
        <w:t xml:space="preserve">2.3 Informes técnicos de herramientas relacionadas</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Hunt, T. (2018). Have I Been Pwned: Passwords API v3 Documentation. https://haveibeenpwned.com/API/v3 — Especificación técnica de la API utilizada por CiberEscudo, incluyendo el modelo k-Anonymity.</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Amazon Web Services. (2022). ¿Qué es la arquitectura orientada a servicios? https://aws.amazon.com/es/what-is/service-oriented-architecture/ — Referente conceptual sobre los componentes SOA.</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OWASP Foundation. (2021). OWASP Top Ten 2021. https://owasp.org/www-project-top-ten/ — Marco de referencia para la identificación de vulnerabilidades en sistemas web, aplicado al diseño seguro de CiberEscudo.</w:t>
      </w:r>
    </w:p>
    <w:p>
      <w:pPr>
        <w:spacing w:after="80"/>
      </w:pPr>
      <w:r>
        <w:t xml:space="preserve"/>
      </w:r>
    </w:p>
    <w:p>
      <w:pPr>
        <w:pStyle w:val="Heading1"/>
        <w:spacing w:after="160" w:before="320"/>
      </w:pPr>
      <w:r>
        <w:rPr>
          <w:rFonts w:ascii="Arial" w:cs="Arial" w:eastAsia="Arial" w:hAnsi="Arial"/>
          <w:b/>
          <w:bCs/>
          <w:color w:val="1F6FA8"/>
          <w:sz w:val="30"/>
          <w:szCs w:val="30"/>
        </w:rPr>
        <w:t xml:space="preserve">3. Justificación</w:t>
      </w:r>
    </w:p>
    <w:p>
      <w:pPr>
        <w:spacing w:after="160"/>
        <w:jc w:val="both"/>
      </w:pPr>
      <w:r>
        <w:rPr>
          <w:rFonts w:ascii="Arial" w:cs="Arial" w:eastAsia="Arial" w:hAnsi="Arial"/>
          <w:b w:val="false"/>
          <w:bCs w:val="false"/>
          <w:i w:val="false"/>
          <w:iCs w:val="false"/>
          <w:color w:val="000000"/>
          <w:sz w:val="22"/>
          <w:szCs w:val="22"/>
        </w:rPr>
        <w:t xml:space="preserve">La protección de datos personales en entornos digitales constituye uno de los retos más urgentes de la era tecnológica actual. Según el informe de IBM Security (2023), en ese año se registraron filtraciones que afectaron a más de 2.600 millones de registros a nivel mundial, con un costo promedio por brecha de 4,45 millones de dólares. En el contexto colombiano, la Superintendencia de Industria y Comercio ha reportado un incremento sostenido en las denuncias relacionadas con el uso indebido de datos personales, lo que evidencia una brecha significativa entre la frecuencia real de las filtraciones y el conocimiento que los ciudadanos tienen sobre su propia exposición digital.</w:t>
      </w:r>
    </w:p>
    <w:p>
      <w:pPr>
        <w:spacing w:after="160"/>
        <w:jc w:val="both"/>
      </w:pPr>
      <w:r>
        <w:rPr>
          <w:rFonts w:ascii="Arial" w:cs="Arial" w:eastAsia="Arial" w:hAnsi="Arial"/>
          <w:b w:val="false"/>
          <w:bCs w:val="false"/>
          <w:i w:val="false"/>
          <w:iCs w:val="false"/>
          <w:color w:val="000000"/>
          <w:sz w:val="22"/>
          <w:szCs w:val="22"/>
        </w:rPr>
        <w:t xml:space="preserve">Analizar esta situación resulta fundamental porque permite comprender de qué manera una arquitectura de software orientada a servicios puede dar respuesta concreta a un problema real y multidimensional: la ausencia de visibilidad, detección oportuna y orientación post-brecha para el ciudadano colombiano. El análisis propuesto con CiberEscudo permite identificar cómo descomponer el problema en servicios independientes —monitoreo, notificación, verificación y guía de acción—, cada uno con responsabilidades claras y contratos de comunicación bien definidos, aplicando los principios SOA de bajo acoplamiento, alta cohesión y reutilización de servicios.</w:t>
      </w:r>
    </w:p>
    <w:p>
      <w:pPr>
        <w:spacing w:after="160"/>
        <w:jc w:val="both"/>
      </w:pPr>
      <w:r>
        <w:rPr>
          <w:rFonts w:ascii="Arial" w:cs="Arial" w:eastAsia="Arial" w:hAnsi="Arial"/>
          <w:b w:val="false"/>
          <w:bCs w:val="false"/>
          <w:i w:val="false"/>
          <w:iCs w:val="false"/>
          <w:color w:val="000000"/>
          <w:sz w:val="22"/>
          <w:szCs w:val="22"/>
        </w:rPr>
        <w:t xml:space="preserve">Este análisis puede servir como modelo de referencia para el diseño de soluciones de ciberseguridad ciudadana en otros contextos latinoamericanos, y como caso de estudio sobre la aplicación práctica de los principios SOA en dominios de alta sensibilidad, donde la disponibilidad, la seguridad y los atributos de calidad no funcionales son requisitos críticos e innegociables. Comprender cómo un sistema de estas características debe estructurar sus servicios, gestionar sus proveedores y documentar sus patrones arquitectónicos es una competencia esencial para el ingeniero de software contemporáneo.</w:t>
      </w:r>
    </w:p>
    <w:p>
      <w:pPr>
        <w:spacing w:after="80"/>
      </w:pPr>
      <w:r>
        <w:t xml:space="preserve"/>
      </w:r>
    </w:p>
    <w:p>
      <w:pPr>
        <w:pStyle w:val="Heading1"/>
        <w:spacing w:after="160" w:before="320"/>
      </w:pPr>
      <w:r>
        <w:rPr>
          <w:rFonts w:ascii="Arial" w:cs="Arial" w:eastAsia="Arial" w:hAnsi="Arial"/>
          <w:b/>
          <w:bCs/>
          <w:color w:val="1F6FA8"/>
          <w:sz w:val="30"/>
          <w:szCs w:val="30"/>
        </w:rPr>
        <w:t xml:space="preserve">4. Objetivo</w:t>
      </w:r>
    </w:p>
    <w:p>
      <w:pPr>
        <w:spacing w:after="160"/>
        <w:jc w:val="both"/>
      </w:pPr>
      <w:r>
        <w:rPr>
          <w:rFonts w:ascii="Arial" w:cs="Arial" w:eastAsia="Arial" w:hAnsi="Arial"/>
          <w:b w:val="false"/>
          <w:bCs w:val="false"/>
          <w:i w:val="false"/>
          <w:iCs w:val="false"/>
          <w:color w:val="000000"/>
          <w:sz w:val="22"/>
          <w:szCs w:val="22"/>
        </w:rPr>
        <w:t xml:space="preserve">Analizar la implementación de la arquitectura de software orientada a servicios (SOA) en el contexto del proyecto CiberEscudo, identificando los componentes de servicio, los proveedores, el registro de servicios y los patrones arquitectónicos que permiten diseñar una solución escalable, segura e interoperable para el monitoreo y la notificación de brechas de datos personales en Colombia, con el fin de proponer una arquitectura robusta, documentada y alineada con los principios SOA que responda de manera efectiva a la situación problema identificada.</w:t>
      </w:r>
    </w:p>
    <w:p>
      <w:r>
        <w:br w:type="page"/>
      </w:r>
    </w:p>
    <w:p>
      <w:pPr>
        <w:shd w:fill="1F6FA8" w:val="clear"/>
        <w:spacing w:after="0" w:before="200"/>
        <w:jc w:val="center"/>
      </w:pPr>
      <w:r>
        <w:rPr>
          <w:rFonts w:ascii="Arial" w:cs="Arial" w:eastAsia="Arial" w:hAnsi="Arial"/>
          <w:b/>
          <w:bCs/>
          <w:i w:val="false"/>
          <w:iCs w:val="false"/>
          <w:color w:val="FFFFFF"/>
          <w:sz w:val="26"/>
          <w:szCs w:val="26"/>
        </w:rPr>
        <w:t xml:space="preserve">ENTREGA PREVIA 2</w:t>
      </w:r>
    </w:p>
    <w:p>
      <w:pPr>
        <w:shd w:fill="2E2E2E" w:val="clear"/>
        <w:spacing w:after="240" w:before="0"/>
        <w:jc w:val="center"/>
      </w:pPr>
      <w:r>
        <w:rPr>
          <w:rFonts w:ascii="Arial" w:cs="Arial" w:eastAsia="Arial" w:hAnsi="Arial"/>
          <w:b/>
          <w:bCs/>
          <w:i w:val="false"/>
          <w:iCs w:val="false"/>
          <w:color w:val="FFFFFF"/>
          <w:sz w:val="30"/>
          <w:szCs w:val="30"/>
        </w:rPr>
        <w:t xml:space="preserve">SEMANA 5</w:t>
      </w:r>
    </w:p>
    <w:p>
      <w:pPr>
        <w:spacing w:after="80"/>
      </w:pPr>
      <w:r>
        <w:t xml:space="preserve"/>
      </w:r>
    </w:p>
    <w:p>
      <w:pPr>
        <w:pStyle w:val="Heading1"/>
        <w:spacing w:after="160" w:before="320"/>
      </w:pPr>
      <w:r>
        <w:rPr>
          <w:rFonts w:ascii="Arial" w:cs="Arial" w:eastAsia="Arial" w:hAnsi="Arial"/>
          <w:b/>
          <w:bCs/>
          <w:color w:val="1F6FA8"/>
          <w:sz w:val="30"/>
          <w:szCs w:val="30"/>
        </w:rPr>
        <w:t xml:space="preserve">5. Análisis de los componentes de la arquitectura orientada a servicios</w:t>
      </w:r>
    </w:p>
    <w:p>
      <w:pPr>
        <w:spacing w:after="160"/>
        <w:jc w:val="both"/>
      </w:pPr>
      <w:r>
        <w:rPr>
          <w:rFonts w:ascii="Arial" w:cs="Arial" w:eastAsia="Arial" w:hAnsi="Arial"/>
          <w:b w:val="false"/>
          <w:bCs w:val="false"/>
          <w:i w:val="false"/>
          <w:iCs w:val="false"/>
          <w:color w:val="000000"/>
          <w:sz w:val="22"/>
          <w:szCs w:val="22"/>
        </w:rPr>
        <w:t xml:space="preserve">A continuación se describe el estado de los principales componentes SOA de acuerdo con la implementación propuesta en la primera entrega de CiberEscudo y en perspectiva de la situación problema identificada.</w:t>
      </w:r>
    </w:p>
    <w:p>
      <w:pPr>
        <w:spacing w:after="80"/>
      </w:pPr>
      <w:r>
        <w:t xml:space="preserve"/>
      </w:r>
    </w:p>
    <w:p>
      <w:pPr>
        <w:pStyle w:val="Heading2"/>
        <w:spacing w:after="120" w:before="240"/>
      </w:pPr>
      <w:r>
        <w:rPr>
          <w:rFonts w:ascii="Arial" w:cs="Arial" w:eastAsia="Arial" w:hAnsi="Arial"/>
          <w:b/>
          <w:bCs/>
          <w:color w:val="1F6FA8"/>
          <w:sz w:val="26"/>
          <w:szCs w:val="26"/>
        </w:rPr>
        <w:t xml:space="preserve">5.1 Servicios</w:t>
      </w:r>
    </w:p>
    <w:p>
      <w:pPr>
        <w:spacing w:after="160"/>
        <w:jc w:val="both"/>
      </w:pPr>
      <w:r>
        <w:rPr>
          <w:rFonts w:ascii="Arial" w:cs="Arial" w:eastAsia="Arial" w:hAnsi="Arial"/>
          <w:b w:val="false"/>
          <w:bCs w:val="false"/>
          <w:i w:val="false"/>
          <w:iCs w:val="false"/>
          <w:color w:val="000000"/>
          <w:sz w:val="22"/>
          <w:szCs w:val="22"/>
        </w:rPr>
        <w:t xml:space="preserve">En CiberEscudo, los servicios son los bloques fundamentales del sistema. Cada uno encapsula una capacidad de negocio específica, es desplegable de forma independiente y se comunica con los demás a través de contratos de interfaz bien definidos. Se identifican los siguientes servicios:</w:t>
      </w:r>
    </w:p>
    <w:p>
      <w:pPr>
        <w:spacing w:after="80"/>
      </w:pPr>
      <w:r>
        <w:t xml:space="preserve"/>
      </w:r>
    </w:p>
    <w:p>
      <w:pPr>
        <w:pStyle w:val="Heading3"/>
        <w:spacing w:after="100" w:before="200"/>
      </w:pPr>
      <w:r>
        <w:rPr>
          <w:rFonts w:ascii="Arial" w:cs="Arial" w:eastAsia="Arial" w:hAnsi="Arial"/>
          <w:b/>
          <w:bCs/>
          <w:color w:val="595959"/>
          <w:sz w:val="24"/>
          <w:szCs w:val="24"/>
        </w:rPr>
        <w:t xml:space="preserve">5.1.1 Servicio de Autenticación y Gestión de Usuarios</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Gestiona el acceso al sistema mediante un usuario y contraseña fijos definidos en el archivo de configuración config.py (USER y PASSWORD como constantes de texto). Al ingresar credenciales, el módulo las compara directamente con los valores configurados; si coinciden, establece una variable de sesión Flask (session['logged_in'] = True) que protege las rutas del sistema. No requiere base de datos para la autenticación ni registro de nuevos usuarios: es un acceso único y local, suficiente para el MVP.</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POST /auth/login (recibe usuario y contraseña, los compara con las constantes en config.py, establece session['logged_in'] = True si son correctas y redirige al panel principal), GET /auth/logout (destruye la sesión Flask y redirige al login).</w:t>
      </w:r>
    </w:p>
    <w:p>
      <w:pPr>
        <w:spacing w:after="80"/>
      </w:pPr>
      <w:r>
        <w:t xml:space="preserve"/>
      </w:r>
    </w:p>
    <w:p>
      <w:pPr>
        <w:pStyle w:val="Heading3"/>
        <w:spacing w:after="100" w:before="200"/>
      </w:pPr>
      <w:r>
        <w:rPr>
          <w:rFonts w:ascii="Arial" w:cs="Arial" w:eastAsia="Arial" w:hAnsi="Arial"/>
          <w:b/>
          <w:bCs/>
          <w:color w:val="595959"/>
          <w:sz w:val="24"/>
          <w:szCs w:val="24"/>
        </w:rPr>
        <w:t xml:space="preserve">5.1.2 Servicio de Monitoreo de Correos</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Es el módulo central de CiberEscudo, desarrollado en Python con Flask. Gestiona los correos electrónicos registrados por el usuario y realiza consultas a la API HIBP mediante la librería requests cuando el usuario lo solicita o al ejecutar el chequeo manual. Implementa un pequeño retardo entre solicitudes para no exceder los límites de la API HIBP. Al detectar una brecha nueva, invoca directamente las funciones del módulo de Notificaciones y del módulo de Historial (llamadas locales en el MVP, sin bus de mensajes externo).</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GET /monitoring/breaches/{email} (consulta de brechas asociadas a un correo), POST /monitoring/emails (agregar correo a monitoreo), DELETE /monitoring/emails/{id} (eliminar correo del monitoreo), GET /monitoring/emails (listar correos monitoreados del usuario autenticado).</w:t>
      </w:r>
    </w:p>
    <w:p>
      <w:pPr>
        <w:spacing w:after="80"/>
      </w:pPr>
      <w:r>
        <w:t xml:space="preserve"/>
      </w:r>
    </w:p>
    <w:p>
      <w:pPr>
        <w:pStyle w:val="Heading3"/>
        <w:spacing w:after="100" w:before="200"/>
      </w:pPr>
      <w:r>
        <w:rPr>
          <w:rFonts w:ascii="Arial" w:cs="Arial" w:eastAsia="Arial" w:hAnsi="Arial"/>
          <w:b/>
          <w:bCs/>
          <w:color w:val="595959"/>
          <w:sz w:val="24"/>
          <w:szCs w:val="24"/>
        </w:rPr>
        <w:t xml:space="preserve">5.1.3 Servicio de Verificación de Contraseñas</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Permite al usuario verificar si una contraseña específica ha sido expuesta en alguna filtración. Aplica el modelo k-Anonymity: la contraseña es hasheada con SHA-1 usando hashlib (módulo nativo de Python) en el servidor; solo los primeros 5 caracteres del hash se envían a la API HIBP Passwords mediante requests. La respuesta incluye el número de apariciones en la base de datos de contraseñas comprometidas. La contraseña completa nunca se transmite ni se almacena en ningún momento.</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POST /passwords/check (recibe la contraseña en el cuerpo de la solicitud HTTPS, retorna el número de apariciones: 0 = segura, &gt;0 = comprometida).</w:t>
      </w:r>
    </w:p>
    <w:p>
      <w:pPr>
        <w:spacing w:after="80"/>
      </w:pPr>
      <w:r>
        <w:t xml:space="preserve"/>
      </w:r>
    </w:p>
    <w:p>
      <w:pPr>
        <w:pStyle w:val="Heading3"/>
        <w:spacing w:after="100" w:before="200"/>
      </w:pPr>
      <w:r>
        <w:rPr>
          <w:rFonts w:ascii="Arial" w:cs="Arial" w:eastAsia="Arial" w:hAnsi="Arial"/>
          <w:b/>
          <w:bCs/>
          <w:color w:val="595959"/>
          <w:sz w:val="24"/>
          <w:szCs w:val="24"/>
        </w:rPr>
        <w:t xml:space="preserve">5.1.4 Servicio de Notificaciones</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Servicio suscriptor del evento BreachaDetectada publicado por el Servicio de Monitoreo. Al recibir el evento, construye un correo electrónico personalizado en español con los detalles de la brecha (nombre, datos comprometidos, fecha) y lo envía al usuario afectado mediante SMTP. Implementa reintentos automáticos en caso de fallo de entrega y una cola de mensajes con persistencia para garantizar que ninguna notificación se pierda.</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Módulo interno únicamente. En el MVP local es invocado directamente por el módulo de Monitoreo mediante llamada a función Python. No expone endpoints REST propios al exterior. Genera un registro en consola y, opcionalmente, envía un correo usando smtplib con el servidor SMTP local de desarrollo.</w:t>
      </w:r>
    </w:p>
    <w:p>
      <w:pPr>
        <w:spacing w:after="80"/>
      </w:pPr>
      <w:r>
        <w:t xml:space="preserve"/>
      </w:r>
    </w:p>
    <w:p>
      <w:pPr>
        <w:pStyle w:val="Heading3"/>
        <w:spacing w:after="100" w:before="200"/>
      </w:pPr>
      <w:r>
        <w:rPr>
          <w:rFonts w:ascii="Arial" w:cs="Arial" w:eastAsia="Arial" w:hAnsi="Arial"/>
          <w:b/>
          <w:bCs/>
          <w:color w:val="595959"/>
          <w:sz w:val="24"/>
          <w:szCs w:val="24"/>
        </w:rPr>
        <w:t xml:space="preserve">5.1.5 Servicio de Guías de Acción</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Genera guías de acción personalizadas en función del tipo de brecha detectada. Clasifica las brechas por categoría de dato comprometido (contraseñas, correos, datos financieros, números de teléfono, etc.) y retorna una guía paso a paso en español, con pasos priorizados y referencias a servicios colombianos cuando aplica. Puede ser consumido tanto por el Servicio de Notificaciones como por el frontend web.</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GET /guides/{breachType} (retorna guía de acción por tipo de dato comprometido), GET /guides/breach/{breachName} (retorna guía específica para una brecha conocida).</w:t>
      </w:r>
    </w:p>
    <w:p>
      <w:pPr>
        <w:spacing w:after="80"/>
      </w:pPr>
      <w:r>
        <w:t xml:space="preserve"/>
      </w:r>
    </w:p>
    <w:p>
      <w:pPr>
        <w:pStyle w:val="Heading3"/>
        <w:spacing w:after="100" w:before="200"/>
      </w:pPr>
      <w:r>
        <w:rPr>
          <w:rFonts w:ascii="Arial" w:cs="Arial" w:eastAsia="Arial" w:hAnsi="Arial"/>
          <w:b/>
          <w:bCs/>
          <w:color w:val="595959"/>
          <w:sz w:val="24"/>
          <w:szCs w:val="24"/>
        </w:rPr>
        <w:t xml:space="preserve">5.1.6 Servicio de Historial</w:t>
      </w:r>
    </w:p>
    <w:p>
      <w:pPr>
        <w:spacing w:after="160"/>
        <w:jc w:val="both"/>
      </w:pPr>
      <w:r>
        <w:rPr>
          <w:rFonts w:ascii="Arial" w:cs="Arial" w:eastAsia="Arial" w:hAnsi="Arial"/>
          <w:b/>
          <w:bCs/>
          <w:i w:val="false"/>
          <w:iCs w:val="false"/>
          <w:color w:val="000000"/>
          <w:sz w:val="22"/>
          <w:szCs w:val="22"/>
        </w:rPr>
        <w:t xml:space="preserve">Implementación: </w:t>
      </w:r>
      <w:r>
        <w:rPr>
          <w:rFonts w:ascii="Arial" w:cs="Arial" w:eastAsia="Arial" w:hAnsi="Arial"/>
          <w:b w:val="false"/>
          <w:bCs w:val="false"/>
          <w:i w:val="false"/>
          <w:iCs w:val="false"/>
          <w:color w:val="000000"/>
          <w:sz w:val="22"/>
          <w:szCs w:val="22"/>
        </w:rPr>
        <w:t xml:space="preserve">Servicio suscriptor del evento BreachaDetectada. Persiste el registro de cada alerta generada para un usuario, incluyendo fecha, nombre de la brecha, datos comprometidos y estado de la acción (pendiente/atendida). Expone endpoints para consultar el historial por rango de fechas y para exportarlo en PDF o CSV.</w:t>
      </w:r>
    </w:p>
    <w:p>
      <w:pPr>
        <w:spacing w:after="0"/>
      </w:pPr>
      <w:r>
        <w:t xml:space="preserve"/>
      </w:r>
    </w:p>
    <w:p>
      <w:pPr>
        <w:spacing w:after="160"/>
        <w:jc w:val="both"/>
      </w:pPr>
      <w:r>
        <w:rPr>
          <w:rFonts w:ascii="Arial" w:cs="Arial" w:eastAsia="Arial" w:hAnsi="Arial"/>
          <w:b/>
          <w:bCs/>
          <w:i w:val="false"/>
          <w:iCs w:val="false"/>
          <w:color w:val="000000"/>
          <w:sz w:val="22"/>
          <w:szCs w:val="22"/>
        </w:rPr>
        <w:t xml:space="preserve">Interfaz: </w:t>
      </w:r>
      <w:r>
        <w:rPr>
          <w:rFonts w:ascii="Arial" w:cs="Arial" w:eastAsia="Arial" w:hAnsi="Arial"/>
          <w:b w:val="false"/>
          <w:bCs w:val="false"/>
          <w:i w:val="false"/>
          <w:iCs w:val="false"/>
          <w:color w:val="000000"/>
          <w:sz w:val="22"/>
          <w:szCs w:val="22"/>
        </w:rPr>
        <w:t xml:space="preserve">GET /history/{userId} (historial paginado con filtros de fecha), PATCH /history/{alertId}/status (marcar alerta como atendida), GET /history/{userId}/export?format=pdf|csv (exportación del historial).</w:t>
      </w:r>
    </w:p>
    <w:p>
      <w:pPr>
        <w:spacing w:after="80"/>
      </w:pPr>
      <w:r>
        <w:t xml:space="preserve"/>
      </w:r>
    </w:p>
    <w:p>
      <w:pPr>
        <w:pStyle w:val="Heading2"/>
        <w:spacing w:after="120" w:before="240"/>
      </w:pPr>
      <w:r>
        <w:rPr>
          <w:rFonts w:ascii="Arial" w:cs="Arial" w:eastAsia="Arial" w:hAnsi="Arial"/>
          <w:b/>
          <w:bCs/>
          <w:color w:val="1F6FA8"/>
          <w:sz w:val="26"/>
          <w:szCs w:val="26"/>
        </w:rPr>
        <w:t xml:space="preserve">5.2 Proveedor de servicios</w:t>
      </w:r>
    </w:p>
    <w:p>
      <w:pPr>
        <w:spacing w:after="160"/>
        <w:jc w:val="both"/>
      </w:pPr>
      <w:r>
        <w:rPr>
          <w:rFonts w:ascii="Arial" w:cs="Arial" w:eastAsia="Arial" w:hAnsi="Arial"/>
          <w:b w:val="false"/>
          <w:bCs w:val="false"/>
          <w:i w:val="false"/>
          <w:iCs w:val="false"/>
          <w:color w:val="000000"/>
          <w:sz w:val="22"/>
          <w:szCs w:val="22"/>
        </w:rPr>
        <w:t xml:space="preserve">En CiberEscudo se identifican dos tipos de proveedores de servicios:</w:t>
      </w:r>
    </w:p>
    <w:p>
      <w:pPr>
        <w:spacing w:after="0"/>
      </w:pPr>
      <w:r>
        <w:t xml:space="preserve"/>
      </w:r>
    </w:p>
    <w:p>
      <w:pPr>
        <w:spacing w:after="160"/>
        <w:jc w:val="both"/>
      </w:pPr>
      <w:r>
        <w:rPr>
          <w:rFonts w:ascii="Arial" w:cs="Arial" w:eastAsia="Arial" w:hAnsi="Arial"/>
          <w:b/>
          <w:bCs/>
          <w:i w:val="false"/>
          <w:iCs w:val="false"/>
          <w:color w:val="000000"/>
          <w:sz w:val="22"/>
          <w:szCs w:val="22"/>
        </w:rPr>
        <w:t xml:space="preserve">Proveedor externo — Have I Been Pwned (HIBP): </w:t>
      </w:r>
      <w:r>
        <w:rPr>
          <w:rFonts w:ascii="Arial" w:cs="Arial" w:eastAsia="Arial" w:hAnsi="Arial"/>
          <w:b w:val="false"/>
          <w:bCs w:val="false"/>
          <w:i w:val="false"/>
          <w:iCs w:val="false"/>
          <w:color w:val="000000"/>
          <w:sz w:val="22"/>
          <w:szCs w:val="22"/>
        </w:rPr>
        <w:t xml:space="preserve">Provisto por Troy Hunt, es el proveedor del dato fundamental de la plataforma: la base de datos de filtraciones de seguridad. Expone tres endpoints principales: el de brechas por correo (utilizado por el Servicio de Monitoreo), el de verificación de contraseñas por hash (utilizado por el Servicio de Verificación) y el catálogo de brechas conocidas. CiberEscudo actúa como consumidor de este proveedor externo, siendo el Servicio de Monitoreo el punto de integración. La dependencia con este proveedor es gestionada mediante un adaptador (Adapter Pattern) que abstrae la versión de la API HIBP, de modo que un cambio de versión solo impacte al adaptador y no a los servicios consumidores.</w:t>
      </w:r>
    </w:p>
    <w:p>
      <w:pPr>
        <w:spacing w:after="0"/>
      </w:pPr>
      <w:r>
        <w:t xml:space="preserve"/>
      </w:r>
    </w:p>
    <w:p>
      <w:pPr>
        <w:spacing w:after="160"/>
        <w:jc w:val="both"/>
      </w:pPr>
      <w:r>
        <w:rPr>
          <w:rFonts w:ascii="Arial" w:cs="Arial" w:eastAsia="Arial" w:hAnsi="Arial"/>
          <w:b/>
          <w:bCs/>
          <w:i w:val="false"/>
          <w:iCs w:val="false"/>
          <w:color w:val="000000"/>
          <w:sz w:val="22"/>
          <w:szCs w:val="22"/>
        </w:rPr>
        <w:t xml:space="preserve">Proveedor interno — Plataforma CiberEscudo: </w:t>
      </w:r>
      <w:r>
        <w:rPr>
          <w:rFonts w:ascii="Arial" w:cs="Arial" w:eastAsia="Arial" w:hAnsi="Arial"/>
          <w:b w:val="false"/>
          <w:bCs w:val="false"/>
          <w:i w:val="false"/>
          <w:iCs w:val="false"/>
          <w:color w:val="000000"/>
          <w:sz w:val="22"/>
          <w:szCs w:val="22"/>
        </w:rPr>
        <w:t xml:space="preserve">Los propios servicios de CiberEscudo actúan como proveedores entre sí y para el cliente web. El Servicio de Autenticación provee tokens a todos los demás servicios. El Servicio de Guías de Acción provee contenido tanto al Servicio de Notificaciones como al frontend. Esta relación de provisión interna está mediada por el API Gateway, que centraliza el acceso y aplica políticas de seguridad transversales. Cada servicio proveedor documenta su contrato mediante OpenAPI 3.0 (Swagger), permitiendo que los consumidores conozcan los endpoints disponibles, los parámetros y los formatos de respuesta.</w:t>
      </w:r>
    </w:p>
    <w:p>
      <w:pPr>
        <w:spacing w:after="80"/>
      </w:pPr>
      <w:r>
        <w:t xml:space="preserve"/>
      </w:r>
    </w:p>
    <w:p>
      <w:pPr>
        <w:pStyle w:val="Heading2"/>
        <w:spacing w:after="120" w:before="240"/>
      </w:pPr>
      <w:r>
        <w:rPr>
          <w:rFonts w:ascii="Arial" w:cs="Arial" w:eastAsia="Arial" w:hAnsi="Arial"/>
          <w:b/>
          <w:bCs/>
          <w:color w:val="1F6FA8"/>
          <w:sz w:val="26"/>
          <w:szCs w:val="26"/>
        </w:rPr>
        <w:t xml:space="preserve">5.3 Registro de servicios</w:t>
      </w:r>
    </w:p>
    <w:p>
      <w:pPr>
        <w:spacing w:after="160"/>
        <w:jc w:val="both"/>
      </w:pPr>
      <w:r>
        <w:rPr>
          <w:rFonts w:ascii="Arial" w:cs="Arial" w:eastAsia="Arial" w:hAnsi="Arial"/>
          <w:b w:val="false"/>
          <w:bCs w:val="false"/>
          <w:i w:val="false"/>
          <w:iCs w:val="false"/>
          <w:color w:val="000000"/>
          <w:sz w:val="22"/>
          <w:szCs w:val="22"/>
        </w:rPr>
        <w:t xml:space="preserve">CiberEscudo implementa un registro de servicios mediante Consul (HashiCorp), una herramienta de service discovery ampliamente utilizada en arquitecturas SOA y de microservicios. El funcionamiento es el siguiente:</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Al iniciarse, cada servicio de CiberEscudo se registra automáticamente en Consul, publicando su nombre, dirección IP, puerto y endpoint de health check.</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El API Gateway consulta el registro de Consul para resolver la ubicación actual de cada servicio antes de enrutar una solicitud, eliminando la necesidad de direcciones IP fijas en la configuración.</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Consul realiza verificaciones periódicas de salud (health checks) sobre cada servicio registrado. Si un servicio falla, es marcado como no disponible en el registro y el API Gateway deja de enrutarle tráfico automáticamente.</w:t>
      </w:r>
    </w:p>
    <w:p>
      <w:pPr>
        <w:pStyle w:val="ListParagraph"/>
        <w:numPr>
          <w:ilvl w:val="0"/>
          <w:numId w:val="2"/>
        </w:numPr>
        <w:spacing w:after="100"/>
      </w:pPr>
      <w:r>
        <w:rPr>
          <w:rFonts w:ascii="Arial" w:cs="Arial" w:eastAsia="Arial" w:hAnsi="Arial"/>
          <w:b w:val="false"/>
          <w:bCs w:val="false"/>
          <w:i w:val="false"/>
          <w:iCs w:val="false"/>
          <w:color w:val="000000"/>
          <w:sz w:val="22"/>
          <w:szCs w:val="22"/>
        </w:rPr>
        <w:t xml:space="preserve">El registro también almacena metadatos de cada servicio: versión desplegada, entorno (desarrollo/producción) y etiquetas que permiten enrutamiento basado en capacidades específicas.</w:t>
      </w:r>
    </w:p>
    <w:p>
      <w:pPr>
        <w:spacing w:after="160"/>
        <w:jc w:val="both"/>
      </w:pPr>
      <w:r>
        <w:rPr>
          <w:rFonts w:ascii="Arial" w:cs="Arial" w:eastAsia="Arial" w:hAnsi="Arial"/>
          <w:b w:val="false"/>
          <w:bCs w:val="false"/>
          <w:i w:val="false"/>
          <w:iCs w:val="false"/>
          <w:color w:val="000000"/>
          <w:sz w:val="22"/>
          <w:szCs w:val="22"/>
        </w:rPr>
        <w:t xml:space="preserve">Este mecanismo implementa el patrón Service Registry de Thomas Erl (2009) y garantiza que el sistema pueda escalar horizontalmente —añadiendo instancias de un servicio bajo demanda— y recuperarse de fallos parciales sin intervención manual.</w:t>
      </w:r>
    </w:p>
    <w:p>
      <w:r>
        <w:br w:type="page"/>
      </w:r>
    </w:p>
    <w:p>
      <w:pPr>
        <w:shd w:fill="1F6FA8" w:val="clear"/>
        <w:spacing w:after="0" w:before="200"/>
        <w:jc w:val="center"/>
      </w:pPr>
      <w:r>
        <w:rPr>
          <w:rFonts w:ascii="Arial" w:cs="Arial" w:eastAsia="Arial" w:hAnsi="Arial"/>
          <w:b/>
          <w:bCs/>
          <w:i w:val="false"/>
          <w:iCs w:val="false"/>
          <w:color w:val="FFFFFF"/>
          <w:sz w:val="26"/>
          <w:szCs w:val="26"/>
        </w:rPr>
        <w:t xml:space="preserve">ENTREGA PREVIA 2 (continuación)</w:t>
      </w:r>
    </w:p>
    <w:p>
      <w:pPr>
        <w:shd w:fill="2E2E2E" w:val="clear"/>
        <w:spacing w:after="240" w:before="0"/>
        <w:jc w:val="center"/>
      </w:pPr>
      <w:r>
        <w:rPr>
          <w:rFonts w:ascii="Arial" w:cs="Arial" w:eastAsia="Arial" w:hAnsi="Arial"/>
          <w:b/>
          <w:bCs/>
          <w:i w:val="false"/>
          <w:iCs w:val="false"/>
          <w:color w:val="FFFFFF"/>
          <w:sz w:val="30"/>
          <w:szCs w:val="30"/>
        </w:rPr>
        <w:t xml:space="preserve">PATRONES SOA — THOMAS (2009)</w:t>
      </w:r>
    </w:p>
    <w:p>
      <w:pPr>
        <w:spacing w:after="80"/>
      </w:pPr>
      <w:r>
        <w:t xml:space="preserve"/>
      </w:r>
    </w:p>
    <w:p>
      <w:pPr>
        <w:pStyle w:val="Heading1"/>
        <w:spacing w:after="160" w:before="320"/>
      </w:pPr>
      <w:r>
        <w:rPr>
          <w:rFonts w:ascii="Arial" w:cs="Arial" w:eastAsia="Arial" w:hAnsi="Arial"/>
          <w:b/>
          <w:bCs/>
          <w:color w:val="1F6FA8"/>
          <w:sz w:val="30"/>
          <w:szCs w:val="30"/>
        </w:rPr>
        <w:t xml:space="preserve">6. Patrones de arquitectura SOA según Thomas (2009)</w:t>
      </w:r>
    </w:p>
    <w:p>
      <w:pPr>
        <w:spacing w:after="160"/>
        <w:jc w:val="both"/>
      </w:pPr>
      <w:r>
        <w:rPr>
          <w:rFonts w:ascii="Arial" w:cs="Arial" w:eastAsia="Arial" w:hAnsi="Arial"/>
          <w:b w:val="false"/>
          <w:bCs w:val="false"/>
          <w:i w:val="false"/>
          <w:iCs w:val="false"/>
          <w:color w:val="000000"/>
          <w:sz w:val="22"/>
          <w:szCs w:val="22"/>
        </w:rPr>
        <w:t xml:space="preserve">A continuación se documentan los tres patrones de arquitectura SOA seleccionados para CiberEscudo, siguiendo el formato propuesto por Erl (2009) en SOA Design Patterns. Para cada patrón se especifica por qué es parte de la solución a la situación problema identificada.</w:t>
      </w:r>
    </w:p>
    <w:p>
      <w:pPr>
        <w:spacing w:after="80"/>
      </w:pPr>
      <w:r>
        <w:t xml:space="preserve"/>
      </w:r>
    </w:p>
    <w:p>
      <w:pPr>
        <w:pStyle w:val="Heading2"/>
        <w:spacing w:after="120" w:before="240"/>
      </w:pPr>
      <w:r>
        <w:rPr>
          <w:rFonts w:ascii="Arial" w:cs="Arial" w:eastAsia="Arial" w:hAnsi="Arial"/>
          <w:b/>
          <w:bCs/>
          <w:color w:val="1F6FA8"/>
          <w:sz w:val="26"/>
          <w:szCs w:val="26"/>
        </w:rPr>
        <w:t xml:space="preserve">6.1 Patrón: Service Registry (Registro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CCCCCC" w:sz="1"/>
              <w:left w:val="single" w:color="CCCCCC" w:sz="1"/>
              <w:bottom w:val="single" w:color="CCCCCC" w:sz="1"/>
              <w:right w:val="single" w:color="CCCCCC" w:sz="1"/>
            </w:tcBorders>
            <w:shd w:fill="1F6FA8" w:val="clear"/>
            <w:tcMar>
              <w:top w:type="dxa" w:w="100"/>
              <w:left w:type="dxa" w:w="120"/>
              <w:bottom w:type="dxa" w:w="100"/>
              <w:right w:type="dxa" w:w="120"/>
            </w:tcMar>
          </w:tcPr>
          <w:p>
            <w:pPr>
              <w:jc w:val="center"/>
            </w:pPr>
            <w:r>
              <w:rPr>
                <w:rFonts w:ascii="Arial" w:cs="Arial" w:eastAsia="Arial" w:hAnsi="Arial"/>
                <w:b/>
                <w:bCs/>
                <w:i w:val="false"/>
                <w:iCs w:val="false"/>
                <w:color w:val="FFFFFF"/>
                <w:sz w:val="22"/>
                <w:szCs w:val="22"/>
              </w:rPr>
              <w:t xml:space="preserve">Característica del patrón SOA</w:t>
            </w:r>
            <w:r>
              <w:rPr>
                <w:rFonts w:ascii="Arial" w:cs="Arial" w:eastAsia="Arial" w:hAnsi="Arial"/>
                <w:b w:val="false"/>
                <w:bCs w:val="false"/>
                <w:i w:val="false"/>
                <w:iCs w:val="false"/>
                <w:color w:val="FFFFFF"/>
                <w:sz w:val="22"/>
                <w:szCs w:val="22"/>
              </w:rPr>
              <w:t xml:space="preserve">          |          Descripción / descripción de la categoría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Requerimiento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¿Cómo pueden los servicios de CiberEscudo descubrirse mutuamente de forma dinámica, sin acoplamiento directo a ubicaciones fijas de infraestructura?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Problema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En CiberEscudo, el API Gateway y los servicios consumidores (por ejemplo, el Servicio de Notificaciones que invoca al Servicio de Guías de Acción) necesitan conocer la ubicación en red de los demás servicios. Si estas ubicaciones están codificadas directamente en la configuración de cada servicio (IP fija, puerto fijo), cualquier cambio de infraestructura —como escalar el Servicio de Monitoreo ante un evento de brecha masiva— requeriría actualizar manualmente la configuración de todos los consumidores. Esto viola el principio de bajo acoplamiento de SOA y genera fragilidad operativa.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Solución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Se implementa un componente centralizado de Service Registry (Consul) donde cada servicio publica su dirección y estado de salud al iniciarse. Los consumidores consultan el registro para obtener la ubicación actualizada del servicio que necesitan invocar, en lugar de usar direcciones codificadas. El API Gateway actúa como intermediario principal, resolviendo rutas desde el registro antes de cada solicitud.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Aplicación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Cuando el equipo de CiberEscudo despliega una segunda instancia del Servicio de Monitoreo para manejar la carga de una brecha masiva (por ejemplo, la filtración de 50 millones de registros de una plataforma de streaming), esta nueva instancia se registra automáticamente en Consul. El API Gateway detecta las dos instancias disponibles y distribuye el tráfico entre ellas mediante round-robin, sin ningún cambio de configuración manual. Cuando una instancia falla, el health check de Consul la marca como no disponible y el Gateway deja de enviarle solicitudes.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Impacto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Ventajas: Elimina el acoplamiento de ubicación entre servicios. Permite escalar y desplegar servicios independientemente. Facilita la tolerancia a fallos mediante health checks automáticos. Desventajas (trade-offs): El registro en sí mismo es un punto crítico de disponibilidad: si Consul falla, los servicios no pueden descubrirse. Esto se mitiga configurando Consul en modo cluster con múltiples nodos. Añade latencia adicional a cada solicitud por la consulta al registro, lo que requiere implementar caching de resoluciones.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Relaciones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Este patrón es habilitado por el patrón API Gateway (que centraliza el punto de consulta al registro) y es prerequisito del patrón Service Façade. También soporta el patrón Publish-Subscribe al permitir que los consumidores de eventos descubran dinámicamente los endpoints del bus de mensajes.</w:t>
            </w:r>
          </w:p>
        </w:tc>
      </w:tr>
    </w:tbl>
    <w:p>
      <w:pPr>
        <w:spacing w:after="160"/>
      </w:pPr>
      <w:r>
        <w:t xml:space="preserve"/>
      </w:r>
    </w:p>
    <w:p>
      <w:pPr>
        <w:pStyle w:val="Heading2"/>
        <w:spacing w:after="120" w:before="240"/>
      </w:pPr>
      <w:r>
        <w:rPr>
          <w:rFonts w:ascii="Arial" w:cs="Arial" w:eastAsia="Arial" w:hAnsi="Arial"/>
          <w:b/>
          <w:bCs/>
          <w:color w:val="1F6FA8"/>
          <w:sz w:val="26"/>
          <w:szCs w:val="26"/>
        </w:rPr>
        <w:t xml:space="preserve">6.2 Patrón: Publish-Subscribe (Publicador-Suscriptor)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CCCCCC" w:sz="1"/>
              <w:left w:val="single" w:color="CCCCCC" w:sz="1"/>
              <w:bottom w:val="single" w:color="CCCCCC" w:sz="1"/>
              <w:right w:val="single" w:color="CCCCCC" w:sz="1"/>
            </w:tcBorders>
            <w:shd w:fill="1F6FA8" w:val="clear"/>
            <w:tcMar>
              <w:top w:type="dxa" w:w="100"/>
              <w:left w:type="dxa" w:w="120"/>
              <w:bottom w:type="dxa" w:w="100"/>
              <w:right w:type="dxa" w:w="120"/>
            </w:tcMar>
          </w:tcPr>
          <w:p>
            <w:pPr>
              <w:jc w:val="center"/>
            </w:pPr>
            <w:r>
              <w:rPr>
                <w:rFonts w:ascii="Arial" w:cs="Arial" w:eastAsia="Arial" w:hAnsi="Arial"/>
                <w:b/>
                <w:bCs/>
                <w:i w:val="false"/>
                <w:iCs w:val="false"/>
                <w:color w:val="FFFFFF"/>
                <w:sz w:val="22"/>
                <w:szCs w:val="22"/>
              </w:rPr>
              <w:t xml:space="preserve">Característica del patrón SOA</w:t>
            </w:r>
            <w:r>
              <w:rPr>
                <w:rFonts w:ascii="Arial" w:cs="Arial" w:eastAsia="Arial" w:hAnsi="Arial"/>
                <w:b w:val="false"/>
                <w:bCs w:val="false"/>
                <w:i w:val="false"/>
                <w:iCs w:val="false"/>
                <w:color w:val="FFFFFF"/>
                <w:sz w:val="22"/>
                <w:szCs w:val="22"/>
              </w:rPr>
              <w:t xml:space="preserve">          |          Descripción / descripción de la categoría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Requerimiento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¿Cómo puede el Servicio de Monitoreo de CiberEscudo comunicar la detección de una brecha de seguridad a múltiples servicios consumidores (Notificaciones, Historial) sin crear dependencias directas que comprometan la mantenibilidad y disponibilidad del sistema?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Problema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Cuando el Servicio de Monitoreo detecta que el correo de un usuario aparece en una nueva brecha de HIBP, debe desencadenar al menos dos acciones simultáneas: enviar una notificación por correo electrónico (Servicio de Notificaciones) y registrar el evento en el historial del usuario (Servicio de Historial). Si el Monitoreo invoca directamente a cada uno de estos servicios mediante llamadas REST síncronas, se generan las siguientes consecuencias problemáticas: si el Servicio de Notificaciones está caído, el Monitoreo falla aunque el Historial esté disponible; cualquier nuevo servicio que necesite reaccionar a una brecha (por ejemplo, un futuro Servicio de Estadísticas) requeriría modificar el código del Servicio de Monitoreo.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Solución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En el MVP local se implementa una versión simplificada del patrón: el Módulo de Monitoreo, al detectar una brecha, invoca directamente en secuencia las funciones notify() del Módulo de Notificaciones y register_alert() del Módulo de Historial. Aunque son llamadas directas, la lógica está encapsulada en módulos separados con interfaces bien definidas. En una versión productiva futura, estas llamadas directas se reemplazarían por publicación de eventos en RabbitMQ sin modificar la lógica de cada módulo, ya que solo cambia el mecanismo de invocación.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Aplicación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Un usuario registra su correo en CiberEscudo y ejecuta la opción 'verificar ahora'. El Módulo de Monitoreo consulta HIBP con requests, detecta que el correo aparece en una brecha de datos, llama a notify() que imprime la alerta en consola y opcionalmente envía un correo con smtplib local, y llama a register_alert() que inserta el registro en la base de datos SQLite local. Todo ocurre de forma síncrona y local, sin dependencias externas más allá de la API HIBP.</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Impacto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Ventajas: Desacoplamiento total entre el productor y los consumidores del evento. Alta disponibilidad del proceso de detección, independiente del estado de los servicios de notificación e historial. Facilidad para añadir nuevos suscriptores (escalabilidad funcional) sin modificar el publicador. Procesamiento asíncrono que evita bloqueos. Desventajas (trade-offs): Se introduce consistencia eventual: el usuario no es notificado en el instante exacto de la detección, sino cuando el suscriptor procesa el mensaje. Requiere monitoreo del backlog de colas para detectar acumulaciones. La depuración de flujos de eventos es más compleja que en sistemas síncronos.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Relaciones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Depende del patrón Service Registry para que los suscriptores descubran la dirección del broker. Es habilitado por el patrón Service Façade (API Gateway), que puede actuar como punto de entrada para eventos externos. Complementa el patrón Service Registry al permitir comunicación entre servicios sin necesidad de conocer sus ubicaciones directamente.</w:t>
            </w:r>
          </w:p>
        </w:tc>
      </w:tr>
    </w:tbl>
    <w:p>
      <w:pPr>
        <w:spacing w:after="160"/>
      </w:pPr>
      <w:r>
        <w:t xml:space="preserve"/>
      </w:r>
    </w:p>
    <w:p>
      <w:pPr>
        <w:pStyle w:val="Heading2"/>
        <w:spacing w:after="120" w:before="240"/>
      </w:pPr>
      <w:r>
        <w:rPr>
          <w:rFonts w:ascii="Arial" w:cs="Arial" w:eastAsia="Arial" w:hAnsi="Arial"/>
          <w:b/>
          <w:bCs/>
          <w:color w:val="1F6FA8"/>
          <w:sz w:val="26"/>
          <w:szCs w:val="26"/>
        </w:rPr>
        <w:t xml:space="preserve">6.3 Patrón: Service Façade (Fachada de Servicio /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CCCCCC" w:sz="1"/>
              <w:left w:val="single" w:color="CCCCCC" w:sz="1"/>
              <w:bottom w:val="single" w:color="CCCCCC" w:sz="1"/>
              <w:right w:val="single" w:color="CCCCCC" w:sz="1"/>
            </w:tcBorders>
            <w:shd w:fill="1F6FA8" w:val="clear"/>
            <w:tcMar>
              <w:top w:type="dxa" w:w="100"/>
              <w:left w:type="dxa" w:w="120"/>
              <w:bottom w:type="dxa" w:w="100"/>
              <w:right w:type="dxa" w:w="120"/>
            </w:tcMar>
          </w:tcPr>
          <w:p>
            <w:pPr>
              <w:jc w:val="center"/>
            </w:pPr>
            <w:r>
              <w:rPr>
                <w:rFonts w:ascii="Arial" w:cs="Arial" w:eastAsia="Arial" w:hAnsi="Arial"/>
                <w:b/>
                <w:bCs/>
                <w:i w:val="false"/>
                <w:iCs w:val="false"/>
                <w:color w:val="FFFFFF"/>
                <w:sz w:val="22"/>
                <w:szCs w:val="22"/>
              </w:rPr>
              <w:t xml:space="preserve">Característica del patrón SOA</w:t>
            </w:r>
            <w:r>
              <w:rPr>
                <w:rFonts w:ascii="Arial" w:cs="Arial" w:eastAsia="Arial" w:hAnsi="Arial"/>
                <w:b w:val="false"/>
                <w:bCs w:val="false"/>
                <w:i w:val="false"/>
                <w:iCs w:val="false"/>
                <w:color w:val="FFFFFF"/>
                <w:sz w:val="22"/>
                <w:szCs w:val="22"/>
              </w:rPr>
              <w:t xml:space="preserve">          |          Descripción / descripción de la categoría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Requerimiento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¿Cómo puede el cliente web de CiberEscudo interactuar con múltiples servicios internos mediante una interfaz simplificada, sin exponerse a la complejidad interna del sistema ni verse afectado por los cambios en la estructura de servicios?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Problema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El frontend web de CiberEscudo necesita, para renderizar el dashboard del usuario, información proveniente de al menos tres servicios: el Servicio de Monitoreo (brechas actuales), el Servicio de Historial (alertas anteriores) y el Servicio de Autenticación (validación del token). Sin una fachada, el cliente tendería que: conocer las URL individuales de cada servicio, gestionar múltiples tokens de autenticación, manejar versiones diferentes de cada API, y realizar llamadas paralelas y consolidar respuestas. Esto acopla el cliente a la estructura interna del sistema y dificulta cualquier refactorización de servicios.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Solución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Se implementa una Fachada de Servicio materializada como API Gateway (utilizando Kong o AWS API Gateway). Esta fachada expone una API unificada al cliente, internamente orquestando las llamadas a los servicios necesarios, aplicando políticas transversales (autenticación JWT, rate limiting, logging, CORS) y consolidando respuestas. El cliente interactúa exclusivamente con el Gateway, ignorando completamente la topología interna.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Aplicación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Cuando el usuario de CiberEscudo inicia sesión y accede a su dashboard, el frontend realiza una sola petición GET /dashboard a la fachada. El API Gateway: valida el token JWT, consulta al Servicio de Autenticación para verificar permisos, invoca en paralelo al Servicio de Monitoreo (brechas del usuario) y al Servicio de Historial (últimas 5 alertas), consolida las respuestas en un único objeto JSON y lo retorna al cliente en una sola respuesta. Si en el futuro el equipo decide separar el Servicio de Historial en dos (uno para alertas, uno para estadísticas), el cliente no percibe el cambio: el Gateway absorbe la diferencia.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Impacto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Ventajas: Simplifica el cliente al ocultar la complejidad interna del sistema. Centraliza políticas transversales (seguridad, logging, throttling) evitando duplicación en cada servicio. Facilita el versionado de la API sin impactar el cliente. Permite refactorizar servicios internos sin cambios en el contrato externo. Desventajas (trade-offs): El API Gateway puede convertirse en un cuello de botella si no se escala horizontalmente. Añade un salto de red adicional a cada solicitud. Concentra la complejidad de orquestación en un único componente que debe ser altamente confiable.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2"/>
                <w:szCs w:val="22"/>
              </w:rPr>
              <w:t xml:space="preserve">Relaciones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22"/>
                <w:szCs w:val="22"/>
              </w:rPr>
              <w:t xml:space="preserve">Es el patrón central de la arquitectura de CiberEscudo. Depende del patrón Service Registry para descubrir los servicios internos que debe orquestar. Habilita el patrón Publish-Subscribe al poder actuar como punto de entrada para webhooks externos (por ejemplo, notificaciones de nuevas brechas desde HIBP). Los tres patrones forman un conjunto cohesivo: el Registry permite el descubrimiento, la Fachada centraliza el acceso, y el Pub-Sub gestiona la comunicación asíncrona interna.</w:t>
            </w:r>
          </w:p>
        </w:tc>
      </w:tr>
    </w:tbl>
    <w:p>
      <w:r>
        <w:br w:type="page"/>
      </w:r>
    </w:p>
    <w:p>
      <w:pPr>
        <w:shd w:fill="1F6FA8" w:val="clear"/>
        <w:spacing w:after="0" w:before="200"/>
        <w:jc w:val="center"/>
      </w:pPr>
      <w:r>
        <w:rPr>
          <w:rFonts w:ascii="Arial" w:cs="Arial" w:eastAsia="Arial" w:hAnsi="Arial"/>
          <w:b/>
          <w:bCs/>
          <w:i w:val="false"/>
          <w:iCs w:val="false"/>
          <w:color w:val="FFFFFF"/>
          <w:sz w:val="26"/>
          <w:szCs w:val="26"/>
        </w:rPr>
        <w:t xml:space="preserve">ENTREGA FINAL</w:t>
      </w:r>
    </w:p>
    <w:p>
      <w:pPr>
        <w:shd w:fill="2E2E2E" w:val="clear"/>
        <w:spacing w:after="240" w:before="0"/>
        <w:jc w:val="center"/>
      </w:pPr>
      <w:r>
        <w:rPr>
          <w:rFonts w:ascii="Arial" w:cs="Arial" w:eastAsia="Arial" w:hAnsi="Arial"/>
          <w:b/>
          <w:bCs/>
          <w:i w:val="false"/>
          <w:iCs w:val="false"/>
          <w:color w:val="FFFFFF"/>
          <w:sz w:val="30"/>
          <w:szCs w:val="30"/>
        </w:rPr>
        <w:t xml:space="preserve">SEMANA 7</w:t>
      </w:r>
    </w:p>
    <w:p>
      <w:pPr>
        <w:spacing w:after="80"/>
      </w:pPr>
      <w:r>
        <w:t xml:space="preserve"/>
      </w:r>
    </w:p>
    <w:p>
      <w:pPr>
        <w:pStyle w:val="Heading1"/>
        <w:spacing w:after="160" w:before="320"/>
      </w:pPr>
      <w:r>
        <w:rPr>
          <w:rFonts w:ascii="Arial" w:cs="Arial" w:eastAsia="Arial" w:hAnsi="Arial"/>
          <w:b/>
          <w:bCs/>
          <w:color w:val="1F6FA8"/>
          <w:sz w:val="30"/>
          <w:szCs w:val="30"/>
        </w:rPr>
        <w:t xml:space="preserve">7. Protocolo de comunicación: REST vs SOAP en CiberEscudo</w:t>
      </w:r>
    </w:p>
    <w:p>
      <w:pPr>
        <w:spacing w:after="160"/>
        <w:jc w:val="both"/>
      </w:pPr>
      <w:r>
        <w:rPr>
          <w:rFonts w:ascii="Arial" w:cs="Arial" w:eastAsia="Arial" w:hAnsi="Arial"/>
          <w:b w:val="false"/>
          <w:bCs w:val="false"/>
          <w:i w:val="false"/>
          <w:iCs w:val="false"/>
          <w:color w:val="000000"/>
          <w:sz w:val="22"/>
          <w:szCs w:val="22"/>
        </w:rPr>
        <w:t xml:space="preserve">Teniendo en cuenta el patrón de arquitectura SOA definido para CiberEscudo y las características del sistema, se procede a analizar los dos protocolos estándar para la exposición de servicios — REST y SOAP — con el fin de argumentar cuál de ellos incide de manera más positiva en la transformación e implementación de la arquitectura propuesta.</w:t>
      </w:r>
    </w:p>
    <w:p>
      <w:pPr>
        <w:spacing w:after="80"/>
      </w:pPr>
      <w:r>
        <w:t xml:space="preserve"/>
      </w:r>
    </w:p>
    <w:p>
      <w:pPr>
        <w:pStyle w:val="Heading2"/>
        <w:spacing w:after="120" w:before="240"/>
      </w:pPr>
      <w:r>
        <w:rPr>
          <w:rFonts w:ascii="Arial" w:cs="Arial" w:eastAsia="Arial" w:hAnsi="Arial"/>
          <w:b/>
          <w:bCs/>
          <w:color w:val="1F6FA8"/>
          <w:sz w:val="26"/>
          <w:szCs w:val="26"/>
        </w:rPr>
        <w:t xml:space="preserve">7.1 Análisis comparativo</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Criterio</w:t>
            </w:r>
          </w:p>
        </w:tc>
        <w:tc>
          <w:tcPr>
            <w:tcW w:type="dxa" w:w="343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REST</w:t>
            </w:r>
          </w:p>
        </w:tc>
        <w:tc>
          <w:tcPr>
            <w:tcW w:type="dxa" w:w="343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SOAP</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Formato de datos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JSON (liviano; consumido de forma nativa en Python con la librería json estándar y Flask jsonify)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XML (verboso, mayor sobrecarga de 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Protocolo base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HTTP/HTTPS con uso semántico de verbos (GET, POST, PUT, DELETE)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HTTP, SMTP, TCP — independiente del protocolo, pero más complejo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Estado (Stateless)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Stateless por diseño, ideal para escalado horizontal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Puede ser stateful, lo que dificulta el escalado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Compatibilidad con HIBP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Compatibilidad nativa: HIBP es una API REST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Requeriría una capa de adaptación adicional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Compatibilidad con clientes web/móvil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Soporte nativo: Python consume REST con httpx/requests; el frontend web lo consume con fetch/axios de forma directa</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Requiere librerías SOAP adicionales, más complejo en frontend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Seguridad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HTTPS + JWT. Implementado sobre TLS estándar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WS-Security: más robusto para transacciones empresariales críticas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Contrato de servicio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OpenAPI 3.0 / Swagger (flexible y autodocumentado)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WSDL (estricto y detallado, pero más rígido)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Curva de aprendizaje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Baja: ampliamente conocido por el equipo de desarrollo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Alta: requiere conocimiento especializado de estándares WS-*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Rendimiento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Alto: payloads JSON son hasta 10x más pequeños que XML equivalente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Menor: overhead de XML y envelope SOAP impacta la latencia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19"/>
                <w:szCs w:val="19"/>
              </w:rPr>
              <w:t xml:space="preserve">Casos de uso ideales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Aplicaciones web, móviles, APIs públicas, microservicios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9"/>
                <w:szCs w:val="19"/>
              </w:rPr>
              <w:t xml:space="preserve">Integración empresarial B2B, transacciones bancarias con ACID garantizado</w:t>
            </w:r>
          </w:p>
        </w:tc>
      </w:tr>
    </w:tbl>
    <w:p>
      <w:pPr>
        <w:spacing w:after="80"/>
      </w:pPr>
      <w:r>
        <w:t xml:space="preserve"/>
      </w:r>
    </w:p>
    <w:p>
      <w:pPr>
        <w:pStyle w:val="Heading2"/>
        <w:spacing w:after="120" w:before="240"/>
      </w:pPr>
      <w:r>
        <w:rPr>
          <w:rFonts w:ascii="Arial" w:cs="Arial" w:eastAsia="Arial" w:hAnsi="Arial"/>
          <w:b/>
          <w:bCs/>
          <w:color w:val="1F6FA8"/>
          <w:sz w:val="26"/>
          <w:szCs w:val="26"/>
        </w:rPr>
        <w:t xml:space="preserve">7.2 Protocolo seleccionado: REST</w:t>
      </w:r>
    </w:p>
    <w:p>
      <w:pPr>
        <w:spacing w:after="160"/>
        <w:jc w:val="both"/>
      </w:pPr>
      <w:r>
        <w:rPr>
          <w:rFonts w:ascii="Arial" w:cs="Arial" w:eastAsia="Arial" w:hAnsi="Arial"/>
          <w:b w:val="false"/>
          <w:bCs w:val="false"/>
          <w:i w:val="false"/>
          <w:iCs w:val="false"/>
          <w:color w:val="000000"/>
          <w:sz w:val="22"/>
          <w:szCs w:val="22"/>
        </w:rPr>
        <w:t xml:space="preserve">CiberEscudo adopta REST como protocolo estándar para la exposición de todos sus servicios, por las siguientes razones que inciden directamente en la transformación de la implementación arquitectónica:</w:t>
      </w:r>
    </w:p>
    <w:p>
      <w:pPr>
        <w:spacing w:after="0"/>
      </w:pPr>
      <w:r>
        <w:t xml:space="preserve"/>
      </w:r>
    </w:p>
    <w:p>
      <w:pPr>
        <w:spacing w:after="160"/>
        <w:jc w:val="both"/>
      </w:pPr>
      <w:r>
        <w:rPr>
          <w:rFonts w:ascii="Arial" w:cs="Arial" w:eastAsia="Arial" w:hAnsi="Arial"/>
          <w:b/>
          <w:bCs/>
          <w:i w:val="false"/>
          <w:iCs w:val="false"/>
          <w:color w:val="000000"/>
          <w:sz w:val="22"/>
          <w:szCs w:val="22"/>
        </w:rPr>
        <w:t xml:space="preserve">Compatibilidad con el ecosistema de servicios externos: </w:t>
      </w:r>
      <w:r>
        <w:rPr>
          <w:rFonts w:ascii="Arial" w:cs="Arial" w:eastAsia="Arial" w:hAnsi="Arial"/>
          <w:b w:val="false"/>
          <w:bCs w:val="false"/>
          <w:i w:val="false"/>
          <w:iCs w:val="false"/>
          <w:color w:val="000000"/>
          <w:sz w:val="22"/>
          <w:szCs w:val="22"/>
        </w:rPr>
        <w:t xml:space="preserve">La API HIBP es una API REST que retorna respuestas en JSON. Adoptar REST en los servicios internos de CiberEscudo permite que el Servicio de Monitoreo y el Servicio de Verificación de Contraseñas consuman HIBP sin capas de adaptación adicionales, reduciendo la complejidad del sistema y los puntos de fallo.</w:t>
      </w:r>
    </w:p>
    <w:p>
      <w:pPr>
        <w:spacing w:after="0"/>
      </w:pPr>
      <w:r>
        <w:t xml:space="preserve"/>
      </w:r>
    </w:p>
    <w:p>
      <w:pPr>
        <w:spacing w:after="160"/>
        <w:jc w:val="both"/>
      </w:pPr>
      <w:r>
        <w:rPr>
          <w:rFonts w:ascii="Arial" w:cs="Arial" w:eastAsia="Arial" w:hAnsi="Arial"/>
          <w:b/>
          <w:bCs/>
          <w:i w:val="false"/>
          <w:iCs w:val="false"/>
          <w:color w:val="000000"/>
          <w:sz w:val="22"/>
          <w:szCs w:val="22"/>
        </w:rPr>
        <w:t xml:space="preserve">Alineación con el perfil tecnológico del equipo y del cliente: </w:t>
      </w:r>
      <w:r>
        <w:rPr>
          <w:rFonts w:ascii="Arial" w:cs="Arial" w:eastAsia="Arial" w:hAnsi="Arial"/>
          <w:b w:val="false"/>
          <w:bCs w:val="false"/>
          <w:i w:val="false"/>
          <w:iCs w:val="false"/>
          <w:color w:val="000000"/>
          <w:sz w:val="22"/>
          <w:szCs w:val="22"/>
        </w:rPr>
        <w:t xml:space="preserve">El backend del MVP de CiberEscudo está desarrollado en Python con Flask, que retorna JSON de forma nativa mediante jsonify() sin configuración adicional. La interfaz web del MVP usa plantillas Jinja2 renderizadas por Flask (sin framework de frontend separado), lo que elimina la necesidad de gestionar una capa de API independiente para el cliente. SOAP añadiría complejidad de serialización XML innecesaria para un proyecto local de esta escala.</w:t>
      </w:r>
    </w:p>
    <w:p>
      <w:pPr>
        <w:spacing w:after="0"/>
      </w:pPr>
      <w:r>
        <w:t xml:space="preserve"/>
      </w:r>
    </w:p>
    <w:p>
      <w:pPr>
        <w:spacing w:after="160"/>
        <w:jc w:val="both"/>
      </w:pPr>
      <w:r>
        <w:rPr>
          <w:rFonts w:ascii="Arial" w:cs="Arial" w:eastAsia="Arial" w:hAnsi="Arial"/>
          <w:b/>
          <w:bCs/>
          <w:i w:val="false"/>
          <w:iCs w:val="false"/>
          <w:color w:val="000000"/>
          <w:sz w:val="22"/>
          <w:szCs w:val="22"/>
        </w:rPr>
        <w:t xml:space="preserve">Soporte al escalado horizontal (RNF-05): </w:t>
      </w:r>
      <w:r>
        <w:rPr>
          <w:rFonts w:ascii="Arial" w:cs="Arial" w:eastAsia="Arial" w:hAnsi="Arial"/>
          <w:b w:val="false"/>
          <w:bCs w:val="false"/>
          <w:i w:val="false"/>
          <w:iCs w:val="false"/>
          <w:color w:val="000000"/>
          <w:sz w:val="22"/>
          <w:szCs w:val="22"/>
        </w:rPr>
        <w:t xml:space="preserve">REST es stateless por diseño: cada solicitud contiene toda la información necesaria para ser procesada. Esto permite que el API Gateway distribuya solicitudes entre múltiples instancias de un servicio sin sesiones compartidas, alineándose directamente con el requerimiento de soportar al menos 10.000 usuarios concurrentes.</w:t>
      </w:r>
    </w:p>
    <w:p>
      <w:pPr>
        <w:spacing w:after="0"/>
      </w:pPr>
      <w:r>
        <w:t xml:space="preserve"/>
      </w:r>
    </w:p>
    <w:p>
      <w:pPr>
        <w:spacing w:after="160"/>
        <w:jc w:val="both"/>
      </w:pPr>
      <w:r>
        <w:rPr>
          <w:rFonts w:ascii="Arial" w:cs="Arial" w:eastAsia="Arial" w:hAnsi="Arial"/>
          <w:b/>
          <w:bCs/>
          <w:i w:val="false"/>
          <w:iCs w:val="false"/>
          <w:color w:val="000000"/>
          <w:sz w:val="22"/>
          <w:szCs w:val="22"/>
        </w:rPr>
        <w:t xml:space="preserve">Documentación y contrato de servicio con OpenAPI 3.0: </w:t>
      </w:r>
      <w:r>
        <w:rPr>
          <w:rFonts w:ascii="Arial" w:cs="Arial" w:eastAsia="Arial" w:hAnsi="Arial"/>
          <w:b w:val="false"/>
          <w:bCs w:val="false"/>
          <w:i w:val="false"/>
          <w:iCs w:val="false"/>
          <w:color w:val="000000"/>
          <w:sz w:val="22"/>
          <w:szCs w:val="22"/>
        </w:rPr>
        <w:t xml:space="preserve">Cada servicio de CiberEscudo documenta su interfaz mediante Swagger UI, generando documentación interactiva automáticamente. Esto facilita la integración entre servicios internos y reduce la fricción en el desarrollo. En SOAP, el equivalente (WSDL) es significativamente más complejo de generar y mantener.</w:t>
      </w:r>
    </w:p>
    <w:p>
      <w:pPr>
        <w:spacing w:after="0"/>
      </w:pPr>
      <w:r>
        <w:t xml:space="preserve"/>
      </w:r>
    </w:p>
    <w:p>
      <w:pPr>
        <w:spacing w:after="160"/>
        <w:jc w:val="both"/>
      </w:pPr>
      <w:r>
        <w:rPr>
          <w:rFonts w:ascii="Arial" w:cs="Arial" w:eastAsia="Arial" w:hAnsi="Arial"/>
          <w:b/>
          <w:bCs/>
          <w:i w:val="false"/>
          <w:iCs w:val="false"/>
          <w:color w:val="000000"/>
          <w:sz w:val="22"/>
          <w:szCs w:val="22"/>
        </w:rPr>
        <w:t xml:space="preserve">Rendimiento bajo condiciones de alta carga: </w:t>
      </w:r>
      <w:r>
        <w:rPr>
          <w:rFonts w:ascii="Arial" w:cs="Arial" w:eastAsia="Arial" w:hAnsi="Arial"/>
          <w:b w:val="false"/>
          <w:bCs w:val="false"/>
          <w:i w:val="false"/>
          <w:iCs w:val="false"/>
          <w:color w:val="000000"/>
          <w:sz w:val="22"/>
          <w:szCs w:val="22"/>
        </w:rPr>
        <w:t xml:space="preserve">Durante un evento de brecha masiva, el Servicio de Monitoreo puede procesar miles de consultas por minuto. Un payload JSON de respuesta de HIBP ocupa en promedio 1-3 KB, mientras que el equivalente en XML/SOAP superaría los 8 KB. En escenarios de alta concurrencia, esta diferencia impacta significativamente el consumo de ancho de banda y el tiempo de respuesta (RNF-04).</w:t>
      </w:r>
    </w:p>
    <w:p>
      <w:pPr>
        <w:spacing w:after="80"/>
      </w:pPr>
      <w:r>
        <w:t xml:space="preserve"/>
      </w:r>
    </w:p>
    <w:p>
      <w:pPr>
        <w:spacing w:after="160"/>
        <w:jc w:val="both"/>
      </w:pPr>
      <w:r>
        <w:rPr>
          <w:rFonts w:ascii="Arial" w:cs="Arial" w:eastAsia="Arial" w:hAnsi="Arial"/>
          <w:b w:val="false"/>
          <w:bCs w:val="false"/>
          <w:i w:val="false"/>
          <w:iCs w:val="false"/>
          <w:color w:val="000000"/>
          <w:sz w:val="22"/>
          <w:szCs w:val="22"/>
        </w:rPr>
        <w:t xml:space="preserve">La única consideración donde SOAP presentaría ventaja sería en integraciones B2B con instituciones financieras que exigen contratos WS-Security y garantías ACID. Para este caso puntual, CiberEscudo podría implementar un adaptador SOAP en el futuro sin modificar su arquitectura REST interna.</w:t>
      </w:r>
    </w:p>
    <w:p>
      <w:r>
        <w:br w:type="page"/>
      </w:r>
    </w:p>
    <w:p>
      <w:pPr>
        <w:pStyle w:val="Heading1"/>
        <w:spacing w:after="160" w:before="320"/>
      </w:pPr>
      <w:r>
        <w:rPr>
          <w:rFonts w:ascii="Arial" w:cs="Arial" w:eastAsia="Arial" w:hAnsi="Arial"/>
          <w:b/>
          <w:bCs/>
          <w:color w:val="1F6FA8"/>
          <w:sz w:val="30"/>
          <w:szCs w:val="30"/>
        </w:rPr>
        <w:t xml:space="preserve">8. Conclusiones</w:t>
      </w:r>
    </w:p>
    <w:p>
      <w:pPr>
        <w:spacing w:after="160"/>
        <w:jc w:val="both"/>
      </w:pPr>
      <w:r>
        <w:rPr>
          <w:rFonts w:ascii="Arial" w:cs="Arial" w:eastAsia="Arial" w:hAnsi="Arial"/>
          <w:b w:val="false"/>
          <w:bCs w:val="false"/>
          <w:i w:val="false"/>
          <w:iCs w:val="false"/>
          <w:color w:val="000000"/>
          <w:sz w:val="22"/>
          <w:szCs w:val="22"/>
        </w:rPr>
        <w:t xml:space="preserve">A partir del análisis desarrollado en las tres entregas del proyecto CiberEscudo, se derivan las siguientes conclusiones:</w:t>
      </w:r>
    </w:p>
    <w:p>
      <w:pPr>
        <w:spacing w:after="80"/>
      </w:pPr>
      <w:r>
        <w:t xml:space="preserve"/>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La situación problema identificada —la falta de visibilidad, detección oportuna y orientación post-brecha para el ciudadano colombiano en materia de seguridad digital— es una problemática real, recurrente y de alta relevancia social. Su análisis desde la perspectiva de la arquitectura de software orientada a servicios permite evidenciar cómo SOA proporciona un marco estructural adecuado para abordar problemas complejos que involucran múltiples actores, fuentes de datos externas y requisitos de disponibilidad críticos.</w:t>
      </w:r>
    </w:p>
    <w:p>
      <w:pPr>
        <w:spacing w:after="0"/>
      </w:pPr>
      <w:r>
        <w:t xml:space="preserve"/>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El análisis de los componentes SOA de CiberEscudo (servicios, proveedores y registro) demuestra que la descomposición del sistema en seis servicios independientes —Autenticación, Monitoreo, Verificación de Contraseñas, Notificaciones, Guías de Acción e Historial— permite satisfacer simultáneamente los atributos de calidad más críticos: alta disponibilidad, escalabilidad horizontal, mantenibilidad independiente y cumplimiento normativo. Cada servicio tiene una responsabilidad única y contratos de interfaz bien definidos, lo que facilita su evolución sin afectar al resto del sistema.</w:t>
      </w:r>
    </w:p>
    <w:p>
      <w:pPr>
        <w:spacing w:after="0"/>
      </w:pPr>
      <w:r>
        <w:t xml:space="preserve"/>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Los tres patrones SOA de Thomas Erl (2009) seleccionados —Service Registry, Publish-Subscribe y Service Façade— son complementarios y forman un conjunto arquitectónico coherente. El Registry habilita el descubrimiento dinámico, la Fachada centraliza el acceso y simplifica el cliente, y el Pub-Sub garantiza la comunicación asíncrona tolerante a fallos entre servicios internos. Su combinación permite que el sistema responda a la situación problema con robustez operativa y bajo acoplamiento estructural.</w:t>
      </w:r>
    </w:p>
    <w:p>
      <w:pPr>
        <w:spacing w:after="0"/>
      </w:pPr>
      <w:r>
        <w:t xml:space="preserve"/>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La selección de REST como protocolo de comunicación para CiberEscudo es la decisión técnica correcta en el contexto del problema. La compatibilidad nativa con la API HIBP, la ligereza del formato JSON frente a XML/SOAP, el soporte al escalado stateless y la familiaridad del equipo con el ecosistema REST/HTTP son factores determinantes. Esta elección transforma positivamente la implementación de la arquitectura al eliminar capas de adaptación innecesarias y reducir la latencia bajo condiciones de alta carga.</w:t>
      </w:r>
    </w:p>
    <w:p>
      <w:pPr>
        <w:spacing w:after="0"/>
      </w:pPr>
      <w:r>
        <w:t xml:space="preserve"/>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El presente análisis evidencia que la arquitectura de software no es un artefacto estático sino un proceso iterativo de toma de decisiones fundamentadas. Cada decisión —el estilo SOA, los patrones seleccionados, el protocolo REST— responde a atributos de calidad concretos (RNF) y a las restricciones del problema real. Este es el valor central de la arquitectura de software como disciplina: proveer un mapa de decisiones que guíe el desarrollo hacia sistemas robustos, escalables y mantenibles, antes de escribir una sola línea de código.</w:t>
      </w:r>
    </w:p>
    <w:p>
      <w:r>
        <w:br w:type="page"/>
      </w:r>
    </w:p>
    <w:p>
      <w:pPr>
        <w:pStyle w:val="Heading1"/>
        <w:spacing w:after="160" w:before="320"/>
      </w:pPr>
      <w:r>
        <w:rPr>
          <w:rFonts w:ascii="Arial" w:cs="Arial" w:eastAsia="Arial" w:hAnsi="Arial"/>
          <w:b/>
          <w:bCs/>
          <w:color w:val="1F6FA8"/>
          <w:sz w:val="30"/>
          <w:szCs w:val="30"/>
        </w:rPr>
        <w:t xml:space="preserve">Referencias</w:t>
      </w:r>
    </w:p>
    <w:p>
      <w:pPr>
        <w:spacing w:after="80"/>
      </w:pPr>
      <w:r>
        <w:t xml:space="preserve"/>
      </w:r>
    </w:p>
    <w:p>
      <w:pPr>
        <w:spacing w:after="160"/>
        <w:jc w:val="both"/>
      </w:pPr>
      <w:r>
        <w:rPr>
          <w:rFonts w:ascii="Arial" w:cs="Arial" w:eastAsia="Arial" w:hAnsi="Arial"/>
          <w:b w:val="false"/>
          <w:bCs w:val="false"/>
          <w:i w:val="false"/>
          <w:iCs w:val="false"/>
          <w:color w:val="000000"/>
          <w:sz w:val="22"/>
          <w:szCs w:val="22"/>
        </w:rPr>
        <w:t xml:space="preserve">Amazon Web Services. (2022). ¿Qué es la arquitectura orientada a servicios? https://aws.amazon.com/es/what-is/service-oriented-architecture/</w:t>
      </w:r>
    </w:p>
    <w:p>
      <w:pPr>
        <w:spacing w:after="160"/>
        <w:jc w:val="both"/>
      </w:pPr>
      <w:r>
        <w:rPr>
          <w:rFonts w:ascii="Arial" w:cs="Arial" w:eastAsia="Arial" w:hAnsi="Arial"/>
          <w:b w:val="false"/>
          <w:bCs w:val="false"/>
          <w:i w:val="false"/>
          <w:iCs w:val="false"/>
          <w:color w:val="000000"/>
          <w:sz w:val="22"/>
          <w:szCs w:val="22"/>
        </w:rPr>
        <w:t xml:space="preserve">Caivano, D., Fernández-Alemán, J. L., &amp; Toval, A. (2019). Personal data protection in social networking sites: A systematic review. Computers &amp; Security, 77, 382-400. https://doi.org/10.1016/j.cose.2018.05.004</w:t>
      </w:r>
    </w:p>
    <w:p>
      <w:pPr>
        <w:spacing w:after="160"/>
        <w:jc w:val="both"/>
      </w:pPr>
      <w:r>
        <w:rPr>
          <w:rFonts w:ascii="Arial" w:cs="Arial" w:eastAsia="Arial" w:hAnsi="Arial"/>
          <w:b w:val="false"/>
          <w:bCs w:val="false"/>
          <w:i w:val="false"/>
          <w:iCs w:val="false"/>
          <w:color w:val="000000"/>
          <w:sz w:val="22"/>
          <w:szCs w:val="22"/>
        </w:rPr>
        <w:t xml:space="preserve">Erl, T. (2009). SOA design patterns. Prentice Hall.</w:t>
      </w:r>
    </w:p>
    <w:p>
      <w:pPr>
        <w:spacing w:after="160"/>
        <w:jc w:val="both"/>
      </w:pPr>
      <w:r>
        <w:rPr>
          <w:rFonts w:ascii="Arial" w:cs="Arial" w:eastAsia="Arial" w:hAnsi="Arial"/>
          <w:b w:val="false"/>
          <w:bCs w:val="false"/>
          <w:i w:val="false"/>
          <w:iCs w:val="false"/>
          <w:color w:val="000000"/>
          <w:sz w:val="22"/>
          <w:szCs w:val="22"/>
        </w:rPr>
        <w:t xml:space="preserve">Hunt, T. (2018). Have I Been Pwned: Passwords API v3 documentation. https://haveibeenpwned.com/API/v3</w:t>
      </w:r>
    </w:p>
    <w:p>
      <w:pPr>
        <w:spacing w:after="160"/>
        <w:jc w:val="both"/>
      </w:pPr>
      <w:r>
        <w:rPr>
          <w:rFonts w:ascii="Arial" w:cs="Arial" w:eastAsia="Arial" w:hAnsi="Arial"/>
          <w:b w:val="false"/>
          <w:bCs w:val="false"/>
          <w:i w:val="false"/>
          <w:iCs w:val="false"/>
          <w:color w:val="000000"/>
          <w:sz w:val="22"/>
          <w:szCs w:val="22"/>
        </w:rPr>
        <w:t xml:space="preserve">Huet, P. (2022). Arquitectura de software: qué es y qué tipos existen. https://openwebinars.net/blog/arquitectura-de-software-que-es-y-que-tipos-existen/</w:t>
      </w:r>
    </w:p>
    <w:p>
      <w:pPr>
        <w:spacing w:after="160"/>
        <w:jc w:val="both"/>
      </w:pPr>
      <w:r>
        <w:rPr>
          <w:rFonts w:ascii="Arial" w:cs="Arial" w:eastAsia="Arial" w:hAnsi="Arial"/>
          <w:b w:val="false"/>
          <w:bCs w:val="false"/>
          <w:i w:val="false"/>
          <w:iCs w:val="false"/>
          <w:color w:val="000000"/>
          <w:sz w:val="22"/>
          <w:szCs w:val="22"/>
        </w:rPr>
        <w:t xml:space="preserve">IBM Security. (2023). Cost of a data breach report 2023. IBM Corporation. https://www.ibm.com/reports/data-breach</w:t>
      </w:r>
    </w:p>
    <w:p>
      <w:pPr>
        <w:spacing w:after="160"/>
        <w:jc w:val="both"/>
      </w:pPr>
      <w:r>
        <w:rPr>
          <w:rFonts w:ascii="Arial" w:cs="Arial" w:eastAsia="Arial" w:hAnsi="Arial"/>
          <w:b w:val="false"/>
          <w:bCs w:val="false"/>
          <w:i w:val="false"/>
          <w:iCs w:val="false"/>
          <w:color w:val="000000"/>
          <w:sz w:val="22"/>
          <w:szCs w:val="22"/>
        </w:rPr>
        <w:t xml:space="preserve">OWASP Foundation. (2021). OWASP top ten 2021. https://owasp.org/www-project-top-ten/</w:t>
      </w:r>
    </w:p>
    <w:p>
      <w:pPr>
        <w:spacing w:after="160"/>
        <w:jc w:val="both"/>
      </w:pPr>
      <w:r>
        <w:rPr>
          <w:rFonts w:ascii="Arial" w:cs="Arial" w:eastAsia="Arial" w:hAnsi="Arial"/>
          <w:b w:val="false"/>
          <w:bCs w:val="false"/>
          <w:i w:val="false"/>
          <w:iCs w:val="false"/>
          <w:color w:val="000000"/>
          <w:sz w:val="22"/>
          <w:szCs w:val="22"/>
        </w:rPr>
        <w:t xml:space="preserve">Richards, M., &amp; Ford, N. (2020). Fundamentals of software architecture: An engineering approach. O'Reilly Media.</w:t>
      </w:r>
    </w:p>
    <w:p>
      <w:pPr>
        <w:spacing w:after="160"/>
        <w:jc w:val="both"/>
      </w:pPr>
      <w:r>
        <w:rPr>
          <w:rFonts w:ascii="Arial" w:cs="Arial" w:eastAsia="Arial" w:hAnsi="Arial"/>
          <w:b w:val="false"/>
          <w:bCs w:val="false"/>
          <w:i w:val="false"/>
          <w:iCs w:val="false"/>
          <w:color w:val="000000"/>
          <w:sz w:val="22"/>
          <w:szCs w:val="22"/>
        </w:rPr>
        <w:t xml:space="preserve">Richardson, C. (2018). Microservices patterns: With examples in Java. Manning Publications.</w:t>
      </w:r>
    </w:p>
    <w:p>
      <w:pPr>
        <w:spacing w:after="160"/>
        <w:jc w:val="both"/>
      </w:pPr>
      <w:r>
        <w:rPr>
          <w:rFonts w:ascii="Arial" w:cs="Arial" w:eastAsia="Arial" w:hAnsi="Arial"/>
          <w:b w:val="false"/>
          <w:bCs w:val="false"/>
          <w:i w:val="false"/>
          <w:iCs w:val="false"/>
          <w:color w:val="000000"/>
          <w:sz w:val="22"/>
          <w:szCs w:val="22"/>
        </w:rPr>
        <w:t xml:space="preserve">Shostack, A. (2014). Threat modeling: Designing for security. Wiley.</w:t>
      </w:r>
    </w:p>
    <w:p>
      <w:pPr>
        <w:spacing w:after="160"/>
        <w:jc w:val="both"/>
      </w:pPr>
      <w:r>
        <w:rPr>
          <w:rFonts w:ascii="Arial" w:cs="Arial" w:eastAsia="Arial" w:hAnsi="Arial"/>
          <w:b w:val="false"/>
          <w:bCs w:val="false"/>
          <w:i w:val="false"/>
          <w:iCs w:val="false"/>
          <w:color w:val="000000"/>
          <w:sz w:val="22"/>
          <w:szCs w:val="22"/>
        </w:rPr>
        <w:t xml:space="preserve">Superintendencia de Industria y Comercio. (2022). Informe de actividad de datos personales en Colombia 2022. https://www.sic.gov.co/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A8" w:sz="4" w:space="1"/>
      </w:pBdr>
      <w:jc w:val="center"/>
    </w:pPr>
    <w:r>
      <w:rPr>
        <w:rFonts w:ascii="Arial" w:cs="Arial" w:eastAsia="Arial" w:hAnsi="Arial"/>
        <w:b w:val="false"/>
        <w:bCs w:val="false"/>
        <w:i w:val="false"/>
        <w:iCs w:val="false"/>
        <w:color w:val="595959"/>
        <w:sz w:val="18"/>
        <w:szCs w:val="18"/>
      </w:rPr>
      <w:t xml:space="preserve">Politécnico Gran Colombiano —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A8" w:sz="4" w:space="1"/>
      </w:pBdr>
      <w:jc w:val="right"/>
    </w:pPr>
    <w:r>
      <w:rPr>
        <w:rFonts w:ascii="Arial" w:cs="Arial" w:eastAsia="Arial" w:hAnsi="Arial"/>
        <w:b w:val="false"/>
        <w:bCs w:val="false"/>
        <w:i w:val="false"/>
        <w:iCs w:val="false"/>
        <w:color w:val="595959"/>
        <w:sz w:val="18"/>
        <w:szCs w:val="18"/>
      </w:rPr>
      <w:t xml:space="preserve">CiberEscudo — Entrega 2 | Arquitectura del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6FA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6FA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2026-04-09T02:09:22.653Z</dcterms:created>
  <dcterms:modified xsi:type="dcterms:W3CDTF">2026-04-09T02:09:22.653Z</dcterms:modified>
</cp:coreProperties>
</file>

<file path=docProps/custom.xml><?xml version="1.0" encoding="utf-8"?>
<Properties xmlns="http://schemas.openxmlformats.org/officeDocument/2006/custom-properties" xmlns:vt="http://schemas.openxmlformats.org/officeDocument/2006/docPropsVTypes"/>
</file>