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51DF4" w:rsidRDefault="00C51DF4" w14:paraId="1195C7ED" w14:textId="77777777">
      <w:pPr>
        <w:spacing w:after="640"/>
      </w:pPr>
    </w:p>
    <w:p w:rsidR="00C51DF4" w:rsidRDefault="00E00045" w14:paraId="3A23881E" w14:textId="77777777">
      <w:pPr>
        <w:spacing w:after="160"/>
        <w:jc w:val="center"/>
      </w:pPr>
      <w:r>
        <w:rPr>
          <w:b/>
          <w:bCs/>
          <w:color w:val="1F6FA8"/>
          <w:sz w:val="32"/>
          <w:szCs w:val="32"/>
        </w:rPr>
        <w:t>POLITÉCNICO GRAN COLOMBIANO</w:t>
      </w:r>
    </w:p>
    <w:p w:rsidR="00C51DF4" w:rsidRDefault="00E00045" w14:paraId="0029C982" w14:textId="77777777">
      <w:pPr>
        <w:spacing w:after="160"/>
        <w:jc w:val="center"/>
      </w:pPr>
      <w:r>
        <w:rPr>
          <w:color w:val="595959"/>
          <w:sz w:val="26"/>
          <w:szCs w:val="26"/>
        </w:rPr>
        <w:t>Facultad de Ingeniería, Diseño e Innovación</w:t>
      </w:r>
    </w:p>
    <w:p w:rsidR="00C51DF4" w:rsidRDefault="00E00045" w14:paraId="5E243533" w14:textId="77777777">
      <w:pPr>
        <w:spacing w:after="160"/>
        <w:jc w:val="center"/>
      </w:pPr>
      <w:r>
        <w:rPr>
          <w:color w:val="595959"/>
          <w:sz w:val="26"/>
          <w:szCs w:val="26"/>
        </w:rPr>
        <w:t>Ingeniería de Software</w:t>
      </w:r>
    </w:p>
    <w:p w:rsidR="00C51DF4" w:rsidRDefault="00C51DF4" w14:paraId="2E19CF7B" w14:textId="77777777">
      <w:pPr>
        <w:pBdr>
          <w:bottom w:val="single" w:color="1F6FA8" w:sz="6" w:space="1"/>
        </w:pBdr>
        <w:spacing w:after="200"/>
        <w:jc w:val="center"/>
      </w:pPr>
    </w:p>
    <w:p w:rsidR="00C51DF4" w:rsidRDefault="00C51DF4" w14:paraId="2F395D67" w14:textId="77777777">
      <w:pPr>
        <w:spacing w:after="160"/>
      </w:pPr>
    </w:p>
    <w:p w:rsidR="00C51DF4" w:rsidRDefault="00E00045" w14:paraId="46C10957" w14:textId="77777777">
      <w:pPr>
        <w:spacing w:after="160"/>
        <w:jc w:val="center"/>
      </w:pPr>
      <w:r>
        <w:rPr>
          <w:b/>
          <w:bCs/>
          <w:color w:val="1F6FA8"/>
          <w:sz w:val="36"/>
          <w:szCs w:val="36"/>
        </w:rPr>
        <w:t>Análisis en la implementación de la arquitectura de software orientada a servicios</w:t>
      </w:r>
    </w:p>
    <w:p w:rsidR="00C51DF4" w:rsidRDefault="00E00045" w14:paraId="76902F09" w14:textId="77777777">
      <w:pPr>
        <w:spacing w:after="160"/>
        <w:jc w:val="center"/>
      </w:pPr>
      <w:r>
        <w:rPr>
          <w:i/>
          <w:iCs/>
          <w:color w:val="595959"/>
          <w:sz w:val="26"/>
          <w:szCs w:val="26"/>
        </w:rPr>
        <w:t>Entrega Previa 2 — Semana 5</w:t>
      </w:r>
    </w:p>
    <w:p w:rsidR="00C51DF4" w:rsidRDefault="00C51DF4" w14:paraId="146963B5" w14:textId="77777777">
      <w:pPr>
        <w:spacing w:after="320"/>
      </w:pPr>
    </w:p>
    <w:p w:rsidR="00C51DF4" w:rsidRDefault="00E00045" w14:paraId="2A22DEE9" w14:textId="77777777">
      <w:pPr>
        <w:spacing w:after="160"/>
        <w:jc w:val="center"/>
      </w:pPr>
      <w:r>
        <w:rPr>
          <w:b/>
          <w:bCs/>
          <w:color w:val="000000"/>
          <w:sz w:val="24"/>
          <w:szCs w:val="24"/>
        </w:rPr>
        <w:t>Módulo:</w:t>
      </w:r>
      <w:r>
        <w:rPr>
          <w:color w:val="000000"/>
          <w:sz w:val="24"/>
          <w:szCs w:val="24"/>
        </w:rPr>
        <w:t xml:space="preserve">  Arquitectura del Software</w:t>
      </w:r>
    </w:p>
    <w:p w:rsidR="00C51DF4" w:rsidRDefault="00E00045" w14:paraId="16CE676A" w14:textId="77777777">
      <w:pPr>
        <w:spacing w:after="160"/>
        <w:jc w:val="center"/>
      </w:pPr>
      <w:r>
        <w:rPr>
          <w:b/>
          <w:bCs/>
          <w:color w:val="000000"/>
          <w:sz w:val="24"/>
          <w:szCs w:val="24"/>
        </w:rPr>
        <w:t>Docente:</w:t>
      </w:r>
      <w:r>
        <w:rPr>
          <w:color w:val="000000"/>
          <w:sz w:val="24"/>
          <w:szCs w:val="24"/>
        </w:rPr>
        <w:t xml:space="preserve">  Isabel Andrea Mahecha Nieto</w:t>
      </w:r>
    </w:p>
    <w:p w:rsidR="00C51DF4" w:rsidRDefault="00C51DF4" w14:paraId="07620E06" w14:textId="77777777">
      <w:pPr>
        <w:spacing w:after="160"/>
      </w:pPr>
    </w:p>
    <w:p w:rsidR="007052CD" w:rsidP="77578E49" w:rsidRDefault="00E00045" w14:paraId="5F004162" w14:textId="1449529D">
      <w:pPr>
        <w:spacing w:after="160"/>
        <w:jc w:val="center"/>
      </w:pPr>
      <w:r w:rsidRPr="77578E49">
        <w:rPr>
          <w:b/>
          <w:bCs/>
          <w:color w:val="000000" w:themeColor="text1"/>
          <w:sz w:val="24"/>
          <w:szCs w:val="24"/>
        </w:rPr>
        <w:t>Integrantes:</w:t>
      </w:r>
    </w:p>
    <w:p w:rsidR="00C51DF4" w:rsidRDefault="00E00045" w14:paraId="186157B6" w14:textId="77777777">
      <w:pPr>
        <w:spacing w:after="160"/>
        <w:jc w:val="center"/>
      </w:pPr>
      <w:r w:rsidRPr="77578E49">
        <w:rPr>
          <w:color w:val="000000" w:themeColor="text1"/>
          <w:sz w:val="24"/>
          <w:szCs w:val="24"/>
        </w:rPr>
        <w:t>Cristian Ricardo Rojas</w:t>
      </w:r>
    </w:p>
    <w:p w:rsidR="18E47153" w:rsidP="77578E49" w:rsidRDefault="18E47153" w14:paraId="2F6CF067" w14:textId="0D079E6C">
      <w:pPr>
        <w:spacing w:after="160"/>
        <w:jc w:val="center"/>
        <w:rPr>
          <w:color w:val="000000" w:themeColor="text1"/>
          <w:sz w:val="24"/>
          <w:szCs w:val="24"/>
        </w:rPr>
      </w:pPr>
      <w:r w:rsidRPr="78A83F5F" w:rsidR="18E47153">
        <w:rPr>
          <w:color w:val="000000" w:themeColor="text1" w:themeTint="FF" w:themeShade="FF"/>
          <w:sz w:val="24"/>
          <w:szCs w:val="24"/>
        </w:rPr>
        <w:t>Juan José González Quintero</w:t>
      </w:r>
    </w:p>
    <w:p w:rsidR="2E143E63" w:rsidP="78A83F5F" w:rsidRDefault="2E143E63" w14:paraId="0E3BD4F0" w14:textId="32E724EC">
      <w:pPr>
        <w:spacing w:after="160"/>
        <w:jc w:val="center"/>
        <w:rPr>
          <w:color w:val="000000" w:themeColor="text1" w:themeTint="FF" w:themeShade="FF"/>
          <w:sz w:val="24"/>
          <w:szCs w:val="24"/>
        </w:rPr>
      </w:pPr>
      <w:r w:rsidRPr="0BB32A8B" w:rsidR="2E143E63">
        <w:rPr>
          <w:color w:val="000000" w:themeColor="text1" w:themeTint="FF" w:themeShade="FF"/>
          <w:sz w:val="24"/>
          <w:szCs w:val="24"/>
        </w:rPr>
        <w:t>Luigy Yesid Nieves Wintaco</w:t>
      </w:r>
    </w:p>
    <w:p w:rsidR="3A7C1BDF" w:rsidP="0BB32A8B" w:rsidRDefault="3A7C1BDF" w14:paraId="7BCFBEA2" w14:textId="45827D46">
      <w:pPr>
        <w:spacing w:after="160"/>
        <w:jc w:val="center"/>
        <w:rPr>
          <w:color w:val="000000" w:themeColor="text1" w:themeTint="FF" w:themeShade="FF"/>
          <w:sz w:val="24"/>
          <w:szCs w:val="24"/>
        </w:rPr>
      </w:pPr>
      <w:r w:rsidRPr="0BB32A8B" w:rsidR="3A7C1BDF">
        <w:rPr>
          <w:color w:val="000000" w:themeColor="text1" w:themeTint="FF" w:themeShade="FF"/>
          <w:sz w:val="24"/>
          <w:szCs w:val="24"/>
        </w:rPr>
        <w:t>Yeison Orlando Hernandez Tibaquira</w:t>
      </w:r>
    </w:p>
    <w:p w:rsidR="00C51DF4" w:rsidRDefault="00C51DF4" w14:paraId="548EE2A3" w14:textId="77777777">
      <w:pPr>
        <w:spacing w:after="160"/>
      </w:pPr>
    </w:p>
    <w:p w:rsidR="0BB32A8B" w:rsidP="0BB32A8B" w:rsidRDefault="0BB32A8B" w14:paraId="3DD92919" w14:textId="79734DFD">
      <w:pPr>
        <w:spacing w:after="160"/>
      </w:pPr>
    </w:p>
    <w:p w:rsidR="0BB32A8B" w:rsidP="0BB32A8B" w:rsidRDefault="0BB32A8B" w14:paraId="03358B22" w14:textId="0A267B51">
      <w:pPr>
        <w:spacing w:after="160"/>
      </w:pPr>
    </w:p>
    <w:p w:rsidR="0BB32A8B" w:rsidP="0BB32A8B" w:rsidRDefault="0BB32A8B" w14:paraId="0C5F7D89" w14:textId="64D11EA5">
      <w:pPr>
        <w:spacing w:after="160"/>
      </w:pPr>
    </w:p>
    <w:p w:rsidR="0BB32A8B" w:rsidP="0BB32A8B" w:rsidRDefault="0BB32A8B" w14:paraId="5B972AC1" w14:textId="48FB7C65">
      <w:pPr>
        <w:spacing w:after="160"/>
      </w:pPr>
    </w:p>
    <w:p w:rsidR="0BB32A8B" w:rsidP="0BB32A8B" w:rsidRDefault="0BB32A8B" w14:paraId="560A4A8D" w14:textId="14050345">
      <w:pPr>
        <w:spacing w:after="160"/>
      </w:pPr>
    </w:p>
    <w:p w:rsidR="0BB32A8B" w:rsidP="0BB32A8B" w:rsidRDefault="0BB32A8B" w14:paraId="19215D39" w14:textId="7A775971">
      <w:pPr>
        <w:spacing w:after="160"/>
      </w:pPr>
    </w:p>
    <w:p w:rsidR="0BB32A8B" w:rsidP="0BB32A8B" w:rsidRDefault="0BB32A8B" w14:paraId="7C87C3E8" w14:textId="04585EF5">
      <w:pPr>
        <w:spacing w:after="160"/>
      </w:pPr>
    </w:p>
    <w:p w:rsidR="0BB32A8B" w:rsidP="0BB32A8B" w:rsidRDefault="0BB32A8B" w14:paraId="63149543" w14:textId="0AB9EEBF">
      <w:pPr>
        <w:spacing w:after="160"/>
      </w:pPr>
    </w:p>
    <w:p w:rsidR="0BB32A8B" w:rsidP="0BB32A8B" w:rsidRDefault="0BB32A8B" w14:paraId="42984E8E" w14:textId="383BA1B7">
      <w:pPr>
        <w:pStyle w:val="Normal"/>
        <w:spacing w:after="160"/>
      </w:pPr>
    </w:p>
    <w:p w:rsidR="00C51DF4" w:rsidRDefault="00E00045" w14:paraId="08996807" w14:textId="77777777">
      <w:pPr>
        <w:spacing w:after="160"/>
        <w:jc w:val="center"/>
      </w:pPr>
      <w:r>
        <w:rPr>
          <w:color w:val="595959"/>
        </w:rPr>
        <w:t>Bogotá D.C., Colombia — 2026</w:t>
      </w:r>
    </w:p>
    <w:p w:rsidR="00C51DF4" w:rsidRDefault="00E00045" w14:paraId="00387BBC" w14:textId="77777777">
      <w:r>
        <w:br w:type="page"/>
      </w:r>
    </w:p>
    <w:p w:rsidR="00C51DF4" w:rsidRDefault="00E00045" w14:paraId="11EF8EB3" w14:textId="77777777">
      <w:pPr>
        <w:pStyle w:val="Ttulo1"/>
      </w:pPr>
      <w:r>
        <w:t>1. Introducción</w:t>
      </w:r>
    </w:p>
    <w:p w:rsidR="00C51DF4" w:rsidRDefault="00E00045" w14:paraId="2E4233BC" w14:textId="094C4E0C">
      <w:pPr>
        <w:spacing w:after="160"/>
        <w:jc w:val="both"/>
      </w:pPr>
      <w:r w:rsidRPr="778FD0F3" w:rsidR="00E00045">
        <w:rPr>
          <w:color w:val="000000" w:themeColor="text1" w:themeTint="FF" w:themeShade="FF"/>
        </w:rPr>
        <w:t xml:space="preserve">El presente documento corresponde a la Entrega Previa 2 (Semana 5) del trabajo grupal de la asignatura Arquitectura de Software. Toma como base la situación problema y la propuesta de aplicación </w:t>
      </w:r>
      <w:r w:rsidRPr="778FD0F3" w:rsidR="00E00045">
        <w:rPr>
          <w:color w:val="000000" w:themeColor="text1" w:themeTint="FF" w:themeShade="FF"/>
        </w:rPr>
        <w:t>CiberEscudo</w:t>
      </w:r>
      <w:r w:rsidRPr="778FD0F3" w:rsidR="00E00045">
        <w:rPr>
          <w:color w:val="000000" w:themeColor="text1" w:themeTint="FF" w:themeShade="FF"/>
        </w:rPr>
        <w:t xml:space="preserve"> definidas en la primera entrega, y avanza en el análisis de los componentes fundamentales de la arquitectura orientada a servicios (SOA), así como en la documentación formal de los patrones de diseño SOA según el marco de referencia de Thomas </w:t>
      </w:r>
      <w:r w:rsidRPr="778FD0F3" w:rsidR="00E00045">
        <w:rPr>
          <w:color w:val="000000" w:themeColor="text1" w:themeTint="FF" w:themeShade="FF"/>
        </w:rPr>
        <w:t>Erl</w:t>
      </w:r>
      <w:r w:rsidRPr="778FD0F3" w:rsidR="00E00045">
        <w:rPr>
          <w:color w:val="000000" w:themeColor="text1" w:themeTint="FF" w:themeShade="FF"/>
        </w:rPr>
        <w:t xml:space="preserve"> (2009).</w:t>
      </w:r>
    </w:p>
    <w:p w:rsidR="00C51DF4" w:rsidRDefault="00E00045" w14:paraId="3CC778D0" w14:textId="77777777">
      <w:pPr>
        <w:spacing w:after="160"/>
        <w:jc w:val="both"/>
      </w:pPr>
      <w:proofErr w:type="spellStart"/>
      <w:r>
        <w:rPr>
          <w:color w:val="000000"/>
        </w:rPr>
        <w:t>CiberEscudo</w:t>
      </w:r>
      <w:proofErr w:type="spellEnd"/>
      <w:r>
        <w:rPr>
          <w:color w:val="000000"/>
        </w:rPr>
        <w:t xml:space="preserve"> es una plataforma web de monitoreo y concientización en ciberseguridad personal que permite a ciudadanos colombianos verificar si sus datos han sido comprometidos en filtraciones de seguridad, recibir alertas en tiempo real y obtener guías de acción en lenguaje claro, apoyándose en la API pública Have I Been </w:t>
      </w:r>
      <w:proofErr w:type="spellStart"/>
      <w:r>
        <w:rPr>
          <w:color w:val="000000"/>
        </w:rPr>
        <w:t>Pwned</w:t>
      </w:r>
      <w:proofErr w:type="spellEnd"/>
      <w:r>
        <w:rPr>
          <w:color w:val="000000"/>
        </w:rPr>
        <w:t xml:space="preserve"> (HIBP) de la categoría Security.</w:t>
      </w:r>
    </w:p>
    <w:p w:rsidR="00C51DF4" w:rsidRDefault="00E00045" w14:paraId="4B72947C" w14:textId="77777777">
      <w:pPr>
        <w:spacing w:after="160"/>
        <w:jc w:val="both"/>
      </w:pPr>
      <w:r w:rsidRPr="77578E49">
        <w:rPr>
          <w:color w:val="000000" w:themeColor="text1"/>
        </w:rPr>
        <w:t>El análisis que se presenta a continuación describe el estado actual de los servicios, proveedores y registro de servicios de CiberEscudo, y documenta tres patrones SOA —Service Registry, Publish-Subscribe y Service Façade— que dan respuesta técnica a la situación problema identificada.</w:t>
      </w:r>
    </w:p>
    <w:p w:rsidR="2414CE5F" w:rsidP="77578E49" w:rsidRDefault="2414CE5F" w14:paraId="0D2F2FB6" w14:textId="5C9EC0A8">
      <w:pPr>
        <w:pStyle w:val="Ttulo1"/>
        <w:rPr>
          <w:sz w:val="24"/>
          <w:szCs w:val="24"/>
        </w:rPr>
      </w:pPr>
      <w:r w:rsidRPr="77578E49">
        <w:rPr>
          <w:sz w:val="24"/>
          <w:szCs w:val="24"/>
        </w:rPr>
        <w:t>Objetivo General</w:t>
      </w:r>
    </w:p>
    <w:p w:rsidR="39312DEA" w:rsidP="77578E49" w:rsidRDefault="39312DEA" w14:paraId="4E24F67F" w14:textId="74373896">
      <w:pPr>
        <w:rPr>
          <w:color w:val="000000" w:themeColor="text1"/>
        </w:rPr>
      </w:pPr>
      <w:r w:rsidRPr="77578E49">
        <w:rPr>
          <w:color w:val="000000" w:themeColor="text1"/>
        </w:rPr>
        <w:t>Implementar una solución basada en Arquitectura Orientada a Servicios (SOA) de tipo API de Have I Been Pwned (HIBP), para llevar a cabo el acceso y la consulta de las posibles filtraciones de datos asociadas a las direcciones de correo electrónico o credenciales de usuario, permitiendo así detectar posibles vulnerabilidades de seguridad y proteger la información.</w:t>
      </w:r>
    </w:p>
    <w:p w:rsidR="2414CE5F" w:rsidP="77578E49" w:rsidRDefault="2414CE5F" w14:paraId="3832DC3A" w14:textId="68B2EF13">
      <w:pPr>
        <w:pStyle w:val="Ttulo1"/>
        <w:rPr>
          <w:sz w:val="24"/>
          <w:szCs w:val="24"/>
        </w:rPr>
      </w:pPr>
      <w:r w:rsidRPr="77578E49">
        <w:rPr>
          <w:sz w:val="24"/>
          <w:szCs w:val="24"/>
        </w:rPr>
        <w:t>Objetivos</w:t>
      </w:r>
      <w:r w:rsidRPr="77578E49">
        <w:rPr>
          <w:sz w:val="32"/>
          <w:szCs w:val="32"/>
        </w:rPr>
        <w:t xml:space="preserve"> </w:t>
      </w:r>
      <w:r w:rsidRPr="77578E49">
        <w:rPr>
          <w:sz w:val="24"/>
          <w:szCs w:val="24"/>
        </w:rPr>
        <w:t>específicos</w:t>
      </w:r>
    </w:p>
    <w:p w:rsidR="1D458B2A" w:rsidP="77578E49" w:rsidRDefault="1D458B2A" w14:paraId="74E6A5C1" w14:textId="77FE639B">
      <w:pPr>
        <w:pStyle w:val="Ttulo1"/>
        <w:numPr>
          <w:ilvl w:val="0"/>
          <w:numId w:val="1"/>
        </w:numPr>
        <w:rPr>
          <w:b w:val="0"/>
          <w:bCs w:val="0"/>
          <w:color w:val="131417"/>
          <w:sz w:val="22"/>
          <w:szCs w:val="22"/>
        </w:rPr>
      </w:pPr>
      <w:r w:rsidRPr="778FD0F3" w:rsidR="517DD89B">
        <w:rPr>
          <w:b w:val="0"/>
          <w:bCs w:val="0"/>
          <w:color w:val="131417"/>
          <w:sz w:val="22"/>
          <w:szCs w:val="22"/>
        </w:rPr>
        <w:t>Analizaremos</w:t>
      </w:r>
      <w:r w:rsidRPr="778FD0F3" w:rsidR="1D458B2A">
        <w:rPr>
          <w:b w:val="0"/>
          <w:bCs w:val="0"/>
          <w:color w:val="131417"/>
          <w:sz w:val="22"/>
          <w:szCs w:val="22"/>
        </w:rPr>
        <w:t xml:space="preserve"> los componentes clave de la Arquitectura Orientada a Servicios (SOA) y a identificar cómo cada uno de ellos contribuye a la solución que proponemos para integrar con la API de </w:t>
      </w:r>
      <w:r w:rsidRPr="778FD0F3" w:rsidR="1D458B2A">
        <w:rPr>
          <w:b w:val="0"/>
          <w:bCs w:val="0"/>
          <w:color w:val="131417"/>
          <w:sz w:val="22"/>
          <w:szCs w:val="22"/>
        </w:rPr>
        <w:t>Have</w:t>
      </w:r>
      <w:r w:rsidRPr="778FD0F3" w:rsidR="1D458B2A">
        <w:rPr>
          <w:b w:val="0"/>
          <w:bCs w:val="0"/>
          <w:color w:val="131417"/>
          <w:sz w:val="22"/>
          <w:szCs w:val="22"/>
        </w:rPr>
        <w:t xml:space="preserve"> I </w:t>
      </w:r>
      <w:r w:rsidRPr="778FD0F3" w:rsidR="1D458B2A">
        <w:rPr>
          <w:b w:val="0"/>
          <w:bCs w:val="0"/>
          <w:color w:val="131417"/>
          <w:sz w:val="22"/>
          <w:szCs w:val="22"/>
        </w:rPr>
        <w:t>Been</w:t>
      </w:r>
      <w:r w:rsidRPr="778FD0F3" w:rsidR="1D458B2A">
        <w:rPr>
          <w:b w:val="0"/>
          <w:bCs w:val="0"/>
          <w:color w:val="131417"/>
          <w:sz w:val="22"/>
          <w:szCs w:val="22"/>
        </w:rPr>
        <w:t xml:space="preserve"> </w:t>
      </w:r>
      <w:r w:rsidRPr="778FD0F3" w:rsidR="1D458B2A">
        <w:rPr>
          <w:b w:val="0"/>
          <w:bCs w:val="0"/>
          <w:color w:val="131417"/>
          <w:sz w:val="22"/>
          <w:szCs w:val="22"/>
        </w:rPr>
        <w:t>Pwned</w:t>
      </w:r>
      <w:r w:rsidRPr="778FD0F3" w:rsidR="1D458B2A">
        <w:rPr>
          <w:b w:val="0"/>
          <w:bCs w:val="0"/>
          <w:color w:val="131417"/>
          <w:sz w:val="22"/>
          <w:szCs w:val="22"/>
        </w:rPr>
        <w:t>.</w:t>
      </w:r>
    </w:p>
    <w:p w:rsidR="77B21113" w:rsidP="77578E49" w:rsidRDefault="77B21113" w14:paraId="027A25B9" w14:textId="2A7BC3C5">
      <w:pPr>
        <w:pStyle w:val="Ttulo1"/>
        <w:numPr>
          <w:ilvl w:val="0"/>
          <w:numId w:val="1"/>
        </w:numPr>
        <w:rPr>
          <w:b w:val="0"/>
          <w:bCs w:val="0"/>
          <w:color w:val="131417"/>
          <w:sz w:val="22"/>
          <w:szCs w:val="22"/>
        </w:rPr>
      </w:pPr>
      <w:r w:rsidRPr="77578E49">
        <w:rPr>
          <w:b w:val="0"/>
          <w:bCs w:val="0"/>
          <w:color w:val="131417"/>
          <w:sz w:val="22"/>
          <w:szCs w:val="22"/>
        </w:rPr>
        <w:t>Diseñar e implementar un servicio que utilice la API de Have I Been Pwned, lo que permitirá hacer consultas sobre posibles brechas de seguridad relacionadas con las cuentas de usuario.</w:t>
      </w:r>
    </w:p>
    <w:p w:rsidR="100FA0B9" w:rsidP="77578E49" w:rsidRDefault="100FA0B9" w14:paraId="0D2F1ABE" w14:textId="288594EF">
      <w:pPr>
        <w:pStyle w:val="Ttulo1"/>
        <w:numPr>
          <w:ilvl w:val="0"/>
          <w:numId w:val="1"/>
        </w:numPr>
        <w:rPr>
          <w:b w:val="0"/>
          <w:bCs w:val="0"/>
          <w:color w:val="131417"/>
          <w:sz w:val="22"/>
          <w:szCs w:val="22"/>
        </w:rPr>
      </w:pPr>
      <w:r w:rsidRPr="77578E49">
        <w:rPr>
          <w:b w:val="0"/>
          <w:bCs w:val="0"/>
          <w:color w:val="131417"/>
          <w:sz w:val="22"/>
          <w:szCs w:val="22"/>
        </w:rPr>
        <w:t>Es importante definir cómo funciona el proveedor de servicios, asegurando que el sistema pueda ofrecer de manera eficiente y accesible el servicio de consulta sobre filtraciones para los usuarios.</w:t>
      </w:r>
    </w:p>
    <w:p w:rsidR="4F58BFEB" w:rsidP="77578E49" w:rsidRDefault="4F58BFEB" w14:paraId="48750789" w14:textId="0219F09A">
      <w:pPr>
        <w:pStyle w:val="Ttulo1"/>
        <w:numPr>
          <w:ilvl w:val="0"/>
          <w:numId w:val="1"/>
        </w:numPr>
        <w:rPr>
          <w:b w:val="0"/>
          <w:bCs w:val="0"/>
          <w:color w:val="131417"/>
          <w:sz w:val="22"/>
          <w:szCs w:val="22"/>
        </w:rPr>
      </w:pPr>
      <w:r w:rsidRPr="77578E49">
        <w:rPr>
          <w:b w:val="0"/>
          <w:bCs w:val="0"/>
          <w:color w:val="131417"/>
          <w:sz w:val="22"/>
          <w:szCs w:val="22"/>
        </w:rPr>
        <w:t>Crea un registro de servicios que te ayude a identificar y gestionar los servicios disponibles en la arquitectura del sistema.</w:t>
      </w:r>
    </w:p>
    <w:p w:rsidR="4F58BFEB" w:rsidP="77578E49" w:rsidRDefault="4F58BFEB" w14:paraId="2BFE9968" w14:textId="30B16595">
      <w:pPr>
        <w:pStyle w:val="Ttulo1"/>
        <w:numPr>
          <w:ilvl w:val="0"/>
          <w:numId w:val="1"/>
        </w:numPr>
        <w:rPr>
          <w:b w:val="0"/>
          <w:bCs w:val="0"/>
          <w:color w:val="131417"/>
          <w:sz w:val="22"/>
          <w:szCs w:val="22"/>
        </w:rPr>
      </w:pPr>
      <w:r w:rsidRPr="77578E49">
        <w:rPr>
          <w:b w:val="0"/>
          <w:bCs w:val="0"/>
          <w:color w:val="131417"/>
          <w:sz w:val="22"/>
          <w:szCs w:val="22"/>
        </w:rPr>
        <w:t>Aplicar patrones de diseño de SOA puede ser una excelente manera de mejorar la organización, la reutilización y la escalabilidad del sistema, especialmente en el contexto de la seguridad de la información.</w:t>
      </w:r>
    </w:p>
    <w:p w:rsidR="77578E49" w:rsidP="77578E49" w:rsidRDefault="77578E49" w14:paraId="12A49895" w14:textId="06F418B3">
      <w:pPr>
        <w:spacing w:after="160"/>
        <w:jc w:val="both"/>
        <w:rPr>
          <w:color w:val="000000" w:themeColor="text1"/>
        </w:rPr>
      </w:pPr>
    </w:p>
    <w:p w:rsidR="00C51DF4" w:rsidRDefault="00E00045" w14:paraId="6124F4C1" w14:textId="5F5AC0B2">
      <w:pPr>
        <w:pStyle w:val="Ttulo1"/>
      </w:pPr>
      <w:r>
        <w:t>2. Análisis de los componentes de la arquitectura orientada a servicios</w:t>
      </w:r>
    </w:p>
    <w:p w:rsidR="00C51DF4" w:rsidRDefault="00E00045" w14:paraId="61CE7E7B" w14:textId="750F10EB">
      <w:pPr>
        <w:spacing w:after="160"/>
        <w:jc w:val="both"/>
      </w:pPr>
      <w:r w:rsidRPr="778FD0F3" w:rsidR="54B9F422">
        <w:rPr>
          <w:color w:val="000000" w:themeColor="text1" w:themeTint="FF" w:themeShade="FF"/>
        </w:rPr>
        <w:t>A continuación</w:t>
      </w:r>
      <w:r w:rsidRPr="778FD0F3" w:rsidR="00E00045">
        <w:rPr>
          <w:color w:val="000000" w:themeColor="text1" w:themeTint="FF" w:themeShade="FF"/>
        </w:rPr>
        <w:t xml:space="preserve"> se describen de manera detallada los principales componentes SOA de </w:t>
      </w:r>
      <w:r w:rsidRPr="778FD0F3" w:rsidR="00E00045">
        <w:rPr>
          <w:color w:val="000000" w:themeColor="text1" w:themeTint="FF" w:themeShade="FF"/>
        </w:rPr>
        <w:t>CiberEscudo</w:t>
      </w:r>
      <w:r w:rsidRPr="778FD0F3" w:rsidR="00E00045">
        <w:rPr>
          <w:color w:val="000000" w:themeColor="text1" w:themeTint="FF" w:themeShade="FF"/>
        </w:rPr>
        <w:t xml:space="preserve">, en perspectiva de la situación problema: la falta de visibilidad, detección oportuna y orientación </w:t>
      </w:r>
      <w:r w:rsidRPr="778FD0F3" w:rsidR="00E00045">
        <w:rPr>
          <w:color w:val="000000" w:themeColor="text1" w:themeTint="FF" w:themeShade="FF"/>
        </w:rPr>
        <w:t>post-brecha</w:t>
      </w:r>
      <w:r w:rsidRPr="778FD0F3" w:rsidR="00E00045">
        <w:rPr>
          <w:color w:val="000000" w:themeColor="text1" w:themeTint="FF" w:themeShade="FF"/>
        </w:rPr>
        <w:t xml:space="preserve"> que enfrentan los ciudadanos colombianos ante filtraciones de datos personales.</w:t>
      </w:r>
    </w:p>
    <w:p w:rsidR="00C51DF4" w:rsidRDefault="00C51DF4" w14:paraId="49D723E0" w14:textId="77777777">
      <w:pPr>
        <w:spacing w:after="80"/>
      </w:pPr>
    </w:p>
    <w:p w:rsidR="00C51DF4" w:rsidRDefault="00E00045" w14:paraId="5D88377E" w14:textId="77777777">
      <w:pPr>
        <w:pStyle w:val="Ttulo2"/>
      </w:pPr>
      <w:r>
        <w:t>2.1 Servicios</w:t>
      </w:r>
    </w:p>
    <w:p w:rsidR="00C51DF4" w:rsidRDefault="00E00045" w14:paraId="4DC5C4EC" w14:textId="77777777">
      <w:pPr>
        <w:spacing w:after="160"/>
        <w:jc w:val="both"/>
      </w:pPr>
      <w:r>
        <w:rPr>
          <w:color w:val="000000"/>
        </w:rPr>
        <w:t xml:space="preserve">En </w:t>
      </w:r>
      <w:proofErr w:type="spellStart"/>
      <w:r>
        <w:rPr>
          <w:color w:val="000000"/>
        </w:rPr>
        <w:t>CiberEscudo</w:t>
      </w:r>
      <w:proofErr w:type="spellEnd"/>
      <w:r>
        <w:rPr>
          <w:color w:val="000000"/>
        </w:rPr>
        <w:t xml:space="preserve"> los servicios son los bloques funcionales del sistema. Cada uno encapsula una capacidad de negocio específica, es desplegable de forma independiente y se comunica con los demás a través de contratos de interfaz bien definidos. Se identifican servicios tanto para usuarios internos (comunicación entre componentes del sistema) como accesibles para todos (expuestos al cliente web a través del API Gateway).</w:t>
      </w:r>
    </w:p>
    <w:p w:rsidR="00C51DF4" w:rsidRDefault="00C51DF4" w14:paraId="37207E02" w14:textId="77777777">
      <w:pPr>
        <w:spacing w:after="80"/>
      </w:pPr>
    </w:p>
    <w:p w:rsidR="00C51DF4" w:rsidRDefault="00E00045" w14:paraId="748ED842" w14:textId="77777777">
      <w:pPr>
        <w:pStyle w:val="Ttulo3"/>
      </w:pPr>
      <w:r>
        <w:t>2.1.1 Servicio de Autenticación y Gestión de Usuarios</w:t>
      </w:r>
    </w:p>
    <w:p w:rsidR="00C51DF4" w:rsidRDefault="00E00045" w14:paraId="270B4B66" w14:textId="77777777">
      <w:pPr>
        <w:spacing w:after="80"/>
        <w:jc w:val="both"/>
      </w:pPr>
      <w:r>
        <w:rPr>
          <w:b/>
          <w:bCs/>
          <w:color w:val="000000"/>
        </w:rPr>
        <w:t xml:space="preserve">Implementación del servicio: </w:t>
      </w:r>
      <w:r>
        <w:rPr>
          <w:color w:val="000000"/>
        </w:rPr>
        <w:t xml:space="preserve">Gestiona el acceso al sistema mediante credenciales fijas definidas como constantes en config.py (APP_USER y APP_PASSWORD). El flujo es el siguiente: el usuario ingresa su usuario y contraseña en el formulario de </w:t>
      </w:r>
      <w:proofErr w:type="spellStart"/>
      <w:r>
        <w:rPr>
          <w:color w:val="000000"/>
        </w:rPr>
        <w:t>login</w:t>
      </w:r>
      <w:proofErr w:type="spellEnd"/>
      <w:r>
        <w:rPr>
          <w:color w:val="000000"/>
        </w:rPr>
        <w:t xml:space="preserve"> de Flask; el módulo los compara directamente con las constantes configuradas mediante una comparación de </w:t>
      </w:r>
      <w:proofErr w:type="spellStart"/>
      <w:r>
        <w:rPr>
          <w:color w:val="000000"/>
        </w:rPr>
        <w:t>strings</w:t>
      </w:r>
      <w:proofErr w:type="spellEnd"/>
      <w:r>
        <w:rPr>
          <w:color w:val="000000"/>
        </w:rPr>
        <w:t xml:space="preserve">; si coinciden, establece </w:t>
      </w:r>
      <w:proofErr w:type="spellStart"/>
      <w:r>
        <w:rPr>
          <w:color w:val="000000"/>
        </w:rPr>
        <w:t>session</w:t>
      </w:r>
      <w:proofErr w:type="spellEnd"/>
      <w:r>
        <w:rPr>
          <w:color w:val="000000"/>
        </w:rPr>
        <w:t>['</w:t>
      </w:r>
      <w:proofErr w:type="spellStart"/>
      <w:r>
        <w:rPr>
          <w:color w:val="000000"/>
        </w:rPr>
        <w:t>logged_in</w:t>
      </w:r>
      <w:proofErr w:type="spellEnd"/>
      <w:r>
        <w:rPr>
          <w:color w:val="000000"/>
        </w:rPr>
        <w:t>'] = True en la sesión de Flask; todas las rutas protegidas verifican esta variable antes de mostrar contenido. No existe registro de usu</w:t>
      </w:r>
      <w:r>
        <w:rPr>
          <w:color w:val="000000"/>
        </w:rPr>
        <w:t xml:space="preserve">arios, no hay base de datos para autenticación, no hay </w:t>
      </w:r>
      <w:proofErr w:type="spellStart"/>
      <w:r>
        <w:rPr>
          <w:color w:val="000000"/>
        </w:rPr>
        <w:t>hashing</w:t>
      </w:r>
      <w:proofErr w:type="spellEnd"/>
      <w:r>
        <w:rPr>
          <w:color w:val="000000"/>
        </w:rPr>
        <w:t xml:space="preserve"> de contraseñas. Es la forma más simple y directa de proteger un MVP local.</w:t>
      </w:r>
    </w:p>
    <w:p w:rsidR="00C51DF4" w:rsidRDefault="00E00045" w14:paraId="77583F6C" w14:textId="77777777">
      <w:pPr>
        <w:spacing w:after="80"/>
        <w:jc w:val="both"/>
      </w:pPr>
      <w:r>
        <w:rPr>
          <w:color w:val="000000"/>
        </w:rPr>
        <w:t xml:space="preserve">Accesible para todos: Sí. Este servicio expone </w:t>
      </w:r>
      <w:proofErr w:type="spellStart"/>
      <w:r>
        <w:rPr>
          <w:color w:val="000000"/>
        </w:rPr>
        <w:t>endpoints</w:t>
      </w:r>
      <w:proofErr w:type="spellEnd"/>
      <w:r>
        <w:rPr>
          <w:color w:val="000000"/>
        </w:rPr>
        <w:t xml:space="preserve"> públicos al cliente web a través del API Gateway.</w:t>
      </w:r>
    </w:p>
    <w:p w:rsidR="00C51DF4" w:rsidRDefault="00E00045" w14:paraId="0F861B5B" w14:textId="77777777">
      <w:pPr>
        <w:spacing w:after="160"/>
        <w:jc w:val="both"/>
      </w:pPr>
      <w:r>
        <w:rPr>
          <w:b/>
          <w:bCs/>
          <w:color w:val="000000"/>
        </w:rPr>
        <w:t xml:space="preserve">Interfaz del servicio: </w:t>
      </w:r>
      <w:r>
        <w:rPr>
          <w:color w:val="000000"/>
        </w:rPr>
        <w:t>POST /</w:t>
      </w:r>
      <w:proofErr w:type="spellStart"/>
      <w:r>
        <w:rPr>
          <w:color w:val="000000"/>
        </w:rPr>
        <w:t>auth</w:t>
      </w:r>
      <w:proofErr w:type="spellEnd"/>
      <w:r>
        <w:rPr>
          <w:color w:val="000000"/>
        </w:rPr>
        <w:t>/</w:t>
      </w:r>
      <w:proofErr w:type="spellStart"/>
      <w:r>
        <w:rPr>
          <w:color w:val="000000"/>
        </w:rPr>
        <w:t>login</w:t>
      </w:r>
      <w:proofErr w:type="spellEnd"/>
      <w:r>
        <w:rPr>
          <w:color w:val="000000"/>
        </w:rPr>
        <w:t xml:space="preserve"> — recibe los campos 'usuario' y 'contraseña' del formulario HTML, los compara con APP_USER y APP_PASSWORD de config.py; si son correctos establece </w:t>
      </w:r>
      <w:proofErr w:type="spellStart"/>
      <w:r>
        <w:rPr>
          <w:color w:val="000000"/>
        </w:rPr>
        <w:t>session</w:t>
      </w:r>
      <w:proofErr w:type="spellEnd"/>
      <w:r>
        <w:rPr>
          <w:color w:val="000000"/>
        </w:rPr>
        <w:t>['</w:t>
      </w:r>
      <w:proofErr w:type="spellStart"/>
      <w:r>
        <w:rPr>
          <w:color w:val="000000"/>
        </w:rPr>
        <w:t>logged_in</w:t>
      </w:r>
      <w:proofErr w:type="spellEnd"/>
      <w:r>
        <w:rPr>
          <w:color w:val="000000"/>
        </w:rPr>
        <w:t>'] = True y redirige al panel; si son incorrectos muestra el formulario con mensaje de error. GET /</w:t>
      </w:r>
      <w:proofErr w:type="spellStart"/>
      <w:r>
        <w:rPr>
          <w:color w:val="000000"/>
        </w:rPr>
        <w:t>auth</w:t>
      </w:r>
      <w:proofErr w:type="spellEnd"/>
      <w:r>
        <w:rPr>
          <w:color w:val="000000"/>
        </w:rPr>
        <w:t>/</w:t>
      </w:r>
      <w:proofErr w:type="spellStart"/>
      <w:r>
        <w:rPr>
          <w:color w:val="000000"/>
        </w:rPr>
        <w:t>logout</w:t>
      </w:r>
      <w:proofErr w:type="spellEnd"/>
      <w:r>
        <w:rPr>
          <w:color w:val="000000"/>
        </w:rPr>
        <w:t xml:space="preserve"> — limpia la sesión con </w:t>
      </w:r>
      <w:proofErr w:type="spellStart"/>
      <w:r>
        <w:rPr>
          <w:color w:val="000000"/>
        </w:rPr>
        <w:t>session.clear</w:t>
      </w:r>
      <w:proofErr w:type="spellEnd"/>
      <w:r>
        <w:rPr>
          <w:color w:val="000000"/>
        </w:rPr>
        <w:t xml:space="preserve">() y redirige al </w:t>
      </w:r>
      <w:proofErr w:type="spellStart"/>
      <w:r>
        <w:rPr>
          <w:color w:val="000000"/>
        </w:rPr>
        <w:t>login</w:t>
      </w:r>
      <w:proofErr w:type="spellEnd"/>
      <w:r>
        <w:rPr>
          <w:color w:val="000000"/>
        </w:rPr>
        <w:t xml:space="preserve">. El decorador @login_required (función auxiliar local) protege todas las rutas del sistema verificando </w:t>
      </w:r>
      <w:proofErr w:type="spellStart"/>
      <w:r>
        <w:rPr>
          <w:color w:val="000000"/>
        </w:rPr>
        <w:t>session.get</w:t>
      </w:r>
      <w:proofErr w:type="spellEnd"/>
      <w:r>
        <w:rPr>
          <w:color w:val="000000"/>
        </w:rPr>
        <w:t>('</w:t>
      </w:r>
      <w:proofErr w:type="spellStart"/>
      <w:r>
        <w:rPr>
          <w:color w:val="000000"/>
        </w:rPr>
        <w:t>logged_in</w:t>
      </w:r>
      <w:proofErr w:type="spellEnd"/>
      <w:r>
        <w:rPr>
          <w:color w:val="000000"/>
        </w:rPr>
        <w:t>').</w:t>
      </w:r>
    </w:p>
    <w:p w:rsidR="00C51DF4" w:rsidRDefault="00C51DF4" w14:paraId="26D4351F" w14:textId="77777777">
      <w:pPr>
        <w:spacing w:after="80"/>
      </w:pPr>
    </w:p>
    <w:p w:rsidR="00C51DF4" w:rsidRDefault="00E00045" w14:paraId="3606AF8B" w14:textId="77777777">
      <w:pPr>
        <w:pStyle w:val="Ttulo3"/>
      </w:pPr>
      <w:r>
        <w:t>2.1.2 Servicio de Monitoreo de Correos</w:t>
      </w:r>
    </w:p>
    <w:p w:rsidR="00C51DF4" w:rsidRDefault="00E00045" w14:paraId="398933B3" w14:textId="77777777">
      <w:pPr>
        <w:spacing w:after="80"/>
        <w:jc w:val="both"/>
      </w:pPr>
      <w:r>
        <w:rPr>
          <w:b/>
          <w:bCs/>
          <w:color w:val="000000"/>
        </w:rPr>
        <w:t xml:space="preserve">Implementación del servicio: </w:t>
      </w:r>
      <w:r>
        <w:rPr>
          <w:color w:val="000000"/>
        </w:rPr>
        <w:t xml:space="preserve">Es el servicio central de </w:t>
      </w:r>
      <w:proofErr w:type="spellStart"/>
      <w:r>
        <w:rPr>
          <w:color w:val="000000"/>
        </w:rPr>
        <w:t>CiberEscudo</w:t>
      </w:r>
      <w:proofErr w:type="spellEnd"/>
      <w:r>
        <w:rPr>
          <w:color w:val="000000"/>
        </w:rPr>
        <w:t xml:space="preserve"> y el núcleo de la solución a la situación problema. Gestiona los correos electrónicos registrados por el usuario y realiza consultas a la API HIBP cuando el usuario ejecuta la verificación desde la interfaz web, usando la librería </w:t>
      </w:r>
      <w:proofErr w:type="spellStart"/>
      <w:r>
        <w:rPr>
          <w:color w:val="000000"/>
        </w:rPr>
        <w:t>requests</w:t>
      </w:r>
      <w:proofErr w:type="spellEnd"/>
      <w:r>
        <w:rPr>
          <w:color w:val="000000"/>
        </w:rPr>
        <w:t xml:space="preserve"> de Python. Implementa un </w:t>
      </w:r>
      <w:proofErr w:type="spellStart"/>
      <w:r>
        <w:rPr>
          <w:color w:val="000000"/>
        </w:rPr>
        <w:t>sleep</w:t>
      </w:r>
      <w:proofErr w:type="spellEnd"/>
      <w:r>
        <w:rPr>
          <w:color w:val="000000"/>
        </w:rPr>
        <w:t xml:space="preserve">() de 1,5 segundos entre solicitudes para no superar el </w:t>
      </w:r>
      <w:proofErr w:type="spellStart"/>
      <w:r>
        <w:rPr>
          <w:color w:val="000000"/>
        </w:rPr>
        <w:t>rate</w:t>
      </w:r>
      <w:proofErr w:type="spellEnd"/>
      <w:r>
        <w:rPr>
          <w:color w:val="000000"/>
        </w:rPr>
        <w:t xml:space="preserve"> </w:t>
      </w:r>
      <w:proofErr w:type="spellStart"/>
      <w:r>
        <w:rPr>
          <w:color w:val="000000"/>
        </w:rPr>
        <w:t>limit</w:t>
      </w:r>
      <w:proofErr w:type="spellEnd"/>
      <w:r>
        <w:rPr>
          <w:color w:val="000000"/>
        </w:rPr>
        <w:t xml:space="preserve"> de la API HIBP. En el MVP local no hay ejecución automática programada: el chequeo es disparado manualmente. Al detectar una brecha nueva</w:t>
      </w:r>
      <w:r>
        <w:rPr>
          <w:color w:val="000000"/>
        </w:rPr>
        <w:t xml:space="preserve">, invoca directamente las funciones </w:t>
      </w:r>
      <w:proofErr w:type="spellStart"/>
      <w:r>
        <w:rPr>
          <w:color w:val="000000"/>
        </w:rPr>
        <w:t>notify</w:t>
      </w:r>
      <w:proofErr w:type="spellEnd"/>
      <w:r>
        <w:rPr>
          <w:color w:val="000000"/>
        </w:rPr>
        <w:t xml:space="preserve">() del módulo de Notificaciones y </w:t>
      </w:r>
      <w:proofErr w:type="spellStart"/>
      <w:r>
        <w:rPr>
          <w:color w:val="000000"/>
        </w:rPr>
        <w:t>register_alert</w:t>
      </w:r>
      <w:proofErr w:type="spellEnd"/>
      <w:r>
        <w:rPr>
          <w:color w:val="000000"/>
        </w:rPr>
        <w:t>() del módulo de Historial mediante llamadas locales a función, sin necesidad de un bus de mensajes externo.</w:t>
      </w:r>
    </w:p>
    <w:p w:rsidR="00C51DF4" w:rsidRDefault="00E00045" w14:paraId="5F912973" w14:textId="77777777">
      <w:pPr>
        <w:spacing w:after="80"/>
        <w:jc w:val="both"/>
      </w:pPr>
      <w:r>
        <w:rPr>
          <w:color w:val="000000"/>
        </w:rPr>
        <w:t>Accesible para todos: Sí (vía API Gateway, con autenticación JWT obligatoria).</w:t>
      </w:r>
    </w:p>
    <w:p w:rsidR="00C51DF4" w:rsidRDefault="00E00045" w14:paraId="5EF00F4C" w14:textId="77777777">
      <w:pPr>
        <w:spacing w:after="160"/>
        <w:jc w:val="both"/>
      </w:pPr>
      <w:r>
        <w:rPr>
          <w:b/>
          <w:bCs/>
          <w:color w:val="000000"/>
        </w:rPr>
        <w:t xml:space="preserve">Interfaz del servicio: </w:t>
      </w:r>
      <w:r>
        <w:rPr>
          <w:color w:val="000000"/>
        </w:rPr>
        <w:t>POST /</w:t>
      </w:r>
      <w:proofErr w:type="spellStart"/>
      <w:r>
        <w:rPr>
          <w:color w:val="000000"/>
        </w:rPr>
        <w:t>monitoring</w:t>
      </w:r>
      <w:proofErr w:type="spellEnd"/>
      <w:r>
        <w:rPr>
          <w:color w:val="000000"/>
        </w:rPr>
        <w:t>/emails (agregar correo a monitoreo), GET /</w:t>
      </w:r>
      <w:proofErr w:type="spellStart"/>
      <w:r>
        <w:rPr>
          <w:color w:val="000000"/>
        </w:rPr>
        <w:t>monitoring</w:t>
      </w:r>
      <w:proofErr w:type="spellEnd"/>
      <w:r>
        <w:rPr>
          <w:color w:val="000000"/>
        </w:rPr>
        <w:t>/emails (listar correos monitorizados del usuario), DELETE /</w:t>
      </w:r>
      <w:proofErr w:type="spellStart"/>
      <w:r>
        <w:rPr>
          <w:color w:val="000000"/>
        </w:rPr>
        <w:t>monitoring</w:t>
      </w:r>
      <w:proofErr w:type="spellEnd"/>
      <w:r>
        <w:rPr>
          <w:color w:val="000000"/>
        </w:rPr>
        <w:t>/emails/{id} (eliminar correo del monitoreo), GET /</w:t>
      </w:r>
      <w:proofErr w:type="spellStart"/>
      <w:r>
        <w:rPr>
          <w:color w:val="000000"/>
        </w:rPr>
        <w:t>monitoring</w:t>
      </w:r>
      <w:proofErr w:type="spellEnd"/>
      <w:r>
        <w:rPr>
          <w:color w:val="000000"/>
        </w:rPr>
        <w:t>/</w:t>
      </w:r>
      <w:proofErr w:type="spellStart"/>
      <w:r>
        <w:rPr>
          <w:color w:val="000000"/>
        </w:rPr>
        <w:t>breaches</w:t>
      </w:r>
      <w:proofErr w:type="spellEnd"/>
      <w:r>
        <w:rPr>
          <w:color w:val="000000"/>
        </w:rPr>
        <w:t>/{email} (consulta inmediata de brechas para un correo específico).</w:t>
      </w:r>
    </w:p>
    <w:p w:rsidR="00C51DF4" w:rsidRDefault="00C51DF4" w14:paraId="3A87AD61" w14:textId="77777777">
      <w:pPr>
        <w:spacing w:after="80"/>
      </w:pPr>
    </w:p>
    <w:p w:rsidR="00C51DF4" w:rsidRDefault="00E00045" w14:paraId="021322C1" w14:textId="77777777">
      <w:pPr>
        <w:pStyle w:val="Ttulo3"/>
      </w:pPr>
      <w:r>
        <w:t>2.1.3 Servicio de Verificación de Contraseñas</w:t>
      </w:r>
    </w:p>
    <w:p w:rsidR="00C51DF4" w:rsidRDefault="00E00045" w14:paraId="332908A7" w14:textId="77777777">
      <w:pPr>
        <w:spacing w:after="80"/>
        <w:jc w:val="both"/>
      </w:pPr>
      <w:r>
        <w:rPr>
          <w:b/>
          <w:bCs/>
          <w:color w:val="000000"/>
        </w:rPr>
        <w:t xml:space="preserve">Implementación del servicio: </w:t>
      </w:r>
      <w:r>
        <w:rPr>
          <w:color w:val="000000"/>
        </w:rPr>
        <w:t>Permite al usuario verificar si una contraseña específica ha sido expuesta en filtraciones conocidas, aplicando el modelo de privacidad k-</w:t>
      </w:r>
      <w:proofErr w:type="spellStart"/>
      <w:r>
        <w:rPr>
          <w:color w:val="000000"/>
        </w:rPr>
        <w:t>Anonymity</w:t>
      </w:r>
      <w:proofErr w:type="spellEnd"/>
      <w:r>
        <w:rPr>
          <w:color w:val="000000"/>
        </w:rPr>
        <w:t xml:space="preserve">. El proceso es el siguiente: la contraseña se </w:t>
      </w:r>
      <w:proofErr w:type="spellStart"/>
      <w:r>
        <w:rPr>
          <w:color w:val="000000"/>
        </w:rPr>
        <w:t>hashea</w:t>
      </w:r>
      <w:proofErr w:type="spellEnd"/>
      <w:r>
        <w:rPr>
          <w:color w:val="000000"/>
        </w:rPr>
        <w:t xml:space="preserve"> con SHA-1 usando </w:t>
      </w:r>
      <w:proofErr w:type="spellStart"/>
      <w:r>
        <w:rPr>
          <w:color w:val="000000"/>
        </w:rPr>
        <w:t>hashlib</w:t>
      </w:r>
      <w:proofErr w:type="spellEnd"/>
      <w:r>
        <w:rPr>
          <w:color w:val="000000"/>
        </w:rPr>
        <w:t xml:space="preserve"> nativo de Python; solo los primeros 5 caracteres del hash (en mayúsculas) se envían a la API HIBP </w:t>
      </w:r>
      <w:proofErr w:type="spellStart"/>
      <w:r>
        <w:rPr>
          <w:color w:val="000000"/>
        </w:rPr>
        <w:t>Passwords</w:t>
      </w:r>
      <w:proofErr w:type="spellEnd"/>
      <w:r>
        <w:rPr>
          <w:color w:val="000000"/>
        </w:rPr>
        <w:t xml:space="preserve"> mediante </w:t>
      </w:r>
      <w:proofErr w:type="spellStart"/>
      <w:r>
        <w:rPr>
          <w:color w:val="000000"/>
        </w:rPr>
        <w:t>requests</w:t>
      </w:r>
      <w:proofErr w:type="spellEnd"/>
      <w:r>
        <w:rPr>
          <w:color w:val="000000"/>
        </w:rPr>
        <w:t>; HIBP retorna todos los hashes que comienzan con esos 5 caracteres; el servidor verifica localmente en memoria si el hash completo aparece en la lista. La contr</w:t>
      </w:r>
      <w:r>
        <w:rPr>
          <w:color w:val="000000"/>
        </w:rPr>
        <w:t>aseña original nunca sale del servidor ni se almacena en ningún momento.</w:t>
      </w:r>
    </w:p>
    <w:p w:rsidR="00C51DF4" w:rsidRDefault="00E00045" w14:paraId="483DAD89" w14:textId="77777777">
      <w:pPr>
        <w:spacing w:after="80"/>
        <w:jc w:val="both"/>
      </w:pPr>
      <w:r>
        <w:rPr>
          <w:color w:val="000000"/>
        </w:rPr>
        <w:t>Accesible para todos: Sí (vía API Gateway, con autenticación JWT). La contraseña se transmite solo a través de HTTPS.</w:t>
      </w:r>
    </w:p>
    <w:p w:rsidR="00C51DF4" w:rsidRDefault="00E00045" w14:paraId="01373A76" w14:textId="77777777">
      <w:pPr>
        <w:spacing w:after="160"/>
        <w:jc w:val="both"/>
      </w:pPr>
      <w:r>
        <w:rPr>
          <w:b/>
          <w:bCs/>
          <w:color w:val="000000"/>
        </w:rPr>
        <w:t xml:space="preserve">Interfaz del servicio: </w:t>
      </w:r>
      <w:r>
        <w:rPr>
          <w:color w:val="000000"/>
        </w:rPr>
        <w:t>POST /</w:t>
      </w:r>
      <w:proofErr w:type="spellStart"/>
      <w:r>
        <w:rPr>
          <w:color w:val="000000"/>
        </w:rPr>
        <w:t>passwords</w:t>
      </w:r>
      <w:proofErr w:type="spellEnd"/>
      <w:r>
        <w:rPr>
          <w:color w:val="000000"/>
        </w:rPr>
        <w:t>/</w:t>
      </w:r>
      <w:proofErr w:type="spellStart"/>
      <w:r>
        <w:rPr>
          <w:color w:val="000000"/>
        </w:rPr>
        <w:t>check</w:t>
      </w:r>
      <w:proofErr w:type="spellEnd"/>
      <w:r>
        <w:rPr>
          <w:color w:val="000000"/>
        </w:rPr>
        <w:t xml:space="preserve"> — Recibe la contraseña en el cuerpo cifrado de la solicitud HTTPS y retorna un objeto JSON con el campo '</w:t>
      </w:r>
      <w:proofErr w:type="spellStart"/>
      <w:r>
        <w:rPr>
          <w:color w:val="000000"/>
        </w:rPr>
        <w:t>count</w:t>
      </w:r>
      <w:proofErr w:type="spellEnd"/>
      <w:r>
        <w:rPr>
          <w:color w:val="000000"/>
        </w:rPr>
        <w:t>' (número de veces que la contraseña aparece en filtraciones; 0 = no comprometida, &gt;0 = comprometida con el número de apariciones).</w:t>
      </w:r>
    </w:p>
    <w:p w:rsidR="00C51DF4" w:rsidRDefault="00C51DF4" w14:paraId="3ECA849A" w14:textId="77777777">
      <w:pPr>
        <w:spacing w:after="80"/>
      </w:pPr>
    </w:p>
    <w:p w:rsidR="00C51DF4" w:rsidRDefault="00E00045" w14:paraId="7A4DE993" w14:textId="77777777">
      <w:pPr>
        <w:pStyle w:val="Ttulo3"/>
      </w:pPr>
      <w:r>
        <w:t>2.1.4 Servicio de Notificaciones</w:t>
      </w:r>
    </w:p>
    <w:p w:rsidR="00C51DF4" w:rsidRDefault="00E00045" w14:paraId="1A06ABB5" w14:textId="77777777">
      <w:pPr>
        <w:spacing w:after="80"/>
        <w:jc w:val="both"/>
      </w:pPr>
      <w:r>
        <w:rPr>
          <w:b/>
          <w:bCs/>
          <w:color w:val="000000"/>
        </w:rPr>
        <w:t xml:space="preserve">Implementación del servicio: </w:t>
      </w:r>
      <w:r>
        <w:rPr>
          <w:color w:val="000000"/>
        </w:rPr>
        <w:t xml:space="preserve">Módulo interno invocado directamente por el Módulo de Monitoreo al detectar una brecha. En el MVP local, el módulo imprime la alerta en consola con un formato claro (nombre de la brecha, datos comprometidos, pasos de acción). Opcionalmente puede configurarse </w:t>
      </w:r>
      <w:proofErr w:type="spellStart"/>
      <w:r>
        <w:rPr>
          <w:color w:val="000000"/>
        </w:rPr>
        <w:t>smtplib</w:t>
      </w:r>
      <w:proofErr w:type="spellEnd"/>
      <w:r>
        <w:rPr>
          <w:color w:val="000000"/>
        </w:rPr>
        <w:t xml:space="preserve"> con un servidor SMTP de desarrollo local como </w:t>
      </w:r>
      <w:proofErr w:type="spellStart"/>
      <w:r>
        <w:rPr>
          <w:color w:val="000000"/>
        </w:rPr>
        <w:t>MailHog</w:t>
      </w:r>
      <w:proofErr w:type="spellEnd"/>
      <w:r>
        <w:rPr>
          <w:color w:val="000000"/>
        </w:rPr>
        <w:t xml:space="preserve"> para simular el envío de correos sin conexión a internet. No requiere credenciales de servicio externo.</w:t>
      </w:r>
    </w:p>
    <w:p w:rsidR="00C51DF4" w:rsidRDefault="00E00045" w14:paraId="0CF6099C" w14:textId="77777777">
      <w:pPr>
        <w:spacing w:after="80"/>
        <w:jc w:val="both"/>
      </w:pPr>
      <w:r>
        <w:rPr>
          <w:color w:val="000000"/>
        </w:rPr>
        <w:t>Accesible para todos: No. Es un módulo de uso interno únicamente, invocado directamente desde el Módulo de Monitoreo.</w:t>
      </w:r>
    </w:p>
    <w:p w:rsidR="00C51DF4" w:rsidRDefault="00E00045" w14:paraId="55DB6AC1" w14:textId="77777777">
      <w:pPr>
        <w:spacing w:after="160"/>
        <w:jc w:val="both"/>
      </w:pPr>
      <w:r>
        <w:rPr>
          <w:b/>
          <w:bCs/>
          <w:color w:val="000000"/>
        </w:rPr>
        <w:t xml:space="preserve">Interfaz del servicio: </w:t>
      </w:r>
      <w:r>
        <w:rPr>
          <w:color w:val="000000"/>
        </w:rPr>
        <w:t xml:space="preserve">Función Python: </w:t>
      </w:r>
      <w:proofErr w:type="spellStart"/>
      <w:r>
        <w:rPr>
          <w:color w:val="000000"/>
        </w:rPr>
        <w:t>notify</w:t>
      </w:r>
      <w:proofErr w:type="spellEnd"/>
      <w:r>
        <w:rPr>
          <w:color w:val="000000"/>
        </w:rPr>
        <w:t>(</w:t>
      </w:r>
      <w:proofErr w:type="spellStart"/>
      <w:r>
        <w:rPr>
          <w:color w:val="000000"/>
        </w:rPr>
        <w:t>user_id</w:t>
      </w:r>
      <w:proofErr w:type="spellEnd"/>
      <w:r>
        <w:rPr>
          <w:color w:val="000000"/>
        </w:rPr>
        <w:t xml:space="preserve">, email, </w:t>
      </w:r>
      <w:proofErr w:type="spellStart"/>
      <w:r>
        <w:rPr>
          <w:color w:val="000000"/>
        </w:rPr>
        <w:t>breach_name</w:t>
      </w:r>
      <w:proofErr w:type="spellEnd"/>
      <w:r>
        <w:rPr>
          <w:color w:val="000000"/>
        </w:rPr>
        <w:t xml:space="preserve">, </w:t>
      </w:r>
      <w:proofErr w:type="spellStart"/>
      <w:r>
        <w:rPr>
          <w:color w:val="000000"/>
        </w:rPr>
        <w:t>data_classes</w:t>
      </w:r>
      <w:proofErr w:type="spellEnd"/>
      <w:r>
        <w:rPr>
          <w:color w:val="000000"/>
        </w:rPr>
        <w:t xml:space="preserve">, </w:t>
      </w:r>
      <w:proofErr w:type="spellStart"/>
      <w:r>
        <w:rPr>
          <w:color w:val="000000"/>
        </w:rPr>
        <w:t>breach_date</w:t>
      </w:r>
      <w:proofErr w:type="spellEnd"/>
      <w:r>
        <w:rPr>
          <w:color w:val="000000"/>
        </w:rPr>
        <w:t>). Recibe los datos de la brecha como parámetros y ejecuta la notificación de forma local (consola o SMTP local).</w:t>
      </w:r>
    </w:p>
    <w:p w:rsidR="00C51DF4" w:rsidRDefault="00C51DF4" w14:paraId="5D9B5A15" w14:textId="77777777">
      <w:pPr>
        <w:spacing w:after="80"/>
      </w:pPr>
    </w:p>
    <w:p w:rsidR="00C51DF4" w:rsidRDefault="00E00045" w14:paraId="2BDBCE04" w14:textId="77777777">
      <w:pPr>
        <w:pStyle w:val="Ttulo3"/>
      </w:pPr>
      <w:r>
        <w:t>2.1.5 Servicio de Guías de Acción</w:t>
      </w:r>
    </w:p>
    <w:p w:rsidR="00C51DF4" w:rsidRDefault="00E00045" w14:paraId="2A7B48FE" w14:textId="77777777">
      <w:pPr>
        <w:spacing w:after="80"/>
        <w:jc w:val="both"/>
      </w:pPr>
      <w:r>
        <w:rPr>
          <w:b/>
          <w:bCs/>
          <w:color w:val="000000"/>
        </w:rPr>
        <w:t xml:space="preserve">Implementación del servicio: </w:t>
      </w:r>
      <w:r>
        <w:rPr>
          <w:color w:val="000000"/>
        </w:rPr>
        <w:t xml:space="preserve">Genera y retorna guías de acción personalizadas en español según el tipo de datos comprometidos en una brecha. Clasifica las brechas por categoría (contraseñas, datos financieros, correos, números de teléfono, documentos de identidad, etc.) y retorna una guía paso a paso priorizada, incluyendo referencias a servicios colombianos cuando el tipo de brecha lo amerita (p. ej., si hay datos financieros comprometidos, la guía menciona los canales de atención de Bancolombia, </w:t>
      </w:r>
      <w:proofErr w:type="spellStart"/>
      <w:r>
        <w:rPr>
          <w:color w:val="000000"/>
        </w:rPr>
        <w:t>Nequi</w:t>
      </w:r>
      <w:proofErr w:type="spellEnd"/>
      <w:r>
        <w:rPr>
          <w:color w:val="000000"/>
        </w:rPr>
        <w:t xml:space="preserve"> y Davivienda). En el MVP local la</w:t>
      </w:r>
      <w:r>
        <w:rPr>
          <w:color w:val="000000"/>
        </w:rPr>
        <w:t>s guías están definidas en un diccionario Python por tipo de dato comprometido y se renderizan con las plantillas Jinja2 que Flask ya incluye, sin necesidad de base de datos separada para este módulo.</w:t>
      </w:r>
    </w:p>
    <w:p w:rsidR="00C51DF4" w:rsidRDefault="00E00045" w14:paraId="56AC146F" w14:textId="77777777">
      <w:pPr>
        <w:spacing w:after="80"/>
        <w:jc w:val="both"/>
      </w:pPr>
      <w:r>
        <w:rPr>
          <w:color w:val="000000"/>
        </w:rPr>
        <w:t>Accesible para todos: Sí (vía API Gateway). También es consumido internamente por el Servicio de Notificaciones para adjuntar la guía en el correo de alerta.</w:t>
      </w:r>
    </w:p>
    <w:p w:rsidR="00C51DF4" w:rsidRDefault="00E00045" w14:paraId="2298D033" w14:textId="77777777">
      <w:pPr>
        <w:spacing w:after="160"/>
        <w:jc w:val="both"/>
      </w:pPr>
      <w:r>
        <w:rPr>
          <w:b/>
          <w:bCs/>
          <w:color w:val="000000"/>
        </w:rPr>
        <w:t xml:space="preserve">Interfaz del servicio: </w:t>
      </w:r>
      <w:r>
        <w:rPr>
          <w:color w:val="000000"/>
        </w:rPr>
        <w:t>GET /guides/{</w:t>
      </w:r>
      <w:proofErr w:type="spellStart"/>
      <w:r>
        <w:rPr>
          <w:color w:val="000000"/>
        </w:rPr>
        <w:t>breachType</w:t>
      </w:r>
      <w:proofErr w:type="spellEnd"/>
      <w:r>
        <w:rPr>
          <w:color w:val="000000"/>
        </w:rPr>
        <w:t>} (retorna guía de acción para un tipo de dato comprometido: '</w:t>
      </w:r>
      <w:proofErr w:type="spellStart"/>
      <w:r>
        <w:rPr>
          <w:color w:val="000000"/>
        </w:rPr>
        <w:t>passwords</w:t>
      </w:r>
      <w:proofErr w:type="spellEnd"/>
      <w:r>
        <w:rPr>
          <w:color w:val="000000"/>
        </w:rPr>
        <w:t>', 'emails', '</w:t>
      </w:r>
      <w:proofErr w:type="spellStart"/>
      <w:r>
        <w:rPr>
          <w:color w:val="000000"/>
        </w:rPr>
        <w:t>financial</w:t>
      </w:r>
      <w:proofErr w:type="spellEnd"/>
      <w:r>
        <w:rPr>
          <w:color w:val="000000"/>
        </w:rPr>
        <w:t>', '</w:t>
      </w:r>
      <w:proofErr w:type="spellStart"/>
      <w:r>
        <w:rPr>
          <w:color w:val="000000"/>
        </w:rPr>
        <w:t>phone</w:t>
      </w:r>
      <w:proofErr w:type="spellEnd"/>
      <w:r>
        <w:rPr>
          <w:color w:val="000000"/>
        </w:rPr>
        <w:t>', etc.), GET /guides/</w:t>
      </w:r>
      <w:proofErr w:type="spellStart"/>
      <w:r>
        <w:rPr>
          <w:color w:val="000000"/>
        </w:rPr>
        <w:t>breach</w:t>
      </w:r>
      <w:proofErr w:type="spellEnd"/>
      <w:r>
        <w:rPr>
          <w:color w:val="000000"/>
        </w:rPr>
        <w:t>/{</w:t>
      </w:r>
      <w:proofErr w:type="spellStart"/>
      <w:r>
        <w:rPr>
          <w:color w:val="000000"/>
        </w:rPr>
        <w:t>breachName</w:t>
      </w:r>
      <w:proofErr w:type="spellEnd"/>
      <w:r>
        <w:rPr>
          <w:color w:val="000000"/>
        </w:rPr>
        <w:t>} (retorna guía específica para una brecha conocida por su nombre en HIBP).</w:t>
      </w:r>
    </w:p>
    <w:p w:rsidR="00C51DF4" w:rsidRDefault="00C51DF4" w14:paraId="5B780141" w14:textId="77777777">
      <w:pPr>
        <w:spacing w:after="80"/>
      </w:pPr>
    </w:p>
    <w:p w:rsidR="00C51DF4" w:rsidRDefault="00E00045" w14:paraId="25D4F474" w14:textId="77777777">
      <w:pPr>
        <w:pStyle w:val="Ttulo3"/>
      </w:pPr>
      <w:r>
        <w:t>2.1.6 Servicio de Historial</w:t>
      </w:r>
    </w:p>
    <w:p w:rsidR="00C51DF4" w:rsidRDefault="00E00045" w14:paraId="75B2D7CF" w14:textId="77777777">
      <w:pPr>
        <w:spacing w:after="80"/>
        <w:jc w:val="both"/>
      </w:pPr>
      <w:r>
        <w:rPr>
          <w:b/>
          <w:bCs/>
          <w:color w:val="000000"/>
        </w:rPr>
        <w:t xml:space="preserve">Implementación del servicio: </w:t>
      </w:r>
      <w:r>
        <w:rPr>
          <w:color w:val="000000"/>
        </w:rPr>
        <w:t>Servicio suscriptor del evento '</w:t>
      </w:r>
      <w:proofErr w:type="spellStart"/>
      <w:r>
        <w:rPr>
          <w:color w:val="000000"/>
        </w:rPr>
        <w:t>breach.detected</w:t>
      </w:r>
      <w:proofErr w:type="spellEnd"/>
      <w:r>
        <w:rPr>
          <w:color w:val="000000"/>
        </w:rPr>
        <w:t xml:space="preserve">'. Persiste el registro de cada alerta generada por usuario, incluyendo fecha de detección, nombre de la brecha, tipos de datos comprometidos y estado de atención (PENDIENTE / ATENDIDA). En el MVP local utiliza la misma base de datos SQLite del proyecto, con una tabla </w:t>
      </w:r>
      <w:proofErr w:type="spellStart"/>
      <w:r>
        <w:rPr>
          <w:color w:val="000000"/>
        </w:rPr>
        <w:t>alerts</w:t>
      </w:r>
      <w:proofErr w:type="spellEnd"/>
      <w:r>
        <w:rPr>
          <w:color w:val="000000"/>
        </w:rPr>
        <w:t xml:space="preserve"> gestionada con </w:t>
      </w:r>
      <w:proofErr w:type="spellStart"/>
      <w:r>
        <w:rPr>
          <w:color w:val="000000"/>
        </w:rPr>
        <w:t>SQLAlchemy</w:t>
      </w:r>
      <w:proofErr w:type="spellEnd"/>
      <w:r>
        <w:rPr>
          <w:color w:val="000000"/>
        </w:rPr>
        <w:t xml:space="preserve">. La exportación del historial se realiza en CSV usando el módulo </w:t>
      </w:r>
      <w:proofErr w:type="spellStart"/>
      <w:r>
        <w:rPr>
          <w:color w:val="000000"/>
        </w:rPr>
        <w:t>csv</w:t>
      </w:r>
      <w:proofErr w:type="spellEnd"/>
      <w:r>
        <w:rPr>
          <w:color w:val="000000"/>
        </w:rPr>
        <w:t xml:space="preserve"> nativo de Python.</w:t>
      </w:r>
    </w:p>
    <w:p w:rsidR="00C51DF4" w:rsidRDefault="00E00045" w14:paraId="690E1FF3" w14:textId="77777777">
      <w:pPr>
        <w:spacing w:after="80"/>
        <w:jc w:val="both"/>
      </w:pPr>
      <w:r>
        <w:rPr>
          <w:color w:val="000000"/>
        </w:rPr>
        <w:t>Accesible para todos: Sí (vía API Gateway, con autenticación JWT). Solo el usuario propietario puede consultar su propio historial.</w:t>
      </w:r>
    </w:p>
    <w:p w:rsidR="00C51DF4" w:rsidP="778FD0F3" w:rsidRDefault="00E00045" w14:paraId="5A0D6D45" w14:textId="1A641B8F">
      <w:pPr>
        <w:spacing w:after="160"/>
        <w:jc w:val="both"/>
      </w:pPr>
      <w:r w:rsidRPr="778FD0F3" w:rsidR="00E00045">
        <w:rPr>
          <w:b w:val="1"/>
          <w:bCs w:val="1"/>
          <w:color w:val="000000" w:themeColor="text1" w:themeTint="FF" w:themeShade="FF"/>
        </w:rPr>
        <w:t xml:space="preserve">Interfaz del servicio: </w:t>
      </w:r>
      <w:r w:rsidRPr="778FD0F3" w:rsidR="00E00045">
        <w:rPr>
          <w:color w:val="000000" w:themeColor="text1" w:themeTint="FF" w:themeShade="FF"/>
        </w:rPr>
        <w:t>GET /</w:t>
      </w:r>
      <w:r w:rsidRPr="778FD0F3" w:rsidR="00E00045">
        <w:rPr>
          <w:color w:val="000000" w:themeColor="text1" w:themeTint="FF" w:themeShade="FF"/>
        </w:rPr>
        <w:t>history</w:t>
      </w:r>
      <w:r w:rsidRPr="778FD0F3" w:rsidR="00E00045">
        <w:rPr>
          <w:color w:val="000000" w:themeColor="text1" w:themeTint="FF" w:themeShade="FF"/>
        </w:rPr>
        <w:t>/{</w:t>
      </w:r>
      <w:r w:rsidRPr="778FD0F3" w:rsidR="00E00045">
        <w:rPr>
          <w:color w:val="000000" w:themeColor="text1" w:themeTint="FF" w:themeShade="FF"/>
        </w:rPr>
        <w:t>userId</w:t>
      </w:r>
      <w:r w:rsidRPr="778FD0F3" w:rsidR="00E00045">
        <w:rPr>
          <w:color w:val="000000" w:themeColor="text1" w:themeTint="FF" w:themeShade="FF"/>
        </w:rPr>
        <w:t>}?</w:t>
      </w:r>
      <w:r w:rsidRPr="778FD0F3" w:rsidR="00E00045">
        <w:rPr>
          <w:color w:val="000000" w:themeColor="text1" w:themeTint="FF" w:themeShade="FF"/>
        </w:rPr>
        <w:t>from</w:t>
      </w:r>
      <w:r w:rsidRPr="778FD0F3" w:rsidR="00E00045">
        <w:rPr>
          <w:color w:val="000000" w:themeColor="text1" w:themeTint="FF" w:themeShade="FF"/>
        </w:rPr>
        <w:t>={fecha}&amp;</w:t>
      </w:r>
      <w:r w:rsidRPr="778FD0F3" w:rsidR="00E00045">
        <w:rPr>
          <w:color w:val="000000" w:themeColor="text1" w:themeTint="FF" w:themeShade="FF"/>
        </w:rPr>
        <w:t>to</w:t>
      </w:r>
      <w:r w:rsidRPr="778FD0F3" w:rsidR="00E00045">
        <w:rPr>
          <w:color w:val="000000" w:themeColor="text1" w:themeTint="FF" w:themeShade="FF"/>
        </w:rPr>
        <w:t>={fecha}&amp;page={n} (historial paginado con filtros de fecha), PATCH /</w:t>
      </w:r>
      <w:r w:rsidRPr="778FD0F3" w:rsidR="00E00045">
        <w:rPr>
          <w:color w:val="000000" w:themeColor="text1" w:themeTint="FF" w:themeShade="FF"/>
        </w:rPr>
        <w:t>history</w:t>
      </w:r>
      <w:r w:rsidRPr="778FD0F3" w:rsidR="00E00045">
        <w:rPr>
          <w:color w:val="000000" w:themeColor="text1" w:themeTint="FF" w:themeShade="FF"/>
        </w:rPr>
        <w:t>/{</w:t>
      </w:r>
      <w:r w:rsidRPr="778FD0F3" w:rsidR="00E00045">
        <w:rPr>
          <w:color w:val="000000" w:themeColor="text1" w:themeTint="FF" w:themeShade="FF"/>
        </w:rPr>
        <w:t>alertId</w:t>
      </w:r>
      <w:r w:rsidRPr="778FD0F3" w:rsidR="00E00045">
        <w:rPr>
          <w:color w:val="000000" w:themeColor="text1" w:themeTint="FF" w:themeShade="FF"/>
        </w:rPr>
        <w:t>}/</w:t>
      </w:r>
      <w:r w:rsidRPr="778FD0F3" w:rsidR="00E00045">
        <w:rPr>
          <w:color w:val="000000" w:themeColor="text1" w:themeTint="FF" w:themeShade="FF"/>
        </w:rPr>
        <w:t>status</w:t>
      </w:r>
      <w:r w:rsidRPr="778FD0F3" w:rsidR="00E00045">
        <w:rPr>
          <w:color w:val="000000" w:themeColor="text1" w:themeTint="FF" w:themeShade="FF"/>
        </w:rPr>
        <w:t xml:space="preserve"> (marcar alerta como ATENDIDA), GET /</w:t>
      </w:r>
      <w:r w:rsidRPr="778FD0F3" w:rsidR="00E00045">
        <w:rPr>
          <w:color w:val="000000" w:themeColor="text1" w:themeTint="FF" w:themeShade="FF"/>
        </w:rPr>
        <w:t>history</w:t>
      </w:r>
      <w:r w:rsidRPr="778FD0F3" w:rsidR="00E00045">
        <w:rPr>
          <w:color w:val="000000" w:themeColor="text1" w:themeTint="FF" w:themeShade="FF"/>
        </w:rPr>
        <w:t>/{</w:t>
      </w:r>
      <w:r w:rsidRPr="778FD0F3" w:rsidR="00E00045">
        <w:rPr>
          <w:color w:val="000000" w:themeColor="text1" w:themeTint="FF" w:themeShade="FF"/>
        </w:rPr>
        <w:t>userId</w:t>
      </w:r>
      <w:r w:rsidRPr="778FD0F3" w:rsidR="00E00045">
        <w:rPr>
          <w:color w:val="000000" w:themeColor="text1" w:themeTint="FF" w:themeShade="FF"/>
        </w:rPr>
        <w:t>}/</w:t>
      </w:r>
      <w:r w:rsidRPr="778FD0F3" w:rsidR="00E00045">
        <w:rPr>
          <w:color w:val="000000" w:themeColor="text1" w:themeTint="FF" w:themeShade="FF"/>
        </w:rPr>
        <w:t>export?format</w:t>
      </w:r>
      <w:r w:rsidRPr="778FD0F3" w:rsidR="00E00045">
        <w:rPr>
          <w:color w:val="000000" w:themeColor="text1" w:themeTint="FF" w:themeShade="FF"/>
        </w:rPr>
        <w:t>=</w:t>
      </w:r>
      <w:r w:rsidRPr="778FD0F3" w:rsidR="00E00045">
        <w:rPr>
          <w:color w:val="000000" w:themeColor="text1" w:themeTint="FF" w:themeShade="FF"/>
        </w:rPr>
        <w:t>pdf|csv</w:t>
      </w:r>
      <w:r w:rsidRPr="778FD0F3" w:rsidR="00E00045">
        <w:rPr>
          <w:color w:val="000000" w:themeColor="text1" w:themeTint="FF" w:themeShade="FF"/>
        </w:rPr>
        <w:t xml:space="preserve"> (exportación del historial completo).</w:t>
      </w:r>
    </w:p>
    <w:p w:rsidR="00C51DF4" w:rsidRDefault="00E00045" w14:paraId="5025DE49" w14:textId="77777777">
      <w:pPr>
        <w:pStyle w:val="Ttulo2"/>
      </w:pPr>
      <w:r>
        <w:t>2.2 Proveedor de servicios</w:t>
      </w:r>
    </w:p>
    <w:p w:rsidR="00C51DF4" w:rsidRDefault="00E00045" w14:paraId="57CD77C6" w14:textId="77777777">
      <w:pPr>
        <w:spacing w:after="160"/>
        <w:jc w:val="both"/>
      </w:pPr>
      <w:r>
        <w:rPr>
          <w:color w:val="000000"/>
        </w:rPr>
        <w:t xml:space="preserve">De acuerdo con el principio SOA, el proveedor de servicios es el componente que crea y ofrece un servicio para que sea utilizado por consumidores, sin que estos necesiten conocer los detalles internos de su implementación. En </w:t>
      </w:r>
      <w:proofErr w:type="spellStart"/>
      <w:r>
        <w:rPr>
          <w:color w:val="000000"/>
        </w:rPr>
        <w:t>CiberEscudo</w:t>
      </w:r>
      <w:proofErr w:type="spellEnd"/>
      <w:r>
        <w:rPr>
          <w:color w:val="000000"/>
        </w:rPr>
        <w:t xml:space="preserve"> se identifican dos tipos:</w:t>
      </w:r>
    </w:p>
    <w:p w:rsidR="00C51DF4" w:rsidRDefault="00C51DF4" w14:paraId="0078DE4B" w14:textId="77777777">
      <w:pPr>
        <w:spacing w:after="80"/>
      </w:pPr>
    </w:p>
    <w:p w:rsidR="00C51DF4" w:rsidRDefault="00E00045" w14:paraId="37F4A449" w14:textId="77777777">
      <w:pPr>
        <w:spacing w:after="120"/>
        <w:jc w:val="both"/>
      </w:pPr>
      <w:r>
        <w:rPr>
          <w:b/>
          <w:bCs/>
          <w:color w:val="000000"/>
        </w:rPr>
        <w:t xml:space="preserve">Proveedor externo — Have I Been </w:t>
      </w:r>
      <w:proofErr w:type="spellStart"/>
      <w:r>
        <w:rPr>
          <w:b/>
          <w:bCs/>
          <w:color w:val="000000"/>
        </w:rPr>
        <w:t>Pwned</w:t>
      </w:r>
      <w:proofErr w:type="spellEnd"/>
      <w:r>
        <w:rPr>
          <w:b/>
          <w:bCs/>
          <w:color w:val="000000"/>
        </w:rPr>
        <w:t xml:space="preserve"> (HIBP): </w:t>
      </w:r>
      <w:r>
        <w:rPr>
          <w:color w:val="000000"/>
        </w:rPr>
        <w:t xml:space="preserve">Es el proveedor del insumo fundamental del sistema: la base de datos de filtraciones de seguridad a nivel mundial, mantenida por Troy Hunt. Ofrece tres </w:t>
      </w:r>
      <w:proofErr w:type="spellStart"/>
      <w:r>
        <w:rPr>
          <w:color w:val="000000"/>
        </w:rPr>
        <w:t>endpoints</w:t>
      </w:r>
      <w:proofErr w:type="spellEnd"/>
      <w:r>
        <w:rPr>
          <w:color w:val="000000"/>
        </w:rPr>
        <w:t xml:space="preserve"> que </w:t>
      </w:r>
      <w:proofErr w:type="spellStart"/>
      <w:r>
        <w:rPr>
          <w:color w:val="000000"/>
        </w:rPr>
        <w:t>CiberEscudo</w:t>
      </w:r>
      <w:proofErr w:type="spellEnd"/>
      <w:r>
        <w:rPr>
          <w:color w:val="000000"/>
        </w:rPr>
        <w:t xml:space="preserve"> consume: (1) /</w:t>
      </w:r>
      <w:proofErr w:type="spellStart"/>
      <w:r>
        <w:rPr>
          <w:color w:val="000000"/>
        </w:rPr>
        <w:t>breachedaccount</w:t>
      </w:r>
      <w:proofErr w:type="spellEnd"/>
      <w:r>
        <w:rPr>
          <w:color w:val="000000"/>
        </w:rPr>
        <w:t>/{email}: lista de brechas que contienen el correo especificado; (2) /</w:t>
      </w:r>
      <w:proofErr w:type="spellStart"/>
      <w:r>
        <w:rPr>
          <w:color w:val="000000"/>
        </w:rPr>
        <w:t>range</w:t>
      </w:r>
      <w:proofErr w:type="spellEnd"/>
      <w:r>
        <w:rPr>
          <w:color w:val="000000"/>
        </w:rPr>
        <w:t>/{</w:t>
      </w:r>
      <w:proofErr w:type="spellStart"/>
      <w:r>
        <w:rPr>
          <w:color w:val="000000"/>
        </w:rPr>
        <w:t>prefix</w:t>
      </w:r>
      <w:proofErr w:type="spellEnd"/>
      <w:r>
        <w:rPr>
          <w:color w:val="000000"/>
        </w:rPr>
        <w:t>}: verificación de contraseñas por k-</w:t>
      </w:r>
      <w:proofErr w:type="spellStart"/>
      <w:r>
        <w:rPr>
          <w:color w:val="000000"/>
        </w:rPr>
        <w:t>Anonymity</w:t>
      </w:r>
      <w:proofErr w:type="spellEnd"/>
      <w:r>
        <w:rPr>
          <w:color w:val="000000"/>
        </w:rPr>
        <w:t>; (3) /</w:t>
      </w:r>
      <w:proofErr w:type="spellStart"/>
      <w:r>
        <w:rPr>
          <w:color w:val="000000"/>
        </w:rPr>
        <w:t>breaches</w:t>
      </w:r>
      <w:proofErr w:type="spellEnd"/>
      <w:r>
        <w:rPr>
          <w:color w:val="000000"/>
        </w:rPr>
        <w:t xml:space="preserve">: catálogo completo de brechas conocidas con metadatos. </w:t>
      </w:r>
      <w:proofErr w:type="spellStart"/>
      <w:r>
        <w:rPr>
          <w:color w:val="000000"/>
        </w:rPr>
        <w:t>CiberEscudo</w:t>
      </w:r>
      <w:proofErr w:type="spellEnd"/>
      <w:r>
        <w:rPr>
          <w:color w:val="000000"/>
        </w:rPr>
        <w:t xml:space="preserve"> actúa como consumidor de este proveedor externo a través del Servicio de Monito</w:t>
      </w:r>
      <w:r>
        <w:rPr>
          <w:color w:val="000000"/>
        </w:rPr>
        <w:t>reo y el Servicio de Verificación de Contraseñas, utilizando un módulo adaptador (</w:t>
      </w:r>
      <w:proofErr w:type="spellStart"/>
      <w:r>
        <w:rPr>
          <w:color w:val="000000"/>
        </w:rPr>
        <w:t>Adapter</w:t>
      </w:r>
      <w:proofErr w:type="spellEnd"/>
      <w:r>
        <w:rPr>
          <w:color w:val="000000"/>
        </w:rPr>
        <w:t xml:space="preserve"> </w:t>
      </w:r>
      <w:proofErr w:type="spellStart"/>
      <w:r>
        <w:rPr>
          <w:color w:val="000000"/>
        </w:rPr>
        <w:t>Pattern</w:t>
      </w:r>
      <w:proofErr w:type="spellEnd"/>
      <w:r>
        <w:rPr>
          <w:color w:val="000000"/>
        </w:rPr>
        <w:t>) que abstrae la versión de la API (actualmente v3) del resto del sistema.</w:t>
      </w:r>
    </w:p>
    <w:p w:rsidR="00C51DF4" w:rsidRDefault="00E00045" w14:paraId="3F4F5179" w14:textId="77777777">
      <w:pPr>
        <w:spacing w:after="120"/>
        <w:jc w:val="both"/>
      </w:pPr>
      <w:r>
        <w:rPr>
          <w:b/>
          <w:bCs/>
          <w:color w:val="000000"/>
        </w:rPr>
        <w:t xml:space="preserve">Proveedor interno — Plataforma </w:t>
      </w:r>
      <w:proofErr w:type="spellStart"/>
      <w:r>
        <w:rPr>
          <w:b/>
          <w:bCs/>
          <w:color w:val="000000"/>
        </w:rPr>
        <w:t>CiberEscudo</w:t>
      </w:r>
      <w:proofErr w:type="spellEnd"/>
      <w:r>
        <w:rPr>
          <w:b/>
          <w:bCs/>
          <w:color w:val="000000"/>
        </w:rPr>
        <w:t xml:space="preserve">: </w:t>
      </w:r>
      <w:r>
        <w:rPr>
          <w:color w:val="000000"/>
        </w:rPr>
        <w:t>La propia plataforma actúa como proveedora de servicios para sus consumidores internos y externos. Los servicios se ofrecen de la siguiente manera: el Servicio de Autenticación provee validación de tokens a todos los demás servicios internos; el Servicio de Guías de Acción provee contenido tanto al Servicio de Notificaciones (para adjuntar guías en correos de alerta) como al cliente web (para mostrar guías en el panel de usuario); el Servicio de Monitoreo provee eventos al bus de mensajes para los suscripto</w:t>
      </w:r>
      <w:r>
        <w:rPr>
          <w:color w:val="000000"/>
        </w:rPr>
        <w:t xml:space="preserve">res. Cada servicio proveedor documenta su contrato mediante especificación </w:t>
      </w:r>
      <w:proofErr w:type="spellStart"/>
      <w:r>
        <w:rPr>
          <w:color w:val="000000"/>
        </w:rPr>
        <w:t>OpenAPI</w:t>
      </w:r>
      <w:proofErr w:type="spellEnd"/>
      <w:r>
        <w:rPr>
          <w:color w:val="000000"/>
        </w:rPr>
        <w:t xml:space="preserve"> 3.0 (Swagger), publicada y consultable en el API Gateway, siguiendo el principio SOA de capacidad de descripción del servicio.</w:t>
      </w:r>
    </w:p>
    <w:p w:rsidR="00C51DF4" w:rsidRDefault="00E00045" w14:paraId="60F562CD" w14:textId="77777777">
      <w:pPr>
        <w:spacing w:after="160"/>
        <w:jc w:val="both"/>
      </w:pPr>
      <w:r>
        <w:rPr>
          <w:color w:val="000000"/>
        </w:rPr>
        <w:t>La separación entre proveedores externos e internos garantiza que una eventual interrupción o cambio de versión de HIBP solo impacte al módulo adaptador del Servicio de Monitoreo, sin propagarse al resto de los servicios del sistema.</w:t>
      </w:r>
    </w:p>
    <w:p w:rsidR="00C51DF4" w:rsidRDefault="00C51DF4" w14:paraId="40DC3621" w14:textId="77777777">
      <w:pPr>
        <w:spacing w:after="80"/>
      </w:pPr>
    </w:p>
    <w:p w:rsidR="00C51DF4" w:rsidRDefault="00E00045" w14:paraId="5B1559CB" w14:textId="77777777">
      <w:pPr>
        <w:pStyle w:val="Ttulo2"/>
      </w:pPr>
      <w:r>
        <w:t>2.3 Registro de los servicios disponibles</w:t>
      </w:r>
    </w:p>
    <w:p w:rsidR="00C51DF4" w:rsidRDefault="00E00045" w14:paraId="5D22975D" w14:textId="77777777">
      <w:pPr>
        <w:spacing w:after="160"/>
        <w:jc w:val="both"/>
      </w:pPr>
      <w:r>
        <w:rPr>
          <w:color w:val="000000"/>
        </w:rPr>
        <w:t xml:space="preserve">El registro de servicios es el componente SOA que centraliza el catálogo de servicios disponibles, permitiendo que los consumidores conozcan los servicios que necesitan invocar. En el MVP local de </w:t>
      </w:r>
      <w:proofErr w:type="spellStart"/>
      <w:r>
        <w:rPr>
          <w:color w:val="000000"/>
        </w:rPr>
        <w:t>CiberEscudo</w:t>
      </w:r>
      <w:proofErr w:type="spellEnd"/>
      <w:r>
        <w:rPr>
          <w:color w:val="000000"/>
        </w:rPr>
        <w:t xml:space="preserve"> se implementa mediante un archivo de configuración Python (config.py) que actúa como registro estático de los módulos del sistema.</w:t>
      </w:r>
    </w:p>
    <w:p w:rsidR="00C51DF4" w:rsidRDefault="00C51DF4" w14:paraId="1315A3BA" w14:textId="77777777"/>
    <w:p w:rsidR="00C51DF4" w:rsidRDefault="00E00045" w14:paraId="4036E159" w14:textId="77777777">
      <w:pPr>
        <w:spacing w:after="160"/>
        <w:jc w:val="both"/>
      </w:pPr>
      <w:r>
        <w:rPr>
          <w:color w:val="000000"/>
        </w:rPr>
        <w:t xml:space="preserve">El funcionamiento del registro en </w:t>
      </w:r>
      <w:proofErr w:type="spellStart"/>
      <w:r>
        <w:rPr>
          <w:color w:val="000000"/>
        </w:rPr>
        <w:t>CiberEscudo</w:t>
      </w:r>
      <w:proofErr w:type="spellEnd"/>
      <w:r>
        <w:rPr>
          <w:color w:val="000000"/>
        </w:rPr>
        <w:t xml:space="preserve"> es el siguiente:</w:t>
      </w:r>
    </w:p>
    <w:p w:rsidR="00C51DF4" w:rsidRDefault="00E00045" w14:paraId="146FF7D0" w14:textId="77777777">
      <w:pPr>
        <w:pStyle w:val="Prrafodelista"/>
        <w:numPr>
          <w:ilvl w:val="0"/>
          <w:numId w:val="3"/>
        </w:numPr>
        <w:spacing w:after="100"/>
      </w:pPr>
      <w:r>
        <w:rPr>
          <w:color w:val="000000"/>
        </w:rPr>
        <w:t xml:space="preserve">En el MVP local, el registro de servicios se implementa mediante un archivo de configuración Python (config.py) que centraliza las </w:t>
      </w:r>
      <w:proofErr w:type="spellStart"/>
      <w:r>
        <w:rPr>
          <w:color w:val="000000"/>
        </w:rPr>
        <w:t>URLs</w:t>
      </w:r>
      <w:proofErr w:type="spellEnd"/>
      <w:r>
        <w:rPr>
          <w:color w:val="000000"/>
        </w:rPr>
        <w:t xml:space="preserve"> de cada módulo en localhost con su puerto asignado (ej. AUTH_URL = 'http://localhost:5001', MONITORING_URL = 'http://localhost:5002'). No se requiere un servidor de registro externo como Consul para el funcionamiento local.</w:t>
      </w:r>
    </w:p>
    <w:p w:rsidR="00C51DF4" w:rsidRDefault="00E00045" w14:paraId="2682B04B" w14:textId="77777777">
      <w:pPr>
        <w:pStyle w:val="Prrafodelista"/>
        <w:numPr>
          <w:ilvl w:val="0"/>
          <w:numId w:val="3"/>
        </w:numPr>
        <w:spacing w:after="100"/>
      </w:pPr>
      <w:r>
        <w:rPr>
          <w:color w:val="000000"/>
        </w:rPr>
        <w:t>El archivo config.py centraliza las rutas de importación y los puertos de cada módulo Flask (AUTH: 5001, MONITORING: 5002, PASSWORDS: 5003, GUIDES: 5004, HISTORY: 5005). Cualquier cambio de puerto o ruta se actualiza en un solo lugar.</w:t>
      </w:r>
    </w:p>
    <w:p w:rsidR="00C51DF4" w:rsidRDefault="00E00045" w14:paraId="7EB1FCE4" w14:textId="77777777">
      <w:pPr>
        <w:pStyle w:val="Prrafodelista"/>
        <w:numPr>
          <w:ilvl w:val="0"/>
          <w:numId w:val="3"/>
        </w:numPr>
        <w:spacing w:after="100"/>
      </w:pPr>
      <w:r>
        <w:rPr>
          <w:color w:val="000000"/>
        </w:rPr>
        <w:t>Cada módulo Flask expone una ruta /</w:t>
      </w:r>
      <w:proofErr w:type="spellStart"/>
      <w:r>
        <w:rPr>
          <w:color w:val="000000"/>
        </w:rPr>
        <w:t>health</w:t>
      </w:r>
      <w:proofErr w:type="spellEnd"/>
      <w:r>
        <w:rPr>
          <w:color w:val="000000"/>
        </w:rPr>
        <w:t xml:space="preserve"> que retorna {'status': 'ok'}. En el MVP local este </w:t>
      </w:r>
      <w:proofErr w:type="spellStart"/>
      <w:r>
        <w:rPr>
          <w:color w:val="000000"/>
        </w:rPr>
        <w:t>endpoint</w:t>
      </w:r>
      <w:proofErr w:type="spellEnd"/>
      <w:r>
        <w:rPr>
          <w:color w:val="000000"/>
        </w:rPr>
        <w:t xml:space="preserve"> permite verificar manualmente qué módulos están activos antes de ejecutar una sesión de prueba.</w:t>
      </w:r>
    </w:p>
    <w:p w:rsidR="00C51DF4" w:rsidRDefault="00E00045" w14:paraId="0D3FBA41" w14:textId="77777777">
      <w:pPr>
        <w:pStyle w:val="Prrafodelista"/>
        <w:numPr>
          <w:ilvl w:val="0"/>
          <w:numId w:val="3"/>
        </w:numPr>
        <w:spacing w:after="100"/>
      </w:pPr>
      <w:r>
        <w:rPr>
          <w:color w:val="000000"/>
        </w:rPr>
        <w:t>Cuando se despliega una nueva instancia de un servicio (por ejemplo, una segunda instancia del Servicio de Monitoreo durante un pico de carga), esta se registra automáticamente y el Gateway comienza a distribuir el tráfico entre ambas instancias mediante round-</w:t>
      </w:r>
      <w:proofErr w:type="spellStart"/>
      <w:r>
        <w:rPr>
          <w:color w:val="000000"/>
        </w:rPr>
        <w:t>robin</w:t>
      </w:r>
      <w:proofErr w:type="spellEnd"/>
      <w:r>
        <w:rPr>
          <w:color w:val="000000"/>
        </w:rPr>
        <w:t>, sin ninguna intervención manual.</w:t>
      </w:r>
    </w:p>
    <w:p w:rsidR="00C51DF4" w:rsidRDefault="00E00045" w14:paraId="60D91A2A" w14:textId="77777777">
      <w:pPr>
        <w:pStyle w:val="Prrafodelista"/>
        <w:numPr>
          <w:ilvl w:val="0"/>
          <w:numId w:val="3"/>
        </w:numPr>
        <w:spacing w:after="100"/>
      </w:pPr>
      <w:r>
        <w:rPr>
          <w:color w:val="000000"/>
        </w:rPr>
        <w:t xml:space="preserve">El registro también almacena metadatos de configuración de cada servicio: entorno de despliegue (desarrollo / producción), etiquetas de capacidad y la URL de su especificación </w:t>
      </w:r>
      <w:proofErr w:type="spellStart"/>
      <w:r>
        <w:rPr>
          <w:color w:val="000000"/>
        </w:rPr>
        <w:t>OpenAPI</w:t>
      </w:r>
      <w:proofErr w:type="spellEnd"/>
      <w:r>
        <w:rPr>
          <w:color w:val="000000"/>
        </w:rPr>
        <w:t>, funcionando como catálogo de descripción de servicios.</w:t>
      </w:r>
    </w:p>
    <w:p w:rsidR="00C51DF4" w:rsidRDefault="00C51DF4" w14:paraId="03CDB333" w14:textId="77777777">
      <w:pPr>
        <w:spacing w:after="80"/>
      </w:pPr>
    </w:p>
    <w:p w:rsidR="00C51DF4" w:rsidRDefault="00E00045" w14:paraId="05605B43" w14:textId="77777777">
      <w:pPr>
        <w:spacing w:after="160"/>
        <w:jc w:val="both"/>
      </w:pPr>
      <w:r>
        <w:rPr>
          <w:color w:val="000000"/>
        </w:rPr>
        <w:t>Este mecanismo garantiza que el sistema pueda escalar horizontalmente ante picos de demanda y recuperarse de fallos parciales sin tiempo de inactividad, alineándose con los requerimientos no funcionales de disponibilidad (RNF-03) y escalabilidad (RNF-05) definidos en la Entrega 1.</w:t>
      </w:r>
    </w:p>
    <w:p w:rsidR="00C51DF4" w:rsidRDefault="00E00045" w14:paraId="5C99C180" w14:textId="77777777">
      <w:r>
        <w:br w:type="page"/>
      </w:r>
    </w:p>
    <w:p w:rsidR="00C51DF4" w:rsidRDefault="00E00045" w14:paraId="11A13321" w14:textId="77777777">
      <w:pPr>
        <w:pStyle w:val="Ttulo1"/>
      </w:pPr>
      <w:r>
        <w:t>3. Documentación de patrones de arquitectura SOA — Thomas Erl (2009)</w:t>
      </w:r>
    </w:p>
    <w:p w:rsidR="00C51DF4" w:rsidRDefault="00E00045" w14:paraId="7033347B" w14:textId="77777777">
      <w:pPr>
        <w:spacing w:after="160"/>
        <w:jc w:val="both"/>
      </w:pPr>
      <w:r>
        <w:rPr>
          <w:color w:val="000000"/>
        </w:rPr>
        <w:t xml:space="preserve">A continuación se documentan los tres patrones de arquitectura SOA seleccionados para </w:t>
      </w:r>
      <w:proofErr w:type="spellStart"/>
      <w:r>
        <w:rPr>
          <w:color w:val="000000"/>
        </w:rPr>
        <w:t>CiberEscudo</w:t>
      </w:r>
      <w:proofErr w:type="spellEnd"/>
      <w:r>
        <w:rPr>
          <w:color w:val="000000"/>
        </w:rPr>
        <w:t xml:space="preserve">, siguiendo el formato de documentación propuesto por Erl (2009) en SOA </w:t>
      </w:r>
      <w:proofErr w:type="spellStart"/>
      <w:r>
        <w:rPr>
          <w:color w:val="000000"/>
        </w:rPr>
        <w:t>Design</w:t>
      </w:r>
      <w:proofErr w:type="spellEnd"/>
      <w:r>
        <w:rPr>
          <w:color w:val="000000"/>
        </w:rPr>
        <w:t xml:space="preserve"> </w:t>
      </w:r>
      <w:proofErr w:type="spellStart"/>
      <w:r>
        <w:rPr>
          <w:color w:val="000000"/>
        </w:rPr>
        <w:t>Patterns</w:t>
      </w:r>
      <w:proofErr w:type="spellEnd"/>
      <w:r>
        <w:rPr>
          <w:color w:val="000000"/>
        </w:rPr>
        <w:t>. Cada patrón incluye su requerimiento, resumen (problema, solución, aplicación e impacto) y relaciones con los demás patrones. Se argumenta en cada caso por qué el patrón es parte de la solución a la situación problema identificada.</w:t>
      </w:r>
    </w:p>
    <w:p w:rsidR="00C51DF4" w:rsidRDefault="00C51DF4" w14:paraId="77713510" w14:textId="77777777">
      <w:pPr>
        <w:spacing w:after="80"/>
      </w:pPr>
    </w:p>
    <w:p w:rsidR="00C51DF4" w:rsidRDefault="00E00045" w14:paraId="4D0D93AF" w14:textId="77777777">
      <w:pPr>
        <w:pStyle w:val="Ttulo2"/>
      </w:pPr>
      <w:r>
        <w:t xml:space="preserve">3.1 Patrón 1: Service </w:t>
      </w:r>
      <w:proofErr w:type="spellStart"/>
      <w:r>
        <w:t>Registry</w:t>
      </w:r>
      <w:proofErr w:type="spellEnd"/>
      <w:r>
        <w:t xml:space="preserve"> (Registro de Servicios)</w:t>
      </w:r>
    </w:p>
    <w:p w:rsidR="00C51DF4" w:rsidRDefault="00C51DF4" w14:paraId="1CE77792"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96"/>
        <w:gridCol w:w="6864"/>
      </w:tblGrid>
      <w:tr w:rsidR="00C51DF4" w:rsidTr="4C161BAD" w14:paraId="75963441" w14:textId="77777777">
        <w:trPr>
          <w:tblHeader/>
        </w:trPr>
        <w:tc>
          <w:tcPr>
            <w:tcW w:w="9360" w:type="dxa"/>
            <w:gridSpan w:val="2"/>
            <w:tcBorders>
              <w:top w:val="single" w:color="CCCCCC" w:sz="1" w:space="0"/>
              <w:left w:val="single" w:color="CCCCCC" w:sz="1" w:space="0"/>
              <w:bottom w:val="single" w:color="CCCCCC" w:sz="1" w:space="0"/>
              <w:right w:val="single" w:color="CCCCCC" w:sz="1" w:space="0"/>
            </w:tcBorders>
            <w:shd w:val="clear" w:color="auto" w:fill="1F6FA8"/>
            <w:tcMar>
              <w:top w:w="120" w:type="dxa"/>
              <w:left w:w="140" w:type="dxa"/>
              <w:bottom w:w="120" w:type="dxa"/>
              <w:right w:w="140" w:type="dxa"/>
            </w:tcMar>
          </w:tcPr>
          <w:p w:rsidR="00C51DF4" w:rsidRDefault="00E00045" w14:paraId="76E2CB17" w14:textId="77777777">
            <w:pPr>
              <w:jc w:val="center"/>
            </w:pPr>
            <w:r>
              <w:rPr>
                <w:b/>
                <w:bCs/>
                <w:color w:val="FFFFFF"/>
                <w:sz w:val="24"/>
                <w:szCs w:val="24"/>
              </w:rPr>
              <w:t xml:space="preserve">Patrón SOA: </w:t>
            </w:r>
            <w:r>
              <w:rPr>
                <w:b/>
                <w:bCs/>
                <w:color w:val="D5E8F0"/>
                <w:sz w:val="24"/>
                <w:szCs w:val="24"/>
              </w:rPr>
              <w:t xml:space="preserve">Service </w:t>
            </w:r>
            <w:proofErr w:type="spellStart"/>
            <w:r>
              <w:rPr>
                <w:b/>
                <w:bCs/>
                <w:color w:val="D5E8F0"/>
                <w:sz w:val="24"/>
                <w:szCs w:val="24"/>
              </w:rPr>
              <w:t>Registry</w:t>
            </w:r>
            <w:proofErr w:type="spellEnd"/>
          </w:p>
        </w:tc>
      </w:tr>
      <w:tr w:rsidR="00C51DF4" w:rsidTr="4C161BAD" w14:paraId="6AB57C74"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1E5F880B" w14:textId="77777777">
            <w:pPr>
              <w:jc w:val="center"/>
            </w:pPr>
            <w:r>
              <w:rPr>
                <w:b/>
                <w:bCs/>
                <w:color w:val="FFFFFF"/>
                <w:sz w:val="20"/>
                <w:szCs w:val="20"/>
              </w:rPr>
              <w:t>Característica</w:t>
            </w:r>
          </w:p>
        </w:tc>
        <w:tc>
          <w:tcPr>
            <w:tcW w:w="686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51F2CD29" w14:textId="77777777">
            <w:pPr>
              <w:jc w:val="center"/>
            </w:pPr>
            <w:r>
              <w:rPr>
                <w:b/>
                <w:bCs/>
                <w:color w:val="FFFFFF"/>
                <w:sz w:val="20"/>
                <w:szCs w:val="20"/>
              </w:rPr>
              <w:t>Descripción / descripción de la categoría</w:t>
            </w:r>
          </w:p>
        </w:tc>
      </w:tr>
      <w:tr w:rsidR="00C51DF4" w:rsidTr="4C161BAD" w14:paraId="00FF2F0D"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4F7450D2" w14:textId="77777777">
            <w:pPr>
              <w:jc w:val="center"/>
            </w:pPr>
            <w:r>
              <w:rPr>
                <w:b/>
                <w:bCs/>
                <w:i/>
                <w:iCs/>
                <w:color w:val="000000"/>
                <w:sz w:val="21"/>
                <w:szCs w:val="21"/>
              </w:rPr>
              <w:t>Requerimiento</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3C4D6A98" w14:textId="77777777">
            <w:pPr>
              <w:jc w:val="both"/>
            </w:pPr>
            <w:r>
              <w:rPr>
                <w:color w:val="000000"/>
                <w:sz w:val="21"/>
                <w:szCs w:val="21"/>
              </w:rPr>
              <w:t xml:space="preserve">¿Cómo pueden los servicios de </w:t>
            </w:r>
            <w:proofErr w:type="spellStart"/>
            <w:r>
              <w:rPr>
                <w:color w:val="000000"/>
                <w:sz w:val="21"/>
                <w:szCs w:val="21"/>
              </w:rPr>
              <w:t>CiberEscudo</w:t>
            </w:r>
            <w:proofErr w:type="spellEnd"/>
            <w:r>
              <w:rPr>
                <w:color w:val="000000"/>
                <w:sz w:val="21"/>
                <w:szCs w:val="21"/>
              </w:rPr>
              <w:t xml:space="preserve"> descubrirse mutuamente de forma dinámica, sin acoplamiento directo a ubicaciones fijas de infraestructura, garantizando que el sistema pueda escalar y recuperarse de fallos sin intervención manual?</w:t>
            </w:r>
          </w:p>
        </w:tc>
      </w:tr>
      <w:tr w:rsidR="77578E49" w:rsidTr="4C161BAD" w14:paraId="535CD8C9" w14:textId="77777777">
        <w:trPr>
          <w:trHeight w:val="300"/>
        </w:trPr>
        <w:tc>
          <w:tcPr>
            <w:tcW w:w="249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4F8FCD69" w:rsidP="77578E49" w:rsidRDefault="4F8FCD69" w14:paraId="31BF9AE5" w14:textId="56E0EF27">
            <w:pPr>
              <w:jc w:val="center"/>
              <w:rPr>
                <w:b/>
                <w:bCs/>
                <w:i/>
                <w:iCs/>
                <w:color w:val="000000" w:themeColor="text1"/>
                <w:sz w:val="21"/>
                <w:szCs w:val="21"/>
              </w:rPr>
            </w:pPr>
            <w:r w:rsidRPr="77578E49">
              <w:rPr>
                <w:b/>
                <w:bCs/>
                <w:i/>
                <w:iCs/>
                <w:color w:val="000000" w:themeColor="text1"/>
                <w:sz w:val="21"/>
                <w:szCs w:val="21"/>
              </w:rPr>
              <w:t>Icono</w:t>
            </w:r>
          </w:p>
        </w:tc>
        <w:tc>
          <w:tcPr>
            <w:tcW w:w="686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396A487A" w:rsidP="77578E49" w:rsidRDefault="396A487A" w14:paraId="643D0524" w14:textId="59F4C890">
            <w:pPr>
              <w:jc w:val="center"/>
              <w:rPr>
                <w:color w:val="000000" w:themeColor="text1"/>
                <w:sz w:val="21"/>
                <w:szCs w:val="21"/>
              </w:rPr>
            </w:pPr>
            <w:r w:rsidR="396A487A">
              <w:drawing>
                <wp:inline wp14:editId="19F172E8" wp14:anchorId="45CDCF43">
                  <wp:extent cx="1416090" cy="653005"/>
                  <wp:effectExtent l="0" t="0" r="0" b="0"/>
                  <wp:docPr id="82756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56586" name="Picture 82756586"/>
                          <pic:cNvPicPr/>
                        </pic:nvPicPr>
                        <pic:blipFill>
                          <a:blip xmlns:r="http://schemas.openxmlformats.org/officeDocument/2006/relationships" r:embed="rId7">
                            <a:extLst>
                              <a:ext uri="{28A0092B-C50C-407E-A947-70E740481C1C}">
                                <a14:useLocalDpi xmlns:a14="http://schemas.microsoft.com/office/drawing/2010/main"/>
                              </a:ext>
                            </a:extLst>
                          </a:blip>
                          <a:srcRect l="24886" t="28767" r="24658" b="29110"/>
                          <a:stretch>
                            <a:fillRect/>
                          </a:stretch>
                        </pic:blipFill>
                        <pic:spPr>
                          <a:xfrm rot="0">
                            <a:off x="0" y="0"/>
                            <a:ext cx="1416090" cy="653005"/>
                          </a:xfrm>
                          <a:prstGeom prst="rect">
                            <a:avLst/>
                          </a:prstGeom>
                        </pic:spPr>
                      </pic:pic>
                    </a:graphicData>
                  </a:graphic>
                </wp:inline>
              </w:drawing>
            </w:r>
          </w:p>
        </w:tc>
      </w:tr>
      <w:tr w:rsidR="00C51DF4" w:rsidTr="4C161BAD" w14:paraId="5B5C6930" w14:textId="77777777">
        <w:tc>
          <w:tcPr>
            <w:tcW w:w="25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40" w:type="dxa"/>
              <w:bottom w:w="80" w:type="dxa"/>
              <w:right w:w="140" w:type="dxa"/>
            </w:tcMar>
            <w:vAlign w:val="center"/>
          </w:tcPr>
          <w:p w:rsidR="00C51DF4" w:rsidRDefault="00E00045" w14:paraId="58BCB36E" w14:textId="77777777">
            <w:pPr>
              <w:jc w:val="center"/>
            </w:pPr>
            <w:r>
              <w:rPr>
                <w:b/>
                <w:bCs/>
                <w:color w:val="1F6FA8"/>
                <w:sz w:val="21"/>
                <w:szCs w:val="21"/>
              </w:rPr>
              <w:t>Resumen</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0" w:type="dxa"/>
              <w:left w:w="0" w:type="dxa"/>
              <w:bottom w:w="0" w:type="dxa"/>
              <w:right w:w="0" w:type="dxa"/>
            </w:tcMar>
          </w:tcPr>
          <w:tbl>
            <w:tblPr>
              <w:tblW w:w="68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5060"/>
            </w:tblGrid>
            <w:tr w:rsidR="00C51DF4" w:rsidTr="4C161BAD" w14:paraId="0F595E33"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5A3C5528" w14:textId="77777777">
                  <w:pPr>
                    <w:jc w:val="center"/>
                  </w:pPr>
                  <w:r>
                    <w:rPr>
                      <w:b/>
                      <w:bCs/>
                      <w:i/>
                      <w:iCs/>
                      <w:color w:val="1F6FA8"/>
                      <w:sz w:val="20"/>
                      <w:szCs w:val="20"/>
                    </w:rPr>
                    <w:t>Problema</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579BCECC" w14:textId="77777777">
                  <w:pPr>
                    <w:jc w:val="both"/>
                  </w:pPr>
                  <w:r>
                    <w:rPr>
                      <w:color w:val="000000"/>
                      <w:sz w:val="20"/>
                      <w:szCs w:val="20"/>
                    </w:rPr>
                    <w:t xml:space="preserve">En </w:t>
                  </w:r>
                  <w:proofErr w:type="spellStart"/>
                  <w:r>
                    <w:rPr>
                      <w:color w:val="000000"/>
                      <w:sz w:val="20"/>
                      <w:szCs w:val="20"/>
                    </w:rPr>
                    <w:t>CiberEscudo</w:t>
                  </w:r>
                  <w:proofErr w:type="spellEnd"/>
                  <w:r>
                    <w:rPr>
                      <w:color w:val="000000"/>
                      <w:sz w:val="20"/>
                      <w:szCs w:val="20"/>
                    </w:rPr>
                    <w:t>, el API Gateway y los servicios consumidores necesitan conocer la ubicación en red de los demás servicios para invocarlos. Si estas ubicaciones están codificadas directamente en la configuración (IP fija, puerto fijo), cualquier cambio de infraestructura —como añadir una segunda instancia del Servicio de Monitoreo durante un pico de carga— requeriría actualizar manualmente la configuración de todos los consumidores. Esto viola el principio de bajo acoplamiento de SOA, genera fragilidad operativa y dificult</w:t>
                  </w:r>
                  <w:r>
                    <w:rPr>
                      <w:color w:val="000000"/>
                      <w:sz w:val="20"/>
                      <w:szCs w:val="20"/>
                    </w:rPr>
                    <w:t>a el cumplimiento del RNF-05 (escalabilidad).</w:t>
                  </w:r>
                </w:p>
              </w:tc>
            </w:tr>
            <w:tr w:rsidR="4C161BAD" w:rsidTr="4C161BAD" w14:paraId="0F82215D">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6FBBEF01" w:rsidP="4C161BAD" w:rsidRDefault="6FBBEF01" w14:paraId="5868B229" w14:textId="27AD187F">
                  <w:pPr>
                    <w:pStyle w:val="Normal"/>
                    <w:jc w:val="center"/>
                    <w:rPr>
                      <w:b w:val="1"/>
                      <w:bCs w:val="1"/>
                      <w:i w:val="1"/>
                      <w:iCs w:val="1"/>
                      <w:color w:val="1F6FA8"/>
                      <w:sz w:val="20"/>
                      <w:szCs w:val="20"/>
                    </w:rPr>
                  </w:pPr>
                  <w:r w:rsidRPr="4C161BAD" w:rsidR="6FBBEF01">
                    <w:rPr>
                      <w:b w:val="1"/>
                      <w:bCs w:val="1"/>
                      <w:i w:val="1"/>
                      <w:iCs w:val="1"/>
                      <w:color w:val="1F6FA8"/>
                      <w:sz w:val="20"/>
                      <w:szCs w:val="20"/>
                    </w:rPr>
                    <w:t>Diagrama Problema</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339AEFA9" w:rsidP="4C161BAD" w:rsidRDefault="339AEFA9" w14:paraId="56FCC5C6" w14:textId="1749CAC7">
                  <w:pPr>
                    <w:pStyle w:val="Normal"/>
                    <w:jc w:val="both"/>
                    <w:rPr>
                      <w:color w:val="000000" w:themeColor="text1" w:themeTint="FF" w:themeShade="FF"/>
                      <w:sz w:val="20"/>
                      <w:szCs w:val="20"/>
                    </w:rPr>
                  </w:pPr>
                  <w:r w:rsidR="339AEFA9">
                    <w:drawing>
                      <wp:inline wp14:editId="5C635D37" wp14:anchorId="7D4063FE">
                        <wp:extent cx="3048000" cy="1438275"/>
                        <wp:effectExtent l="0" t="0" r="0" b="0"/>
                        <wp:docPr id="2060697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697968" name="Picture 2060697968"/>
                                <pic:cNvPicPr/>
                              </pic:nvPicPr>
                              <pic:blipFill>
                                <a:blip xmlns:r="http://schemas.openxmlformats.org/officeDocument/2006/relationships" r:embed="rId831186127">
                                  <a:extLst>
                                    <a:ext uri="{28A0092B-C50C-407E-A947-70E740481C1C}">
                                      <a14:useLocalDpi xmlns:a14="http://schemas.microsoft.com/office/drawing/2010/main"/>
                                    </a:ext>
                                  </a:extLst>
                                </a:blip>
                                <a:stretch>
                                  <a:fillRect/>
                                </a:stretch>
                              </pic:blipFill>
                              <pic:spPr>
                                <a:xfrm>
                                  <a:off x="0" y="0"/>
                                  <a:ext cx="3048000" cy="1438275"/>
                                </a:xfrm>
                                <a:prstGeom prst="rect">
                                  <a:avLst/>
                                </a:prstGeom>
                              </pic:spPr>
                            </pic:pic>
                          </a:graphicData>
                        </a:graphic>
                      </wp:inline>
                    </w:drawing>
                  </w:r>
                </w:p>
              </w:tc>
            </w:tr>
            <w:tr w:rsidR="00C51DF4" w:rsidTr="4C161BAD" w14:paraId="791C79F0"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727F8831" w14:textId="77777777">
                  <w:pPr>
                    <w:jc w:val="center"/>
                  </w:pPr>
                  <w:r>
                    <w:rPr>
                      <w:b/>
                      <w:bCs/>
                      <w:i/>
                      <w:iCs/>
                      <w:color w:val="1F6FA8"/>
                      <w:sz w:val="20"/>
                      <w:szCs w:val="20"/>
                    </w:rPr>
                    <w:t>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2198AC73" w14:textId="77777777">
                  <w:pPr>
                    <w:jc w:val="both"/>
                  </w:pPr>
                  <w:r>
                    <w:rPr>
                      <w:color w:val="000000"/>
                      <w:sz w:val="20"/>
                      <w:szCs w:val="20"/>
                    </w:rPr>
                    <w:t xml:space="preserve">En el MVP local se implementa mediante el archivo config.py, que actúa como registro estático. Contiene las </w:t>
                  </w:r>
                  <w:proofErr w:type="spellStart"/>
                  <w:r>
                    <w:rPr>
                      <w:color w:val="000000"/>
                      <w:sz w:val="20"/>
                      <w:szCs w:val="20"/>
                    </w:rPr>
                    <w:t>URLs</w:t>
                  </w:r>
                  <w:proofErr w:type="spellEnd"/>
                  <w:r>
                    <w:rPr>
                      <w:color w:val="000000"/>
                      <w:sz w:val="20"/>
                      <w:szCs w:val="20"/>
                    </w:rPr>
                    <w:t xml:space="preserve"> base de cada módulo Flask corriendo en localhost con puertos distintos. Todos los módulos importan este archivo para conocer las rutas de los demás, sin direcciones </w:t>
                  </w:r>
                  <w:proofErr w:type="spellStart"/>
                  <w:r>
                    <w:rPr>
                      <w:color w:val="000000"/>
                      <w:sz w:val="20"/>
                      <w:szCs w:val="20"/>
                    </w:rPr>
                    <w:t>hardcodeadas</w:t>
                  </w:r>
                  <w:proofErr w:type="spellEnd"/>
                  <w:r>
                    <w:rPr>
                      <w:color w:val="000000"/>
                      <w:sz w:val="20"/>
                      <w:szCs w:val="20"/>
                    </w:rPr>
                    <w:t xml:space="preserve"> en el código de lógica de negocio. Para una versión productiva futura, este archivo de configuración se reemplazaría por un servicio de </w:t>
                  </w:r>
                  <w:proofErr w:type="spellStart"/>
                  <w:r>
                    <w:rPr>
                      <w:color w:val="000000"/>
                      <w:sz w:val="20"/>
                      <w:szCs w:val="20"/>
                    </w:rPr>
                    <w:t>discovery</w:t>
                  </w:r>
                  <w:proofErr w:type="spellEnd"/>
                  <w:r>
                    <w:rPr>
                      <w:color w:val="000000"/>
                      <w:sz w:val="20"/>
                      <w:szCs w:val="20"/>
                    </w:rPr>
                    <w:t xml:space="preserve"> dinámico como Consul, sin necesidad de cambiar la lógica de los módulos.</w:t>
                  </w:r>
                </w:p>
              </w:tc>
            </w:tr>
            <w:tr w:rsidR="4C161BAD" w:rsidTr="4C161BAD" w14:paraId="281FADF3">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358AA8D0" w:rsidP="4C161BAD" w:rsidRDefault="358AA8D0" w14:paraId="680E293E" w14:textId="4F76388F">
                  <w:pPr>
                    <w:pStyle w:val="Normal"/>
                    <w:jc w:val="center"/>
                    <w:rPr>
                      <w:b w:val="1"/>
                      <w:bCs w:val="1"/>
                      <w:i w:val="1"/>
                      <w:iCs w:val="1"/>
                      <w:color w:val="1F6FA8"/>
                      <w:sz w:val="20"/>
                      <w:szCs w:val="20"/>
                    </w:rPr>
                  </w:pPr>
                  <w:r w:rsidRPr="4C161BAD" w:rsidR="358AA8D0">
                    <w:rPr>
                      <w:b w:val="1"/>
                      <w:bCs w:val="1"/>
                      <w:i w:val="1"/>
                      <w:iCs w:val="1"/>
                      <w:color w:val="1F6FA8"/>
                      <w:sz w:val="20"/>
                      <w:szCs w:val="20"/>
                    </w:rPr>
                    <w:t>Diagrama 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358AA8D0" w:rsidP="4C161BAD" w:rsidRDefault="358AA8D0" w14:paraId="20EB1883" w14:textId="4D6FB061">
                  <w:pPr>
                    <w:pStyle w:val="Normal"/>
                    <w:jc w:val="both"/>
                    <w:rPr>
                      <w:color w:val="000000" w:themeColor="text1" w:themeTint="FF" w:themeShade="FF"/>
                      <w:sz w:val="20"/>
                      <w:szCs w:val="20"/>
                    </w:rPr>
                  </w:pPr>
                  <w:r w:rsidR="358AA8D0">
                    <w:drawing>
                      <wp:inline wp14:editId="497DF122" wp14:anchorId="7DDDAEEF">
                        <wp:extent cx="3048000" cy="1085850"/>
                        <wp:effectExtent l="0" t="0" r="0" b="0"/>
                        <wp:docPr id="270248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248401" name="Picture 270248401"/>
                                <pic:cNvPicPr/>
                              </pic:nvPicPr>
                              <pic:blipFill>
                                <a:blip xmlns:r="http://schemas.openxmlformats.org/officeDocument/2006/relationships" r:embed="rId855670267">
                                  <a:extLst>
                                    <a:ext uri="{28A0092B-C50C-407E-A947-70E740481C1C}">
                                      <a14:useLocalDpi xmlns:a14="http://schemas.microsoft.com/office/drawing/2010/main"/>
                                    </a:ext>
                                  </a:extLst>
                                </a:blip>
                                <a:stretch>
                                  <a:fillRect/>
                                </a:stretch>
                              </pic:blipFill>
                              <pic:spPr>
                                <a:xfrm>
                                  <a:off x="0" y="0"/>
                                  <a:ext cx="3048000" cy="1085850"/>
                                </a:xfrm>
                                <a:prstGeom prst="rect">
                                  <a:avLst/>
                                </a:prstGeom>
                              </pic:spPr>
                            </pic:pic>
                          </a:graphicData>
                        </a:graphic>
                      </wp:inline>
                    </w:drawing>
                  </w:r>
                </w:p>
              </w:tc>
            </w:tr>
            <w:tr w:rsidR="00C51DF4" w:rsidTr="4C161BAD" w14:paraId="608C435A"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547ED4F0" w14:textId="77777777">
                  <w:pPr>
                    <w:jc w:val="center"/>
                  </w:pPr>
                  <w:r>
                    <w:rPr>
                      <w:b/>
                      <w:bCs/>
                      <w:i/>
                      <w:iCs/>
                      <w:color w:val="1F6FA8"/>
                      <w:sz w:val="20"/>
                      <w:szCs w:val="20"/>
                    </w:rPr>
                    <w:t>Aplicación</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20BBD2A2" w14:textId="77777777">
                  <w:pPr>
                    <w:jc w:val="both"/>
                  </w:pPr>
                  <w:r>
                    <w:rPr>
                      <w:color w:val="000000"/>
                      <w:sz w:val="20"/>
                      <w:szCs w:val="20"/>
                    </w:rPr>
                    <w:t>Un desarrollador agrega un nuevo módulo al proyecto (por ejemplo, un módulo de Estadísticas). Solo necesita: (1) agregar su URL en config.py, (2) los demás módulos que lo necesiten importan config.py para conocer su dirección. No se modifica ningún otro archivo de lógica de negocio. Al cambiar el puerto del módulo de Monitoreo durante el desarrollo, solo se actualiza una línea en config.py y todo el sistema lo reconoce inmediatamente.</w:t>
                  </w:r>
                </w:p>
              </w:tc>
            </w:tr>
            <w:tr w:rsidR="00C51DF4" w:rsidTr="4C161BAD" w14:paraId="64A81E9B"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0000BDDF" w14:textId="77777777">
                  <w:pPr>
                    <w:jc w:val="center"/>
                  </w:pPr>
                  <w:r>
                    <w:rPr>
                      <w:b/>
                      <w:bCs/>
                      <w:i/>
                      <w:iCs/>
                      <w:color w:val="1F6FA8"/>
                      <w:sz w:val="20"/>
                      <w:szCs w:val="20"/>
                    </w:rPr>
                    <w:t>Impacto</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3780D640" w14:textId="77777777">
                  <w:pPr>
                    <w:jc w:val="both"/>
                  </w:pPr>
                  <w:r>
                    <w:rPr>
                      <w:color w:val="000000"/>
                      <w:sz w:val="20"/>
                      <w:szCs w:val="20"/>
                    </w:rPr>
                    <w:t>Ventajas: Extremadamente simple de implementar y entender en un MVP local. Cero dependencias externas. Un solo punto de cambio para la configuración de ubicaciones. Desventajas (</w:t>
                  </w:r>
                  <w:proofErr w:type="spellStart"/>
                  <w:r>
                    <w:rPr>
                      <w:color w:val="000000"/>
                      <w:sz w:val="20"/>
                      <w:szCs w:val="20"/>
                    </w:rPr>
                    <w:t>trade-offs</w:t>
                  </w:r>
                  <w:proofErr w:type="spellEnd"/>
                  <w:r>
                    <w:rPr>
                      <w:color w:val="000000"/>
                      <w:sz w:val="20"/>
                      <w:szCs w:val="20"/>
                    </w:rPr>
                    <w:t xml:space="preserve">): Es un registro estático — no detecta automáticamente si un módulo está caído. En una versión productiva esto sería inaceptable y requeriría migrar a un </w:t>
                  </w:r>
                  <w:proofErr w:type="spellStart"/>
                  <w:r>
                    <w:rPr>
                      <w:color w:val="000000"/>
                      <w:sz w:val="20"/>
                      <w:szCs w:val="20"/>
                    </w:rPr>
                    <w:t>registry</w:t>
                  </w:r>
                  <w:proofErr w:type="spellEnd"/>
                  <w:r>
                    <w:rPr>
                      <w:color w:val="000000"/>
                      <w:sz w:val="20"/>
                      <w:szCs w:val="20"/>
                    </w:rPr>
                    <w:t xml:space="preserve"> dinámico. No soporta múltiples instancias del mismo servicio ni balanceo de carga.</w:t>
                  </w:r>
                </w:p>
              </w:tc>
            </w:tr>
          </w:tbl>
          <w:p w:rsidR="00C51DF4" w:rsidRDefault="00C51DF4" w14:paraId="20AB0145" w14:textId="77777777"/>
        </w:tc>
      </w:tr>
      <w:tr w:rsidR="00C51DF4" w:rsidTr="4C161BAD" w14:paraId="73FFBDC6"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033C4E54" w14:textId="77777777">
            <w:pPr>
              <w:jc w:val="center"/>
            </w:pPr>
            <w:r>
              <w:rPr>
                <w:b/>
                <w:bCs/>
                <w:i/>
                <w:iCs/>
                <w:color w:val="000000"/>
                <w:sz w:val="21"/>
                <w:szCs w:val="21"/>
              </w:rPr>
              <w:t>Relaciones</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3B95919B" w14:textId="77777777">
            <w:pPr>
              <w:jc w:val="both"/>
            </w:pPr>
            <w:proofErr w:type="spellStart"/>
            <w:r>
              <w:rPr>
                <w:color w:val="000000"/>
                <w:sz w:val="21"/>
                <w:szCs w:val="21"/>
              </w:rPr>
              <w:t>Prerequisito</w:t>
            </w:r>
            <w:proofErr w:type="spellEnd"/>
            <w:r>
              <w:rPr>
                <w:color w:val="000000"/>
                <w:sz w:val="21"/>
                <w:szCs w:val="21"/>
              </w:rPr>
              <w:t xml:space="preserve"> del patrón Service </w:t>
            </w:r>
            <w:proofErr w:type="spellStart"/>
            <w:r>
              <w:rPr>
                <w:color w:val="000000"/>
                <w:sz w:val="21"/>
                <w:szCs w:val="21"/>
              </w:rPr>
              <w:t>Façade</w:t>
            </w:r>
            <w:proofErr w:type="spellEnd"/>
            <w:r>
              <w:rPr>
                <w:color w:val="000000"/>
                <w:sz w:val="21"/>
                <w:szCs w:val="21"/>
              </w:rPr>
              <w:t xml:space="preserve"> (el Gateway lo utiliza para descubrir los servicios internos que orquesta). Habilitador del patrón </w:t>
            </w:r>
            <w:proofErr w:type="spellStart"/>
            <w:r>
              <w:rPr>
                <w:color w:val="000000"/>
                <w:sz w:val="21"/>
                <w:szCs w:val="21"/>
              </w:rPr>
              <w:t>Publish</w:t>
            </w:r>
            <w:proofErr w:type="spellEnd"/>
            <w:r>
              <w:rPr>
                <w:color w:val="000000"/>
                <w:sz w:val="21"/>
                <w:szCs w:val="21"/>
              </w:rPr>
              <w:t xml:space="preserve">-Subscribe (los consumidores de eventos descubren la dirección del </w:t>
            </w:r>
            <w:proofErr w:type="spellStart"/>
            <w:r>
              <w:rPr>
                <w:color w:val="000000"/>
                <w:sz w:val="21"/>
                <w:szCs w:val="21"/>
              </w:rPr>
              <w:t>broker</w:t>
            </w:r>
            <w:proofErr w:type="spellEnd"/>
            <w:r>
              <w:rPr>
                <w:color w:val="000000"/>
                <w:sz w:val="21"/>
                <w:szCs w:val="21"/>
              </w:rPr>
              <w:t xml:space="preserve"> a través del registro). Complementa el principio SOA de capacidad de descripción del servicio al centralizar los metadatos de cada servicio disponible.</w:t>
            </w:r>
          </w:p>
        </w:tc>
      </w:tr>
    </w:tbl>
    <w:p w:rsidR="00C51DF4" w:rsidRDefault="00C51DF4" w14:paraId="35205D4D" w14:textId="77777777">
      <w:pPr>
        <w:spacing w:after="160"/>
      </w:pPr>
    </w:p>
    <w:p w:rsidR="778FD0F3" w:rsidP="778FD0F3" w:rsidRDefault="778FD0F3" w14:paraId="331BE4B9" w14:textId="38752E04">
      <w:pPr>
        <w:pStyle w:val="Ttulo2"/>
      </w:pPr>
    </w:p>
    <w:p w:rsidR="778FD0F3" w:rsidP="778FD0F3" w:rsidRDefault="778FD0F3" w14:paraId="22AD912B" w14:textId="67089727">
      <w:pPr>
        <w:pStyle w:val="Ttulo2"/>
      </w:pPr>
    </w:p>
    <w:p w:rsidR="778FD0F3" w:rsidP="778FD0F3" w:rsidRDefault="778FD0F3" w14:paraId="4A8B483C" w14:textId="3F260816">
      <w:pPr>
        <w:pStyle w:val="Ttulo2"/>
      </w:pPr>
    </w:p>
    <w:p w:rsidR="00C51DF4" w:rsidRDefault="00E00045" w14:paraId="35A81CEE" w14:textId="77777777">
      <w:pPr>
        <w:pStyle w:val="Ttulo2"/>
      </w:pPr>
      <w:r>
        <w:t xml:space="preserve">3.2 Patrón 2: </w:t>
      </w:r>
      <w:proofErr w:type="spellStart"/>
      <w:r>
        <w:t>Publish</w:t>
      </w:r>
      <w:proofErr w:type="spellEnd"/>
      <w:r>
        <w:t>-Subscribe (Publicador-Suscriptor)</w:t>
      </w:r>
    </w:p>
    <w:p w:rsidR="00C51DF4" w:rsidRDefault="00C51DF4" w14:paraId="0D6A94A8"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96"/>
        <w:gridCol w:w="6864"/>
      </w:tblGrid>
      <w:tr w:rsidR="00C51DF4" w:rsidTr="4C161BAD" w14:paraId="39B630AD" w14:textId="77777777">
        <w:trPr>
          <w:tblHeader/>
        </w:trPr>
        <w:tc>
          <w:tcPr>
            <w:tcW w:w="9360" w:type="dxa"/>
            <w:gridSpan w:val="2"/>
            <w:tcBorders>
              <w:top w:val="single" w:color="CCCCCC" w:sz="1" w:space="0"/>
              <w:left w:val="single" w:color="CCCCCC" w:sz="1" w:space="0"/>
              <w:bottom w:val="single" w:color="CCCCCC" w:sz="1" w:space="0"/>
              <w:right w:val="single" w:color="CCCCCC" w:sz="1" w:space="0"/>
            </w:tcBorders>
            <w:shd w:val="clear" w:color="auto" w:fill="1F6FA8"/>
            <w:tcMar>
              <w:top w:w="120" w:type="dxa"/>
              <w:left w:w="140" w:type="dxa"/>
              <w:bottom w:w="120" w:type="dxa"/>
              <w:right w:w="140" w:type="dxa"/>
            </w:tcMar>
          </w:tcPr>
          <w:p w:rsidR="00C51DF4" w:rsidRDefault="00E00045" w14:paraId="4CD59B5E" w14:textId="77777777">
            <w:pPr>
              <w:jc w:val="center"/>
            </w:pPr>
            <w:r>
              <w:rPr>
                <w:b/>
                <w:bCs/>
                <w:color w:val="FFFFFF"/>
                <w:sz w:val="24"/>
                <w:szCs w:val="24"/>
              </w:rPr>
              <w:t xml:space="preserve">Patrón SOA: </w:t>
            </w:r>
            <w:proofErr w:type="spellStart"/>
            <w:r>
              <w:rPr>
                <w:b/>
                <w:bCs/>
                <w:color w:val="D5E8F0"/>
                <w:sz w:val="24"/>
                <w:szCs w:val="24"/>
              </w:rPr>
              <w:t>Publish</w:t>
            </w:r>
            <w:proofErr w:type="spellEnd"/>
            <w:r>
              <w:rPr>
                <w:b/>
                <w:bCs/>
                <w:color w:val="D5E8F0"/>
                <w:sz w:val="24"/>
                <w:szCs w:val="24"/>
              </w:rPr>
              <w:t>-Subscribe (</w:t>
            </w:r>
            <w:proofErr w:type="spellStart"/>
            <w:r>
              <w:rPr>
                <w:b/>
                <w:bCs/>
                <w:color w:val="D5E8F0"/>
                <w:sz w:val="24"/>
                <w:szCs w:val="24"/>
              </w:rPr>
              <w:t>Event-Driven</w:t>
            </w:r>
            <w:proofErr w:type="spellEnd"/>
            <w:r>
              <w:rPr>
                <w:b/>
                <w:bCs/>
                <w:color w:val="D5E8F0"/>
                <w:sz w:val="24"/>
                <w:szCs w:val="24"/>
              </w:rPr>
              <w:t xml:space="preserve"> </w:t>
            </w:r>
            <w:proofErr w:type="spellStart"/>
            <w:r>
              <w:rPr>
                <w:b/>
                <w:bCs/>
                <w:color w:val="D5E8F0"/>
                <w:sz w:val="24"/>
                <w:szCs w:val="24"/>
              </w:rPr>
              <w:t>Messaging</w:t>
            </w:r>
            <w:proofErr w:type="spellEnd"/>
            <w:r>
              <w:rPr>
                <w:b/>
                <w:bCs/>
                <w:color w:val="D5E8F0"/>
                <w:sz w:val="24"/>
                <w:szCs w:val="24"/>
              </w:rPr>
              <w:t>)</w:t>
            </w:r>
          </w:p>
        </w:tc>
      </w:tr>
      <w:tr w:rsidR="00C51DF4" w:rsidTr="4C161BAD" w14:paraId="288947D1"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1D763A49" w14:textId="77777777">
            <w:pPr>
              <w:jc w:val="center"/>
            </w:pPr>
            <w:r>
              <w:rPr>
                <w:b/>
                <w:bCs/>
                <w:color w:val="FFFFFF"/>
                <w:sz w:val="20"/>
                <w:szCs w:val="20"/>
              </w:rPr>
              <w:t>Característica</w:t>
            </w:r>
          </w:p>
        </w:tc>
        <w:tc>
          <w:tcPr>
            <w:tcW w:w="686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5BA6C966" w14:textId="77777777">
            <w:pPr>
              <w:jc w:val="center"/>
            </w:pPr>
            <w:r>
              <w:rPr>
                <w:b/>
                <w:bCs/>
                <w:color w:val="FFFFFF"/>
                <w:sz w:val="20"/>
                <w:szCs w:val="20"/>
              </w:rPr>
              <w:t>Descripción / descripción de la categoría</w:t>
            </w:r>
          </w:p>
        </w:tc>
      </w:tr>
      <w:tr w:rsidR="00C51DF4" w:rsidTr="4C161BAD" w14:paraId="62C26173"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3594D6C5" w14:textId="77777777">
            <w:pPr>
              <w:jc w:val="center"/>
            </w:pPr>
            <w:r>
              <w:rPr>
                <w:b/>
                <w:bCs/>
                <w:i/>
                <w:iCs/>
                <w:color w:val="000000"/>
                <w:sz w:val="21"/>
                <w:szCs w:val="21"/>
              </w:rPr>
              <w:t>Requerimiento</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2A002619" w14:textId="77777777">
            <w:pPr>
              <w:jc w:val="both"/>
            </w:pPr>
            <w:r>
              <w:rPr>
                <w:color w:val="000000"/>
                <w:sz w:val="21"/>
                <w:szCs w:val="21"/>
              </w:rPr>
              <w:t xml:space="preserve">¿Cómo puede el Servicio de Monitoreo de </w:t>
            </w:r>
            <w:proofErr w:type="spellStart"/>
            <w:r>
              <w:rPr>
                <w:color w:val="000000"/>
                <w:sz w:val="21"/>
                <w:szCs w:val="21"/>
              </w:rPr>
              <w:t>CiberEscudo</w:t>
            </w:r>
            <w:proofErr w:type="spellEnd"/>
            <w:r>
              <w:rPr>
                <w:color w:val="000000"/>
                <w:sz w:val="21"/>
                <w:szCs w:val="21"/>
              </w:rPr>
              <w:t xml:space="preserve"> comunicar la detección de una brecha de seguridad a múltiples servicios consumidores (Notificaciones, Historial) sin crear dependencias directas que comprometan la disponibilidad y la mantenibilidad del sistema?</w:t>
            </w:r>
          </w:p>
        </w:tc>
      </w:tr>
      <w:tr w:rsidR="77578E49" w:rsidTr="4C161BAD" w14:paraId="773490AF" w14:textId="77777777">
        <w:trPr>
          <w:trHeight w:val="300"/>
        </w:trPr>
        <w:tc>
          <w:tcPr>
            <w:tcW w:w="249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51F8ED52" w:rsidP="77578E49" w:rsidRDefault="51F8ED52" w14:paraId="4CEB8A6D" w14:textId="220CB7A9">
            <w:pPr>
              <w:jc w:val="center"/>
              <w:rPr>
                <w:b/>
                <w:bCs/>
                <w:i/>
                <w:iCs/>
                <w:color w:val="000000" w:themeColor="text1"/>
                <w:sz w:val="21"/>
                <w:szCs w:val="21"/>
              </w:rPr>
            </w:pPr>
            <w:r w:rsidRPr="77578E49">
              <w:rPr>
                <w:b/>
                <w:bCs/>
                <w:i/>
                <w:iCs/>
                <w:color w:val="000000" w:themeColor="text1"/>
                <w:sz w:val="21"/>
                <w:szCs w:val="21"/>
              </w:rPr>
              <w:t>Icono</w:t>
            </w:r>
          </w:p>
        </w:tc>
        <w:tc>
          <w:tcPr>
            <w:tcW w:w="686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77578E49" w:rsidP="4C161BAD" w:rsidRDefault="77578E49" w14:paraId="10A2F5E7" w14:textId="0EB32246">
            <w:pPr>
              <w:jc w:val="center"/>
              <w:rPr>
                <w:color w:val="000000" w:themeColor="text1"/>
                <w:sz w:val="21"/>
                <w:szCs w:val="21"/>
              </w:rPr>
            </w:pPr>
            <w:r w:rsidR="257864D2">
              <w:drawing>
                <wp:inline wp14:editId="57FC406F" wp14:anchorId="3CB9D2C8">
                  <wp:extent cx="1381147" cy="571503"/>
                  <wp:effectExtent l="0" t="0" r="0" b="0"/>
                  <wp:docPr id="69367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67871" name="Picture 69367871"/>
                          <pic:cNvPicPr/>
                        </pic:nvPicPr>
                        <pic:blipFill>
                          <a:blip xmlns:r="http://schemas.openxmlformats.org/officeDocument/2006/relationships" r:embed="rId196533854">
                            <a:extLst>
                              <a:ext uri="{28A0092B-C50C-407E-A947-70E740481C1C}">
                                <a14:useLocalDpi xmlns:a14="http://schemas.microsoft.com/office/drawing/2010/main"/>
                              </a:ext>
                            </a:extLst>
                          </a:blip>
                          <a:srcRect l="24429" t="28767" r="23972" b="29452"/>
                          <a:stretch>
                            <a:fillRect/>
                          </a:stretch>
                        </pic:blipFill>
                        <pic:spPr>
                          <a:xfrm rot="0">
                            <a:off x="0" y="0"/>
                            <a:ext cx="1381147" cy="571503"/>
                          </a:xfrm>
                          <a:prstGeom prst="rect">
                            <a:avLst/>
                          </a:prstGeom>
                        </pic:spPr>
                      </pic:pic>
                    </a:graphicData>
                  </a:graphic>
                </wp:inline>
              </w:drawing>
            </w:r>
          </w:p>
        </w:tc>
      </w:tr>
      <w:tr w:rsidR="00C51DF4" w:rsidTr="4C161BAD" w14:paraId="090E7592" w14:textId="77777777">
        <w:tc>
          <w:tcPr>
            <w:tcW w:w="25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40" w:type="dxa"/>
              <w:bottom w:w="80" w:type="dxa"/>
              <w:right w:w="140" w:type="dxa"/>
            </w:tcMar>
            <w:vAlign w:val="center"/>
          </w:tcPr>
          <w:p w:rsidR="00C51DF4" w:rsidRDefault="00E00045" w14:paraId="562166D9" w14:textId="77777777">
            <w:pPr>
              <w:jc w:val="center"/>
            </w:pPr>
            <w:r>
              <w:rPr>
                <w:b/>
                <w:bCs/>
                <w:color w:val="1F6FA8"/>
                <w:sz w:val="21"/>
                <w:szCs w:val="21"/>
              </w:rPr>
              <w:t>Resumen</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0" w:type="dxa"/>
              <w:left w:w="0" w:type="dxa"/>
              <w:bottom w:w="0" w:type="dxa"/>
              <w:right w:w="0" w:type="dxa"/>
            </w:tcMar>
          </w:tcPr>
          <w:tbl>
            <w:tblPr>
              <w:tblW w:w="68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5060"/>
            </w:tblGrid>
            <w:tr w:rsidR="00C51DF4" w:rsidTr="4C161BAD" w14:paraId="0815DF70"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5A736627" w14:textId="77777777">
                  <w:pPr>
                    <w:jc w:val="center"/>
                  </w:pPr>
                  <w:r>
                    <w:rPr>
                      <w:b/>
                      <w:bCs/>
                      <w:i/>
                      <w:iCs/>
                      <w:color w:val="1F6FA8"/>
                      <w:sz w:val="20"/>
                      <w:szCs w:val="20"/>
                    </w:rPr>
                    <w:t>Problema</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1822BF69" w14:textId="77777777">
                  <w:pPr>
                    <w:jc w:val="both"/>
                  </w:pPr>
                  <w:r>
                    <w:rPr>
                      <w:color w:val="000000"/>
                      <w:sz w:val="20"/>
                      <w:szCs w:val="20"/>
                    </w:rPr>
                    <w:t>Cuando el Servicio de Monitoreo detecta que el correo de un usuario aparece en una nueva brecha, debe desencadenar dos acciones simultáneas: enviar una notificación por correo y registrar el evento en el historial. Si el Monitoreo invoca directamente a cada servicio mediante llamadas REST síncronas, se generan dependencias fuertes: si el Servicio de Notificaciones está caído, el Monitoreo falla aunque el Historial esté disponible. Además, agregar un futuro servicio suscriptor (p. ej., un Servicio de Estadís</w:t>
                  </w:r>
                  <w:r>
                    <w:rPr>
                      <w:color w:val="000000"/>
                      <w:sz w:val="20"/>
                      <w:szCs w:val="20"/>
                    </w:rPr>
                    <w:t>ticas) requeriría modificar el código del Monitoreo, violando el principio abierto/cerrado.</w:t>
                  </w:r>
                </w:p>
              </w:tc>
            </w:tr>
            <w:tr w:rsidR="4C161BAD" w:rsidTr="4C161BAD" w14:paraId="21EF1720">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AFCBF96" w:rsidP="4C161BAD" w:rsidRDefault="0AFCBF96" w14:paraId="5C137987" w14:textId="5376C98D">
                  <w:pPr>
                    <w:pStyle w:val="Normal"/>
                    <w:jc w:val="center"/>
                    <w:rPr>
                      <w:b w:val="1"/>
                      <w:bCs w:val="1"/>
                      <w:i w:val="1"/>
                      <w:iCs w:val="1"/>
                      <w:color w:val="1F6FA8"/>
                      <w:sz w:val="20"/>
                      <w:szCs w:val="20"/>
                    </w:rPr>
                  </w:pPr>
                  <w:r w:rsidRPr="4C161BAD" w:rsidR="0AFCBF96">
                    <w:rPr>
                      <w:b w:val="1"/>
                      <w:bCs w:val="1"/>
                      <w:i w:val="1"/>
                      <w:iCs w:val="1"/>
                      <w:color w:val="1F6FA8"/>
                      <w:sz w:val="20"/>
                      <w:szCs w:val="20"/>
                    </w:rPr>
                    <w:t>Diagrama Problema</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AFCBF96" w:rsidP="4C161BAD" w:rsidRDefault="0AFCBF96" w14:paraId="79FAAC66" w14:textId="6C8F7885">
                  <w:pPr>
                    <w:pStyle w:val="Normal"/>
                    <w:jc w:val="both"/>
                    <w:rPr>
                      <w:color w:val="000000" w:themeColor="text1" w:themeTint="FF" w:themeShade="FF"/>
                      <w:sz w:val="20"/>
                      <w:szCs w:val="20"/>
                    </w:rPr>
                  </w:pPr>
                  <w:r w:rsidR="0AFCBF96">
                    <w:drawing>
                      <wp:inline wp14:editId="195E2584" wp14:anchorId="720D2FB6">
                        <wp:extent cx="3048000" cy="1085850"/>
                        <wp:effectExtent l="0" t="0" r="0" b="0"/>
                        <wp:docPr id="1638858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858350" name="Picture 1638858350"/>
                                <pic:cNvPicPr/>
                              </pic:nvPicPr>
                              <pic:blipFill>
                                <a:blip xmlns:r="http://schemas.openxmlformats.org/officeDocument/2006/relationships" r:embed="rId2008429949">
                                  <a:extLst>
                                    <a:ext uri="{28A0092B-C50C-407E-A947-70E740481C1C}">
                                      <a14:useLocalDpi xmlns:a14="http://schemas.microsoft.com/office/drawing/2010/main"/>
                                    </a:ext>
                                  </a:extLst>
                                </a:blip>
                                <a:stretch>
                                  <a:fillRect/>
                                </a:stretch>
                              </pic:blipFill>
                              <pic:spPr>
                                <a:xfrm>
                                  <a:off x="0" y="0"/>
                                  <a:ext cx="3048000" cy="1085850"/>
                                </a:xfrm>
                                <a:prstGeom prst="rect">
                                  <a:avLst/>
                                </a:prstGeom>
                              </pic:spPr>
                            </pic:pic>
                          </a:graphicData>
                        </a:graphic>
                      </wp:inline>
                    </w:drawing>
                  </w:r>
                </w:p>
              </w:tc>
            </w:tr>
            <w:tr w:rsidR="00C51DF4" w:rsidTr="4C161BAD" w14:paraId="4C2D2361"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4A297952" w14:textId="77777777">
                  <w:pPr>
                    <w:jc w:val="center"/>
                  </w:pPr>
                  <w:r>
                    <w:rPr>
                      <w:b/>
                      <w:bCs/>
                      <w:i/>
                      <w:iCs/>
                      <w:color w:val="1F6FA8"/>
                      <w:sz w:val="20"/>
                      <w:szCs w:val="20"/>
                    </w:rPr>
                    <w:t>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34200A05" w14:textId="77777777">
                  <w:pPr>
                    <w:jc w:val="both"/>
                  </w:pPr>
                  <w:r>
                    <w:rPr>
                      <w:color w:val="000000"/>
                      <w:sz w:val="20"/>
                      <w:szCs w:val="20"/>
                    </w:rPr>
                    <w:t xml:space="preserve">En el MVP local se implementa una versión simplificada del patrón mediante llamadas directas a función. El módulo de Monitoreo encapsula la detección de brechas en una función </w:t>
                  </w:r>
                  <w:proofErr w:type="spellStart"/>
                  <w:r>
                    <w:rPr>
                      <w:color w:val="000000"/>
                      <w:sz w:val="20"/>
                      <w:szCs w:val="20"/>
                    </w:rPr>
                    <w:t>check_breaches</w:t>
                  </w:r>
                  <w:proofErr w:type="spellEnd"/>
                  <w:r>
                    <w:rPr>
                      <w:color w:val="000000"/>
                      <w:sz w:val="20"/>
                      <w:szCs w:val="20"/>
                    </w:rPr>
                    <w:t xml:space="preserve">(). Al detectar una brecha nueva, llama secuencialmente a </w:t>
                  </w:r>
                  <w:proofErr w:type="spellStart"/>
                  <w:r>
                    <w:rPr>
                      <w:color w:val="000000"/>
                      <w:sz w:val="20"/>
                      <w:szCs w:val="20"/>
                    </w:rPr>
                    <w:t>notify</w:t>
                  </w:r>
                  <w:proofErr w:type="spellEnd"/>
                  <w:r>
                    <w:rPr>
                      <w:color w:val="000000"/>
                      <w:sz w:val="20"/>
                      <w:szCs w:val="20"/>
                    </w:rPr>
                    <w:t>(</w:t>
                  </w:r>
                  <w:proofErr w:type="spellStart"/>
                  <w:r>
                    <w:rPr>
                      <w:color w:val="000000"/>
                      <w:sz w:val="20"/>
                      <w:szCs w:val="20"/>
                    </w:rPr>
                    <w:t>breach_data</w:t>
                  </w:r>
                  <w:proofErr w:type="spellEnd"/>
                  <w:r>
                    <w:rPr>
                      <w:color w:val="000000"/>
                      <w:sz w:val="20"/>
                      <w:szCs w:val="20"/>
                    </w:rPr>
                    <w:t xml:space="preserve">) del módulo de Notificaciones y a </w:t>
                  </w:r>
                  <w:proofErr w:type="spellStart"/>
                  <w:r>
                    <w:rPr>
                      <w:color w:val="000000"/>
                      <w:sz w:val="20"/>
                      <w:szCs w:val="20"/>
                    </w:rPr>
                    <w:t>register_alert</w:t>
                  </w:r>
                  <w:proofErr w:type="spellEnd"/>
                  <w:r>
                    <w:rPr>
                      <w:color w:val="000000"/>
                      <w:sz w:val="20"/>
                      <w:szCs w:val="20"/>
                    </w:rPr>
                    <w:t>(</w:t>
                  </w:r>
                  <w:proofErr w:type="spellStart"/>
                  <w:r>
                    <w:rPr>
                      <w:color w:val="000000"/>
                      <w:sz w:val="20"/>
                      <w:szCs w:val="20"/>
                    </w:rPr>
                    <w:t>breach_data</w:t>
                  </w:r>
                  <w:proofErr w:type="spellEnd"/>
                  <w:r>
                    <w:rPr>
                      <w:color w:val="000000"/>
                      <w:sz w:val="20"/>
                      <w:szCs w:val="20"/>
                    </w:rPr>
                    <w:t xml:space="preserve">) del módulo de Historial. Aunque son llamadas directas, cada módulo tiene su interfaz propia y podría reemplazarse por un suscriptor de eventos en una versión futura sin modificar </w:t>
                  </w:r>
                  <w:proofErr w:type="spellStart"/>
                  <w:r>
                    <w:rPr>
                      <w:color w:val="000000"/>
                      <w:sz w:val="20"/>
                      <w:szCs w:val="20"/>
                    </w:rPr>
                    <w:t>check_breaches</w:t>
                  </w:r>
                  <w:proofErr w:type="spellEnd"/>
                  <w:r>
                    <w:rPr>
                      <w:color w:val="000000"/>
                      <w:sz w:val="20"/>
                      <w:szCs w:val="20"/>
                    </w:rPr>
                    <w:t>().</w:t>
                  </w:r>
                </w:p>
              </w:tc>
            </w:tr>
            <w:tr w:rsidR="4C161BAD" w:rsidTr="4C161BAD" w14:paraId="33CB9645">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14752AAA" w:rsidP="4C161BAD" w:rsidRDefault="14752AAA" w14:paraId="6CE4EC42" w14:textId="3A92059C">
                  <w:pPr>
                    <w:pStyle w:val="Normal"/>
                    <w:jc w:val="center"/>
                    <w:rPr>
                      <w:b w:val="1"/>
                      <w:bCs w:val="1"/>
                      <w:i w:val="1"/>
                      <w:iCs w:val="1"/>
                      <w:color w:val="1F6FA8"/>
                      <w:sz w:val="20"/>
                      <w:szCs w:val="20"/>
                    </w:rPr>
                  </w:pPr>
                  <w:r w:rsidRPr="4C161BAD" w:rsidR="14752AAA">
                    <w:rPr>
                      <w:b w:val="1"/>
                      <w:bCs w:val="1"/>
                      <w:i w:val="1"/>
                      <w:iCs w:val="1"/>
                      <w:color w:val="1F6FA8"/>
                      <w:sz w:val="20"/>
                      <w:szCs w:val="20"/>
                    </w:rPr>
                    <w:t>Diagrama 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14752AAA" w:rsidP="4C161BAD" w:rsidRDefault="14752AAA" w14:paraId="5091D56D" w14:textId="52E2863C">
                  <w:pPr>
                    <w:pStyle w:val="Normal"/>
                    <w:jc w:val="both"/>
                    <w:rPr>
                      <w:color w:val="000000" w:themeColor="text1" w:themeTint="FF" w:themeShade="FF"/>
                      <w:sz w:val="20"/>
                      <w:szCs w:val="20"/>
                    </w:rPr>
                  </w:pPr>
                  <w:r w:rsidR="14752AAA">
                    <w:drawing>
                      <wp:inline wp14:editId="06389789" wp14:anchorId="72526A3A">
                        <wp:extent cx="3048000" cy="2295525"/>
                        <wp:effectExtent l="0" t="0" r="0" b="0"/>
                        <wp:docPr id="1237700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700646" name="Picture 1237700646"/>
                                <pic:cNvPicPr/>
                              </pic:nvPicPr>
                              <pic:blipFill>
                                <a:blip xmlns:r="http://schemas.openxmlformats.org/officeDocument/2006/relationships" r:embed="rId2029617785">
                                  <a:extLst>
                                    <a:ext uri="{28A0092B-C50C-407E-A947-70E740481C1C}">
                                      <a14:useLocalDpi xmlns:a14="http://schemas.microsoft.com/office/drawing/2010/main"/>
                                    </a:ext>
                                  </a:extLst>
                                </a:blip>
                                <a:stretch>
                                  <a:fillRect/>
                                </a:stretch>
                              </pic:blipFill>
                              <pic:spPr>
                                <a:xfrm>
                                  <a:off x="0" y="0"/>
                                  <a:ext cx="3048000" cy="2295525"/>
                                </a:xfrm>
                                <a:prstGeom prst="rect">
                                  <a:avLst/>
                                </a:prstGeom>
                              </pic:spPr>
                            </pic:pic>
                          </a:graphicData>
                        </a:graphic>
                      </wp:inline>
                    </w:drawing>
                  </w:r>
                </w:p>
              </w:tc>
            </w:tr>
            <w:tr w:rsidR="00C51DF4" w:rsidTr="4C161BAD" w14:paraId="088D2444"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7AB3179A" w14:textId="77777777">
                  <w:pPr>
                    <w:jc w:val="center"/>
                  </w:pPr>
                  <w:r>
                    <w:rPr>
                      <w:b/>
                      <w:bCs/>
                      <w:i/>
                      <w:iCs/>
                      <w:color w:val="1F6FA8"/>
                      <w:sz w:val="20"/>
                      <w:szCs w:val="20"/>
                    </w:rPr>
                    <w:t>Aplicación</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439D6735" w14:textId="77777777">
                  <w:pPr>
                    <w:jc w:val="both"/>
                  </w:pPr>
                  <w:r>
                    <w:rPr>
                      <w:color w:val="000000"/>
                      <w:sz w:val="20"/>
                      <w:szCs w:val="20"/>
                    </w:rPr>
                    <w:t xml:space="preserve">El usuario hace clic en 'Verificar correos' en la interfaz Flask. El módulo de Monitoreo consulta HIBP con </w:t>
                  </w:r>
                  <w:proofErr w:type="spellStart"/>
                  <w:r>
                    <w:rPr>
                      <w:color w:val="000000"/>
                      <w:sz w:val="20"/>
                      <w:szCs w:val="20"/>
                    </w:rPr>
                    <w:t>requests</w:t>
                  </w:r>
                  <w:proofErr w:type="spellEnd"/>
                  <w:r>
                    <w:rPr>
                      <w:color w:val="000000"/>
                      <w:sz w:val="20"/>
                      <w:szCs w:val="20"/>
                    </w:rPr>
                    <w:t xml:space="preserve"> para cada correo registrado, detecta que uno aparece en la brecha 'Adobe 2013'. Llama a </w:t>
                  </w:r>
                  <w:proofErr w:type="spellStart"/>
                  <w:r>
                    <w:rPr>
                      <w:color w:val="000000"/>
                      <w:sz w:val="20"/>
                      <w:szCs w:val="20"/>
                    </w:rPr>
                    <w:t>notify</w:t>
                  </w:r>
                  <w:proofErr w:type="spellEnd"/>
                  <w:r>
                    <w:rPr>
                      <w:color w:val="000000"/>
                      <w:sz w:val="20"/>
                      <w:szCs w:val="20"/>
                    </w:rPr>
                    <w:t>(</w:t>
                  </w:r>
                  <w:proofErr w:type="spellStart"/>
                  <w:r>
                    <w:rPr>
                      <w:color w:val="000000"/>
                      <w:sz w:val="20"/>
                      <w:szCs w:val="20"/>
                    </w:rPr>
                    <w:t>breach_data</w:t>
                  </w:r>
                  <w:proofErr w:type="spellEnd"/>
                  <w:r>
                    <w:rPr>
                      <w:color w:val="000000"/>
                      <w:sz w:val="20"/>
                      <w:szCs w:val="20"/>
                    </w:rPr>
                    <w:t xml:space="preserve">) que imprime en consola 'ALERTA: tu correo fue expuesto en Adobe 2013 — datos comprometidos: contraseñas, correos'. Luego llama a </w:t>
                  </w:r>
                  <w:proofErr w:type="spellStart"/>
                  <w:r>
                    <w:rPr>
                      <w:color w:val="000000"/>
                      <w:sz w:val="20"/>
                      <w:szCs w:val="20"/>
                    </w:rPr>
                    <w:t>register_alert</w:t>
                  </w:r>
                  <w:proofErr w:type="spellEnd"/>
                  <w:r>
                    <w:rPr>
                      <w:color w:val="000000"/>
                      <w:sz w:val="20"/>
                      <w:szCs w:val="20"/>
                    </w:rPr>
                    <w:t>(</w:t>
                  </w:r>
                  <w:proofErr w:type="spellStart"/>
                  <w:r>
                    <w:rPr>
                      <w:color w:val="000000"/>
                      <w:sz w:val="20"/>
                      <w:szCs w:val="20"/>
                    </w:rPr>
                    <w:t>breach_data</w:t>
                  </w:r>
                  <w:proofErr w:type="spellEnd"/>
                  <w:r>
                    <w:rPr>
                      <w:color w:val="000000"/>
                      <w:sz w:val="20"/>
                      <w:szCs w:val="20"/>
                    </w:rPr>
                    <w:t xml:space="preserve">) que inserta el registro en la tabla </w:t>
                  </w:r>
                  <w:proofErr w:type="spellStart"/>
                  <w:r>
                    <w:rPr>
                      <w:color w:val="000000"/>
                      <w:sz w:val="20"/>
                      <w:szCs w:val="20"/>
                    </w:rPr>
                    <w:t>alerts</w:t>
                  </w:r>
                  <w:proofErr w:type="spellEnd"/>
                  <w:r>
                    <w:rPr>
                      <w:color w:val="000000"/>
                      <w:sz w:val="20"/>
                      <w:szCs w:val="20"/>
                    </w:rPr>
                    <w:t xml:space="preserve"> de SQLite. El usuario ve inmediatamente en su panel el historial actualizado.</w:t>
                  </w:r>
                </w:p>
              </w:tc>
            </w:tr>
            <w:tr w:rsidR="00C51DF4" w:rsidTr="4C161BAD" w14:paraId="780779CF"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29B4E72C" w14:textId="77777777">
                  <w:pPr>
                    <w:jc w:val="center"/>
                  </w:pPr>
                  <w:r>
                    <w:rPr>
                      <w:b/>
                      <w:bCs/>
                      <w:i/>
                      <w:iCs/>
                      <w:color w:val="1F6FA8"/>
                      <w:sz w:val="20"/>
                      <w:szCs w:val="20"/>
                    </w:rPr>
                    <w:t>Impacto</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1C154BBE" w14:textId="77777777">
                  <w:pPr>
                    <w:jc w:val="both"/>
                  </w:pPr>
                  <w:r>
                    <w:rPr>
                      <w:color w:val="000000"/>
                      <w:sz w:val="20"/>
                      <w:szCs w:val="20"/>
                    </w:rPr>
                    <w:t>Ventajas: Desacoplamiento total entre el Servicio de Monitoreo y sus consumidores. Alta disponibilidad del proceso de detección, independiente del estado de notificación e historial. Escalabilidad funcional: nuevos suscriptores se añaden sin modificar el publicador. Tolerancia a fallos mediante persistencia de mensajes en colas. Desventajas (</w:t>
                  </w:r>
                  <w:proofErr w:type="spellStart"/>
                  <w:r>
                    <w:rPr>
                      <w:color w:val="000000"/>
                      <w:sz w:val="20"/>
                      <w:szCs w:val="20"/>
                    </w:rPr>
                    <w:t>trade-offs</w:t>
                  </w:r>
                  <w:proofErr w:type="spellEnd"/>
                  <w:r>
                    <w:rPr>
                      <w:color w:val="000000"/>
                      <w:sz w:val="20"/>
                      <w:szCs w:val="20"/>
                    </w:rPr>
                    <w:t>): Consistencia eventual — el usuario no recibe la notificación en el instante exacto de la detección, sino cuando el suscriptor procesa el mensaje (usualmente en segundos). La depuración de flujos de eventos es más compleja que en sistemas síncronos. Requiere monitoreo del backlog de colas para detectar acumulaciones anómalas.</w:t>
                  </w:r>
                </w:p>
              </w:tc>
            </w:tr>
          </w:tbl>
          <w:p w:rsidR="00C51DF4" w:rsidRDefault="00C51DF4" w14:paraId="51D8E678" w14:textId="77777777"/>
        </w:tc>
      </w:tr>
      <w:tr w:rsidR="00C51DF4" w:rsidTr="4C161BAD" w14:paraId="07C4B5D7"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0AC10BB4" w14:textId="77777777">
            <w:pPr>
              <w:jc w:val="center"/>
            </w:pPr>
            <w:r>
              <w:rPr>
                <w:b/>
                <w:bCs/>
                <w:i/>
                <w:iCs/>
                <w:color w:val="000000"/>
                <w:sz w:val="21"/>
                <w:szCs w:val="21"/>
              </w:rPr>
              <w:t>Relaciones</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2AEAAB91" w14:textId="77777777">
            <w:pPr>
              <w:jc w:val="both"/>
            </w:pPr>
            <w:r>
              <w:rPr>
                <w:color w:val="000000"/>
                <w:sz w:val="21"/>
                <w:szCs w:val="21"/>
              </w:rPr>
              <w:t xml:space="preserve">Depende del patrón Service </w:t>
            </w:r>
            <w:proofErr w:type="spellStart"/>
            <w:r>
              <w:rPr>
                <w:color w:val="000000"/>
                <w:sz w:val="21"/>
                <w:szCs w:val="21"/>
              </w:rPr>
              <w:t>Registry</w:t>
            </w:r>
            <w:proofErr w:type="spellEnd"/>
            <w:r>
              <w:rPr>
                <w:color w:val="000000"/>
                <w:sz w:val="21"/>
                <w:szCs w:val="21"/>
              </w:rPr>
              <w:t xml:space="preserve"> para que los suscriptores descubran la dirección del </w:t>
            </w:r>
            <w:proofErr w:type="spellStart"/>
            <w:r>
              <w:rPr>
                <w:color w:val="000000"/>
                <w:sz w:val="21"/>
                <w:szCs w:val="21"/>
              </w:rPr>
              <w:t>broker</w:t>
            </w:r>
            <w:proofErr w:type="spellEnd"/>
            <w:r>
              <w:rPr>
                <w:color w:val="000000"/>
                <w:sz w:val="21"/>
                <w:szCs w:val="21"/>
              </w:rPr>
              <w:t xml:space="preserve"> de mensajes. Es complementado por el patrón Service </w:t>
            </w:r>
            <w:proofErr w:type="spellStart"/>
            <w:r>
              <w:rPr>
                <w:color w:val="000000"/>
                <w:sz w:val="21"/>
                <w:szCs w:val="21"/>
              </w:rPr>
              <w:t>Façade</w:t>
            </w:r>
            <w:proofErr w:type="spellEnd"/>
            <w:r>
              <w:rPr>
                <w:color w:val="000000"/>
                <w:sz w:val="21"/>
                <w:szCs w:val="21"/>
              </w:rPr>
              <w:t xml:space="preserve"> (el API Gateway puede actuar como punto de entrada para </w:t>
            </w:r>
            <w:proofErr w:type="spellStart"/>
            <w:r>
              <w:rPr>
                <w:color w:val="000000"/>
                <w:sz w:val="21"/>
                <w:szCs w:val="21"/>
              </w:rPr>
              <w:t>webhooks</w:t>
            </w:r>
            <w:proofErr w:type="spellEnd"/>
            <w:r>
              <w:rPr>
                <w:color w:val="000000"/>
                <w:sz w:val="21"/>
                <w:szCs w:val="21"/>
              </w:rPr>
              <w:t xml:space="preserve"> externos que disparen eventos en el bus). Los tres patrones forman un conjunto cohesivo: el </w:t>
            </w:r>
            <w:proofErr w:type="spellStart"/>
            <w:r>
              <w:rPr>
                <w:color w:val="000000"/>
                <w:sz w:val="21"/>
                <w:szCs w:val="21"/>
              </w:rPr>
              <w:t>Registry</w:t>
            </w:r>
            <w:proofErr w:type="spellEnd"/>
            <w:r>
              <w:rPr>
                <w:color w:val="000000"/>
                <w:sz w:val="21"/>
                <w:szCs w:val="21"/>
              </w:rPr>
              <w:t xml:space="preserve"> habilita el descubrimiento, la </w:t>
            </w:r>
            <w:proofErr w:type="spellStart"/>
            <w:r>
              <w:rPr>
                <w:color w:val="000000"/>
                <w:sz w:val="21"/>
                <w:szCs w:val="21"/>
              </w:rPr>
              <w:t>Façade</w:t>
            </w:r>
            <w:proofErr w:type="spellEnd"/>
            <w:r>
              <w:rPr>
                <w:color w:val="000000"/>
                <w:sz w:val="21"/>
                <w:szCs w:val="21"/>
              </w:rPr>
              <w:t xml:space="preserve"> centraliza el acceso externo, y el Pub-Sub gestiona la comunicación asíncrona interna.</w:t>
            </w:r>
          </w:p>
        </w:tc>
      </w:tr>
    </w:tbl>
    <w:p w:rsidR="00C51DF4" w:rsidRDefault="00C51DF4" w14:paraId="2080BC9E" w14:textId="77777777">
      <w:pPr>
        <w:spacing w:after="160"/>
      </w:pPr>
    </w:p>
    <w:p w:rsidR="00C51DF4" w:rsidRDefault="00E00045" w14:paraId="05D0C621" w14:textId="311012D7">
      <w:pPr>
        <w:pStyle w:val="Ttulo2"/>
      </w:pPr>
      <w:r>
        <w:t xml:space="preserve">3.3 Patrón 3: Service </w:t>
      </w:r>
      <w:proofErr w:type="spellStart"/>
      <w:r>
        <w:t>Fa</w:t>
      </w:r>
      <w:r w:rsidR="00DA3306">
        <w:t>c</w:t>
      </w:r>
      <w:r>
        <w:t>ade</w:t>
      </w:r>
      <w:proofErr w:type="spellEnd"/>
      <w:r>
        <w:t xml:space="preserve"> (Fachada de Servicio)</w:t>
      </w:r>
    </w:p>
    <w:p w:rsidR="00C51DF4" w:rsidRDefault="00C51DF4" w14:paraId="354D9377"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96"/>
        <w:gridCol w:w="6864"/>
      </w:tblGrid>
      <w:tr w:rsidR="00C51DF4" w:rsidTr="4C161BAD" w14:paraId="4E65304F" w14:textId="77777777">
        <w:trPr>
          <w:tblHeader/>
        </w:trPr>
        <w:tc>
          <w:tcPr>
            <w:tcW w:w="9360" w:type="dxa"/>
            <w:gridSpan w:val="2"/>
            <w:tcBorders>
              <w:top w:val="single" w:color="CCCCCC" w:sz="1" w:space="0"/>
              <w:left w:val="single" w:color="CCCCCC" w:sz="1" w:space="0"/>
              <w:bottom w:val="single" w:color="CCCCCC" w:sz="1" w:space="0"/>
              <w:right w:val="single" w:color="CCCCCC" w:sz="1" w:space="0"/>
            </w:tcBorders>
            <w:shd w:val="clear" w:color="auto" w:fill="1F6FA8"/>
            <w:tcMar>
              <w:top w:w="120" w:type="dxa"/>
              <w:left w:w="140" w:type="dxa"/>
              <w:bottom w:w="120" w:type="dxa"/>
              <w:right w:w="140" w:type="dxa"/>
            </w:tcMar>
          </w:tcPr>
          <w:p w:rsidR="00C51DF4" w:rsidRDefault="00E00045" w14:paraId="7C1F0DE6" w14:textId="349B0380">
            <w:pPr>
              <w:jc w:val="center"/>
            </w:pPr>
            <w:r>
              <w:rPr>
                <w:b/>
                <w:bCs/>
                <w:color w:val="FFFFFF"/>
                <w:sz w:val="24"/>
                <w:szCs w:val="24"/>
              </w:rPr>
              <w:t xml:space="preserve">Patrón SOA: </w:t>
            </w:r>
            <w:r>
              <w:rPr>
                <w:b/>
                <w:bCs/>
                <w:color w:val="D5E8F0"/>
                <w:sz w:val="24"/>
                <w:szCs w:val="24"/>
              </w:rPr>
              <w:t xml:space="preserve">Service </w:t>
            </w:r>
            <w:proofErr w:type="spellStart"/>
            <w:r>
              <w:rPr>
                <w:b/>
                <w:bCs/>
                <w:color w:val="D5E8F0"/>
                <w:sz w:val="24"/>
                <w:szCs w:val="24"/>
              </w:rPr>
              <w:t>Fa</w:t>
            </w:r>
            <w:r w:rsidR="00DA3306">
              <w:rPr>
                <w:b/>
                <w:bCs/>
                <w:color w:val="D5E8F0"/>
                <w:sz w:val="24"/>
                <w:szCs w:val="24"/>
              </w:rPr>
              <w:t>c</w:t>
            </w:r>
            <w:r>
              <w:rPr>
                <w:b/>
                <w:bCs/>
                <w:color w:val="D5E8F0"/>
                <w:sz w:val="24"/>
                <w:szCs w:val="24"/>
              </w:rPr>
              <w:t>ade</w:t>
            </w:r>
            <w:proofErr w:type="spellEnd"/>
            <w:r>
              <w:rPr>
                <w:b/>
                <w:bCs/>
                <w:color w:val="D5E8F0"/>
                <w:sz w:val="24"/>
                <w:szCs w:val="24"/>
              </w:rPr>
              <w:t xml:space="preserve"> (materializada como API Gateway)</w:t>
            </w:r>
          </w:p>
        </w:tc>
      </w:tr>
      <w:tr w:rsidR="00C51DF4" w:rsidTr="4C161BAD" w14:paraId="0EA14811"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1AFB1500" w14:textId="77777777">
            <w:pPr>
              <w:jc w:val="center"/>
            </w:pPr>
            <w:r>
              <w:rPr>
                <w:b/>
                <w:bCs/>
                <w:color w:val="FFFFFF"/>
                <w:sz w:val="20"/>
                <w:szCs w:val="20"/>
              </w:rPr>
              <w:t>Característica</w:t>
            </w:r>
          </w:p>
        </w:tc>
        <w:tc>
          <w:tcPr>
            <w:tcW w:w="686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2D6173B9" w14:textId="77777777">
            <w:pPr>
              <w:jc w:val="center"/>
            </w:pPr>
            <w:r>
              <w:rPr>
                <w:b/>
                <w:bCs/>
                <w:color w:val="FFFFFF"/>
                <w:sz w:val="20"/>
                <w:szCs w:val="20"/>
              </w:rPr>
              <w:t>Descripción / descripción de la categoría</w:t>
            </w:r>
          </w:p>
        </w:tc>
      </w:tr>
      <w:tr w:rsidR="00C51DF4" w:rsidTr="4C161BAD" w14:paraId="5E062D2B"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5C566F11" w14:textId="77777777">
            <w:pPr>
              <w:jc w:val="center"/>
            </w:pPr>
            <w:r>
              <w:rPr>
                <w:b/>
                <w:bCs/>
                <w:i/>
                <w:iCs/>
                <w:color w:val="000000"/>
                <w:sz w:val="21"/>
                <w:szCs w:val="21"/>
              </w:rPr>
              <w:t>Requerimiento</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7AEFD689" w14:textId="77777777">
            <w:pPr>
              <w:jc w:val="both"/>
            </w:pPr>
            <w:r>
              <w:rPr>
                <w:color w:val="000000"/>
                <w:sz w:val="21"/>
                <w:szCs w:val="21"/>
              </w:rPr>
              <w:t xml:space="preserve">¿Cómo puede el cliente web de </w:t>
            </w:r>
            <w:proofErr w:type="spellStart"/>
            <w:r>
              <w:rPr>
                <w:color w:val="000000"/>
                <w:sz w:val="21"/>
                <w:szCs w:val="21"/>
              </w:rPr>
              <w:t>CiberEscudo</w:t>
            </w:r>
            <w:proofErr w:type="spellEnd"/>
            <w:r>
              <w:rPr>
                <w:color w:val="000000"/>
                <w:sz w:val="21"/>
                <w:szCs w:val="21"/>
              </w:rPr>
              <w:t xml:space="preserve"> interactuar con múltiples servicios internos a través de una interfaz simplificada y unificada, sin exponerse a la complejidad interna del sistema ni verse afectado por los cambios en la estructura de servicios?</w:t>
            </w:r>
          </w:p>
        </w:tc>
      </w:tr>
      <w:tr w:rsidR="77578E49" w:rsidTr="4C161BAD" w14:paraId="496D9D82" w14:textId="77777777">
        <w:trPr>
          <w:trHeight w:val="300"/>
        </w:trPr>
        <w:tc>
          <w:tcPr>
            <w:tcW w:w="249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5B266529" w:rsidP="77578E49" w:rsidRDefault="5B266529" w14:paraId="34065A30" w14:textId="16AA13EE">
            <w:pPr>
              <w:jc w:val="center"/>
              <w:rPr>
                <w:b/>
                <w:bCs/>
                <w:i/>
                <w:iCs/>
                <w:color w:val="000000" w:themeColor="text1"/>
                <w:sz w:val="21"/>
                <w:szCs w:val="21"/>
              </w:rPr>
            </w:pPr>
            <w:r w:rsidRPr="77578E49">
              <w:rPr>
                <w:b/>
                <w:bCs/>
                <w:i/>
                <w:iCs/>
                <w:color w:val="000000" w:themeColor="text1"/>
                <w:sz w:val="21"/>
                <w:szCs w:val="21"/>
              </w:rPr>
              <w:t>Icono</w:t>
            </w:r>
          </w:p>
        </w:tc>
        <w:tc>
          <w:tcPr>
            <w:tcW w:w="686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77578E49" w:rsidP="4C161BAD" w:rsidRDefault="77578E49" w14:paraId="5934F1D9" w14:textId="685DDEC0">
            <w:pPr>
              <w:jc w:val="center"/>
              <w:rPr>
                <w:color w:val="000000" w:themeColor="text1"/>
                <w:sz w:val="21"/>
                <w:szCs w:val="21"/>
              </w:rPr>
            </w:pPr>
            <w:r w:rsidR="1C4F36C2">
              <w:drawing>
                <wp:inline wp14:editId="3DA5F6D3" wp14:anchorId="35392275">
                  <wp:extent cx="1504974" cy="704853"/>
                  <wp:effectExtent l="0" t="0" r="0" b="0"/>
                  <wp:docPr id="1195099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099050" name="Picture 1195099050"/>
                          <pic:cNvPicPr/>
                        </pic:nvPicPr>
                        <pic:blipFill>
                          <a:blip xmlns:r="http://schemas.openxmlformats.org/officeDocument/2006/relationships" r:embed="rId1338403993">
                            <a:extLst>
                              <a:ext uri="{28A0092B-C50C-407E-A947-70E740481C1C}">
                                <a14:useLocalDpi xmlns:a14="http://schemas.microsoft.com/office/drawing/2010/main"/>
                              </a:ext>
                            </a:extLst>
                          </a:blip>
                          <a:srcRect l="24429" t="29452" r="23972" b="28767"/>
                          <a:stretch>
                            <a:fillRect/>
                          </a:stretch>
                        </pic:blipFill>
                        <pic:spPr>
                          <a:xfrm rot="0">
                            <a:off x="0" y="0"/>
                            <a:ext cx="1504974" cy="704853"/>
                          </a:xfrm>
                          <a:prstGeom prst="rect">
                            <a:avLst/>
                          </a:prstGeom>
                        </pic:spPr>
                      </pic:pic>
                    </a:graphicData>
                  </a:graphic>
                </wp:inline>
              </w:drawing>
            </w:r>
          </w:p>
        </w:tc>
      </w:tr>
      <w:tr w:rsidR="00C51DF4" w:rsidTr="4C161BAD" w14:paraId="4704C40A" w14:textId="77777777">
        <w:tc>
          <w:tcPr>
            <w:tcW w:w="25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40" w:type="dxa"/>
              <w:bottom w:w="80" w:type="dxa"/>
              <w:right w:w="140" w:type="dxa"/>
            </w:tcMar>
            <w:vAlign w:val="center"/>
          </w:tcPr>
          <w:p w:rsidR="00C51DF4" w:rsidRDefault="00E00045" w14:paraId="2DFFBDF0" w14:textId="77777777">
            <w:pPr>
              <w:jc w:val="center"/>
            </w:pPr>
            <w:r>
              <w:rPr>
                <w:b/>
                <w:bCs/>
                <w:color w:val="1F6FA8"/>
                <w:sz w:val="21"/>
                <w:szCs w:val="21"/>
              </w:rPr>
              <w:t>Resumen</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0" w:type="dxa"/>
              <w:left w:w="0" w:type="dxa"/>
              <w:bottom w:w="0" w:type="dxa"/>
              <w:right w:w="0" w:type="dxa"/>
            </w:tcMar>
          </w:tcPr>
          <w:tbl>
            <w:tblPr>
              <w:tblW w:w="68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5060"/>
            </w:tblGrid>
            <w:tr w:rsidR="00C51DF4" w:rsidTr="4C161BAD" w14:paraId="6B4426D8"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47266891" w14:textId="77777777">
                  <w:pPr>
                    <w:jc w:val="center"/>
                  </w:pPr>
                  <w:r>
                    <w:rPr>
                      <w:b/>
                      <w:bCs/>
                      <w:i/>
                      <w:iCs/>
                      <w:color w:val="1F6FA8"/>
                      <w:sz w:val="20"/>
                      <w:szCs w:val="20"/>
                    </w:rPr>
                    <w:t>Problema</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27866E59" w14:textId="77777777">
                  <w:pPr>
                    <w:jc w:val="both"/>
                  </w:pPr>
                  <w:r>
                    <w:rPr>
                      <w:color w:val="000000"/>
                      <w:sz w:val="20"/>
                      <w:szCs w:val="20"/>
                    </w:rPr>
                    <w:t xml:space="preserve">El </w:t>
                  </w:r>
                  <w:proofErr w:type="spellStart"/>
                  <w:r>
                    <w:rPr>
                      <w:color w:val="000000"/>
                      <w:sz w:val="20"/>
                      <w:szCs w:val="20"/>
                    </w:rPr>
                    <w:t>frontend</w:t>
                  </w:r>
                  <w:proofErr w:type="spellEnd"/>
                  <w:r>
                    <w:rPr>
                      <w:color w:val="000000"/>
                      <w:sz w:val="20"/>
                      <w:szCs w:val="20"/>
                    </w:rPr>
                    <w:t xml:space="preserve"> web de </w:t>
                  </w:r>
                  <w:proofErr w:type="spellStart"/>
                  <w:r>
                    <w:rPr>
                      <w:color w:val="000000"/>
                      <w:sz w:val="20"/>
                      <w:szCs w:val="20"/>
                    </w:rPr>
                    <w:t>CiberEscudo</w:t>
                  </w:r>
                  <w:proofErr w:type="spellEnd"/>
                  <w:r>
                    <w:rPr>
                      <w:color w:val="000000"/>
                      <w:sz w:val="20"/>
                      <w:szCs w:val="20"/>
                    </w:rPr>
                    <w:t xml:space="preserve"> necesita, para renderizar el </w:t>
                  </w:r>
                  <w:proofErr w:type="spellStart"/>
                  <w:r>
                    <w:rPr>
                      <w:color w:val="000000"/>
                      <w:sz w:val="20"/>
                      <w:szCs w:val="20"/>
                    </w:rPr>
                    <w:t>dashboard</w:t>
                  </w:r>
                  <w:proofErr w:type="spellEnd"/>
                  <w:r>
                    <w:rPr>
                      <w:color w:val="000000"/>
                      <w:sz w:val="20"/>
                      <w:szCs w:val="20"/>
                    </w:rPr>
                    <w:t xml:space="preserve"> del usuario, información de al menos tres servicios: Monitoreo (brechas actuales), Historial (alertas anteriores) y Guías de Acción (contenido contextual). Sin una fachada, el cliente debería conocer las </w:t>
                  </w:r>
                  <w:proofErr w:type="spellStart"/>
                  <w:r>
                    <w:rPr>
                      <w:color w:val="000000"/>
                      <w:sz w:val="20"/>
                      <w:szCs w:val="20"/>
                    </w:rPr>
                    <w:t>URLs</w:t>
                  </w:r>
                  <w:proofErr w:type="spellEnd"/>
                  <w:r>
                    <w:rPr>
                      <w:color w:val="000000"/>
                      <w:sz w:val="20"/>
                      <w:szCs w:val="20"/>
                    </w:rPr>
                    <w:t xml:space="preserve"> individuales de cada servicio, gestionar la autenticación por separado en cada llamada, manejar versiones diferentes de cada API y consolidar respuestas. Esto acopla el cliente a la topología interna del sistema, dificulta el </w:t>
                  </w:r>
                  <w:proofErr w:type="spellStart"/>
                  <w:r>
                    <w:rPr>
                      <w:color w:val="000000"/>
                      <w:sz w:val="20"/>
                      <w:szCs w:val="20"/>
                    </w:rPr>
                    <w:t>refactorin</w:t>
                  </w:r>
                  <w:r>
                    <w:rPr>
                      <w:color w:val="000000"/>
                      <w:sz w:val="20"/>
                      <w:szCs w:val="20"/>
                    </w:rPr>
                    <w:t>g</w:t>
                  </w:r>
                  <w:proofErr w:type="spellEnd"/>
                  <w:r>
                    <w:rPr>
                      <w:color w:val="000000"/>
                      <w:sz w:val="20"/>
                      <w:szCs w:val="20"/>
                    </w:rPr>
                    <w:t xml:space="preserve"> de servicios y expone la arquitectura interna al exterior.</w:t>
                  </w:r>
                </w:p>
              </w:tc>
            </w:tr>
            <w:tr w:rsidR="4C161BAD" w:rsidTr="4C161BAD" w14:paraId="5DA3578B">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4826F450" w:rsidP="4C161BAD" w:rsidRDefault="4826F450" w14:paraId="36AAADD2" w14:textId="12EA2818">
                  <w:pPr>
                    <w:pStyle w:val="Normal"/>
                    <w:jc w:val="center"/>
                    <w:rPr>
                      <w:b w:val="1"/>
                      <w:bCs w:val="1"/>
                      <w:i w:val="1"/>
                      <w:iCs w:val="1"/>
                      <w:color w:val="1F6FA8"/>
                      <w:sz w:val="20"/>
                      <w:szCs w:val="20"/>
                    </w:rPr>
                  </w:pPr>
                  <w:r w:rsidRPr="4C161BAD" w:rsidR="4826F450">
                    <w:rPr>
                      <w:b w:val="1"/>
                      <w:bCs w:val="1"/>
                      <w:i w:val="1"/>
                      <w:iCs w:val="1"/>
                      <w:color w:val="1F6FA8"/>
                      <w:sz w:val="20"/>
                      <w:szCs w:val="20"/>
                    </w:rPr>
                    <w:t>Diagrama Problema</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4826F450" w:rsidP="4C161BAD" w:rsidRDefault="4826F450" w14:paraId="2B201BE0" w14:textId="6CF06316">
                  <w:pPr>
                    <w:pStyle w:val="Normal"/>
                    <w:jc w:val="both"/>
                    <w:rPr>
                      <w:color w:val="000000" w:themeColor="text1" w:themeTint="FF" w:themeShade="FF"/>
                      <w:sz w:val="20"/>
                      <w:szCs w:val="20"/>
                    </w:rPr>
                  </w:pPr>
                  <w:r w:rsidR="4826F450">
                    <w:drawing>
                      <wp:inline wp14:editId="520CB9DC" wp14:anchorId="28C7409A">
                        <wp:extent cx="3048000" cy="962025"/>
                        <wp:effectExtent l="0" t="0" r="0" b="0"/>
                        <wp:docPr id="1277029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029131" name="Picture 1277029131"/>
                                <pic:cNvPicPr/>
                              </pic:nvPicPr>
                              <pic:blipFill>
                                <a:blip xmlns:r="http://schemas.openxmlformats.org/officeDocument/2006/relationships" r:embed="rId1059399749">
                                  <a:extLst>
                                    <a:ext uri="{28A0092B-C50C-407E-A947-70E740481C1C}">
                                      <a14:useLocalDpi xmlns:a14="http://schemas.microsoft.com/office/drawing/2010/main"/>
                                    </a:ext>
                                  </a:extLst>
                                </a:blip>
                                <a:stretch>
                                  <a:fillRect/>
                                </a:stretch>
                              </pic:blipFill>
                              <pic:spPr>
                                <a:xfrm>
                                  <a:off x="0" y="0"/>
                                  <a:ext cx="3048000" cy="962025"/>
                                </a:xfrm>
                                <a:prstGeom prst="rect">
                                  <a:avLst/>
                                </a:prstGeom>
                              </pic:spPr>
                            </pic:pic>
                          </a:graphicData>
                        </a:graphic>
                      </wp:inline>
                    </w:drawing>
                  </w:r>
                </w:p>
              </w:tc>
            </w:tr>
            <w:tr w:rsidR="00C51DF4" w:rsidTr="4C161BAD" w14:paraId="504A0C28"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3093167E" w14:textId="77777777">
                  <w:pPr>
                    <w:jc w:val="center"/>
                  </w:pPr>
                  <w:r>
                    <w:rPr>
                      <w:b/>
                      <w:bCs/>
                      <w:i/>
                      <w:iCs/>
                      <w:color w:val="1F6FA8"/>
                      <w:sz w:val="20"/>
                      <w:szCs w:val="20"/>
                    </w:rPr>
                    <w:t>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15D2BA84" w14:textId="77777777">
                  <w:pPr>
                    <w:jc w:val="both"/>
                  </w:pPr>
                  <w:r>
                    <w:rPr>
                      <w:color w:val="000000"/>
                      <w:sz w:val="20"/>
                      <w:szCs w:val="20"/>
                    </w:rPr>
                    <w:t xml:space="preserve">Se implementa una Service </w:t>
                  </w:r>
                  <w:proofErr w:type="spellStart"/>
                  <w:r>
                    <w:rPr>
                      <w:color w:val="000000"/>
                      <w:sz w:val="20"/>
                      <w:szCs w:val="20"/>
                    </w:rPr>
                    <w:t>Façade</w:t>
                  </w:r>
                  <w:proofErr w:type="spellEnd"/>
                  <w:r>
                    <w:rPr>
                      <w:color w:val="000000"/>
                      <w:sz w:val="20"/>
                      <w:szCs w:val="20"/>
                    </w:rPr>
                    <w:t xml:space="preserve"> materializada como API Gateway (Kong). Esta fachada expone una API unificada al cliente, internamente orquestando las llamadas a los servicios necesarios, aplicando políticas transversales (validación JWT, </w:t>
                  </w:r>
                  <w:proofErr w:type="spellStart"/>
                  <w:r>
                    <w:rPr>
                      <w:color w:val="000000"/>
                      <w:sz w:val="20"/>
                      <w:szCs w:val="20"/>
                    </w:rPr>
                    <w:t>rate</w:t>
                  </w:r>
                  <w:proofErr w:type="spellEnd"/>
                  <w:r>
                    <w:rPr>
                      <w:color w:val="000000"/>
                      <w:sz w:val="20"/>
                      <w:szCs w:val="20"/>
                    </w:rPr>
                    <w:t xml:space="preserve"> </w:t>
                  </w:r>
                  <w:proofErr w:type="spellStart"/>
                  <w:r>
                    <w:rPr>
                      <w:color w:val="000000"/>
                      <w:sz w:val="20"/>
                      <w:szCs w:val="20"/>
                    </w:rPr>
                    <w:t>limiting</w:t>
                  </w:r>
                  <w:proofErr w:type="spellEnd"/>
                  <w:r>
                    <w:rPr>
                      <w:color w:val="000000"/>
                      <w:sz w:val="20"/>
                      <w:szCs w:val="20"/>
                    </w:rPr>
                    <w:t xml:space="preserve">, CORS, </w:t>
                  </w:r>
                  <w:proofErr w:type="spellStart"/>
                  <w:r>
                    <w:rPr>
                      <w:color w:val="000000"/>
                      <w:sz w:val="20"/>
                      <w:szCs w:val="20"/>
                    </w:rPr>
                    <w:t>logging</w:t>
                  </w:r>
                  <w:proofErr w:type="spellEnd"/>
                  <w:r>
                    <w:rPr>
                      <w:color w:val="000000"/>
                      <w:sz w:val="20"/>
                      <w:szCs w:val="20"/>
                    </w:rPr>
                    <w:t xml:space="preserve"> centralizado) y consolidando respuestas en un único objeto JSON. El cliente interactúa exclusivamente con el Gateway en https://api.ciberescudo.co, sin conocer la topología interna.</w:t>
                  </w:r>
                </w:p>
              </w:tc>
            </w:tr>
            <w:tr w:rsidR="4C161BAD" w:rsidTr="4C161BAD" w14:paraId="32D0E5FE">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D7B3AC5" w:rsidP="4C161BAD" w:rsidRDefault="4D7B3AC5" w14:paraId="07C0CF1A" w14:textId="59C51E65">
                  <w:pPr>
                    <w:pStyle w:val="Normal"/>
                    <w:jc w:val="center"/>
                    <w:rPr>
                      <w:b w:val="1"/>
                      <w:bCs w:val="1"/>
                      <w:i w:val="1"/>
                      <w:iCs w:val="1"/>
                      <w:color w:val="1F6FA8"/>
                      <w:sz w:val="20"/>
                      <w:szCs w:val="20"/>
                    </w:rPr>
                  </w:pPr>
                  <w:r w:rsidRPr="4C161BAD" w:rsidR="4D7B3AC5">
                    <w:rPr>
                      <w:b w:val="1"/>
                      <w:bCs w:val="1"/>
                      <w:i w:val="1"/>
                      <w:iCs w:val="1"/>
                      <w:color w:val="1F6FA8"/>
                      <w:sz w:val="20"/>
                      <w:szCs w:val="20"/>
                    </w:rPr>
                    <w:t>Diagrama 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4D7B3AC5" w:rsidP="4C161BAD" w:rsidRDefault="4D7B3AC5" w14:paraId="5C1EF7D1" w14:textId="6B60001F">
                  <w:pPr>
                    <w:pStyle w:val="Normal"/>
                    <w:jc w:val="both"/>
                    <w:rPr>
                      <w:color w:val="000000" w:themeColor="text1" w:themeTint="FF" w:themeShade="FF"/>
                      <w:sz w:val="20"/>
                      <w:szCs w:val="20"/>
                    </w:rPr>
                  </w:pPr>
                  <w:r w:rsidR="4D7B3AC5">
                    <w:drawing>
                      <wp:inline wp14:editId="783D5FB2" wp14:anchorId="4990ED22">
                        <wp:extent cx="3048000" cy="904875"/>
                        <wp:effectExtent l="0" t="0" r="0" b="0"/>
                        <wp:docPr id="904180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180625" name="Picture 904180625"/>
                                <pic:cNvPicPr/>
                              </pic:nvPicPr>
                              <pic:blipFill>
                                <a:blip xmlns:r="http://schemas.openxmlformats.org/officeDocument/2006/relationships" r:embed="rId679918530">
                                  <a:extLst>
                                    <a:ext uri="{28A0092B-C50C-407E-A947-70E740481C1C}">
                                      <a14:useLocalDpi xmlns:a14="http://schemas.microsoft.com/office/drawing/2010/main"/>
                                    </a:ext>
                                  </a:extLst>
                                </a:blip>
                                <a:stretch>
                                  <a:fillRect/>
                                </a:stretch>
                              </pic:blipFill>
                              <pic:spPr>
                                <a:xfrm>
                                  <a:off x="0" y="0"/>
                                  <a:ext cx="3048000" cy="904875"/>
                                </a:xfrm>
                                <a:prstGeom prst="rect">
                                  <a:avLst/>
                                </a:prstGeom>
                              </pic:spPr>
                            </pic:pic>
                          </a:graphicData>
                        </a:graphic>
                      </wp:inline>
                    </w:drawing>
                  </w:r>
                </w:p>
              </w:tc>
            </w:tr>
            <w:tr w:rsidR="00C51DF4" w:rsidTr="4C161BAD" w14:paraId="43B61B4D"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43C128D5" w14:textId="77777777">
                  <w:pPr>
                    <w:jc w:val="center"/>
                  </w:pPr>
                  <w:r>
                    <w:rPr>
                      <w:b/>
                      <w:bCs/>
                      <w:i/>
                      <w:iCs/>
                      <w:color w:val="1F6FA8"/>
                      <w:sz w:val="20"/>
                      <w:szCs w:val="20"/>
                    </w:rPr>
                    <w:t>Aplicación</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64484619" w14:textId="77777777">
                  <w:pPr>
                    <w:jc w:val="both"/>
                  </w:pPr>
                  <w:r>
                    <w:rPr>
                      <w:color w:val="000000"/>
                      <w:sz w:val="20"/>
                      <w:szCs w:val="20"/>
                    </w:rPr>
                    <w:t xml:space="preserve">Al acceder al </w:t>
                  </w:r>
                  <w:proofErr w:type="spellStart"/>
                  <w:r>
                    <w:rPr>
                      <w:color w:val="000000"/>
                      <w:sz w:val="20"/>
                      <w:szCs w:val="20"/>
                    </w:rPr>
                    <w:t>dashboard</w:t>
                  </w:r>
                  <w:proofErr w:type="spellEnd"/>
                  <w:r>
                    <w:rPr>
                      <w:color w:val="000000"/>
                      <w:sz w:val="20"/>
                      <w:szCs w:val="20"/>
                    </w:rPr>
                    <w:t>, el cliente realiza una sola petición GET /</w:t>
                  </w:r>
                  <w:proofErr w:type="spellStart"/>
                  <w:r>
                    <w:rPr>
                      <w:color w:val="000000"/>
                      <w:sz w:val="20"/>
                      <w:szCs w:val="20"/>
                    </w:rPr>
                    <w:t>dashboard</w:t>
                  </w:r>
                  <w:proofErr w:type="spellEnd"/>
                  <w:r>
                    <w:rPr>
                      <w:color w:val="000000"/>
                      <w:sz w:val="20"/>
                      <w:szCs w:val="20"/>
                    </w:rPr>
                    <w:t xml:space="preserve"> al Gateway. Este: (1) valida el token JWT con el Servicio de Autenticación, (2) consulta en paralelo al Servicio de Monitoreo (brechas activas) y al Servicio de Historial (últimas 5 alertas), (3) consolida las respuestas y retorna un único JSON al cliente en menos de 1 segundo. Si el equipo decide separar el Servicio de Historial en dos (alertas y estadísticas), el cliente no percibe el cambio: el Gateway absorbe la diferencia internamente, preservando e</w:t>
                  </w:r>
                  <w:r>
                    <w:rPr>
                      <w:color w:val="000000"/>
                      <w:sz w:val="20"/>
                      <w:szCs w:val="20"/>
                    </w:rPr>
                    <w:t>l contrato externo.</w:t>
                  </w:r>
                </w:p>
              </w:tc>
            </w:tr>
            <w:tr w:rsidR="00C51DF4" w:rsidTr="4C161BAD" w14:paraId="23BCF55D"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3C423A3B" w14:textId="77777777">
                  <w:pPr>
                    <w:jc w:val="center"/>
                  </w:pPr>
                  <w:r>
                    <w:rPr>
                      <w:b/>
                      <w:bCs/>
                      <w:i/>
                      <w:iCs/>
                      <w:color w:val="1F6FA8"/>
                      <w:sz w:val="20"/>
                      <w:szCs w:val="20"/>
                    </w:rPr>
                    <w:t>Impacto</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53C0BA6E" w14:textId="77777777">
                  <w:pPr>
                    <w:jc w:val="both"/>
                  </w:pPr>
                  <w:r>
                    <w:rPr>
                      <w:color w:val="000000"/>
                      <w:sz w:val="20"/>
                      <w:szCs w:val="20"/>
                    </w:rPr>
                    <w:t xml:space="preserve">Ventajas: Simplifica el cliente al ocultar la complejidad interna. Centraliza políticas de seguridad, </w:t>
                  </w:r>
                  <w:proofErr w:type="spellStart"/>
                  <w:r>
                    <w:rPr>
                      <w:color w:val="000000"/>
                      <w:sz w:val="20"/>
                      <w:szCs w:val="20"/>
                    </w:rPr>
                    <w:t>logging</w:t>
                  </w:r>
                  <w:proofErr w:type="spellEnd"/>
                  <w:r>
                    <w:rPr>
                      <w:color w:val="000000"/>
                      <w:sz w:val="20"/>
                      <w:szCs w:val="20"/>
                    </w:rPr>
                    <w:t xml:space="preserve"> y </w:t>
                  </w:r>
                  <w:proofErr w:type="spellStart"/>
                  <w:r>
                    <w:rPr>
                      <w:color w:val="000000"/>
                      <w:sz w:val="20"/>
                      <w:szCs w:val="20"/>
                    </w:rPr>
                    <w:t>throttling</w:t>
                  </w:r>
                  <w:proofErr w:type="spellEnd"/>
                  <w:r>
                    <w:rPr>
                      <w:color w:val="000000"/>
                      <w:sz w:val="20"/>
                      <w:szCs w:val="20"/>
                    </w:rPr>
                    <w:t>, evitando duplicación en cada servicio. Permite refactorizar la arquitectura interna sin cambiar el contrato externo. Habilita el versionado de la API (v1, v2) de forma transparente. Desventajas (</w:t>
                  </w:r>
                  <w:proofErr w:type="spellStart"/>
                  <w:r>
                    <w:rPr>
                      <w:color w:val="000000"/>
                      <w:sz w:val="20"/>
                      <w:szCs w:val="20"/>
                    </w:rPr>
                    <w:t>trade-offs</w:t>
                  </w:r>
                  <w:proofErr w:type="spellEnd"/>
                  <w:r>
                    <w:rPr>
                      <w:color w:val="000000"/>
                      <w:sz w:val="20"/>
                      <w:szCs w:val="20"/>
                    </w:rPr>
                    <w:t xml:space="preserve">): El Gateway puede convertirse en un cuello de botella si no se escala horizontalmente — en </w:t>
                  </w:r>
                  <w:proofErr w:type="spellStart"/>
                  <w:r>
                    <w:rPr>
                      <w:color w:val="000000"/>
                      <w:sz w:val="20"/>
                      <w:szCs w:val="20"/>
                    </w:rPr>
                    <w:t>CiberEscudo</w:t>
                  </w:r>
                  <w:proofErr w:type="spellEnd"/>
                  <w:r>
                    <w:rPr>
                      <w:color w:val="000000"/>
                      <w:sz w:val="20"/>
                      <w:szCs w:val="20"/>
                    </w:rPr>
                    <w:t xml:space="preserve"> se despliega en modo activo-activo con balanceador de carga. Añade un salto de red adicional a cada solicitud. Concentra la lógica de orquestación en un componente que debe tener alta disponibilidad p</w:t>
                  </w:r>
                  <w:r>
                    <w:rPr>
                      <w:color w:val="000000"/>
                      <w:sz w:val="20"/>
                      <w:szCs w:val="20"/>
                    </w:rPr>
                    <w:t>ropia.</w:t>
                  </w:r>
                </w:p>
              </w:tc>
            </w:tr>
          </w:tbl>
          <w:p w:rsidR="00C51DF4" w:rsidRDefault="00C51DF4" w14:paraId="231DBDBD" w14:textId="77777777"/>
        </w:tc>
      </w:tr>
      <w:tr w:rsidR="00C51DF4" w:rsidTr="4C161BAD" w14:paraId="781C67DA"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1CE19F4F" w14:textId="77777777">
            <w:pPr>
              <w:jc w:val="center"/>
            </w:pPr>
            <w:r>
              <w:rPr>
                <w:b/>
                <w:bCs/>
                <w:i/>
                <w:iCs/>
                <w:color w:val="000000"/>
                <w:sz w:val="21"/>
                <w:szCs w:val="21"/>
              </w:rPr>
              <w:t>Relaciones</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16A94DDA" w14:textId="77777777">
            <w:pPr>
              <w:jc w:val="both"/>
            </w:pPr>
            <w:r>
              <w:rPr>
                <w:color w:val="000000"/>
                <w:sz w:val="21"/>
                <w:szCs w:val="21"/>
              </w:rPr>
              <w:t xml:space="preserve">Depende del patrón Service </w:t>
            </w:r>
            <w:proofErr w:type="spellStart"/>
            <w:r>
              <w:rPr>
                <w:color w:val="000000"/>
                <w:sz w:val="21"/>
                <w:szCs w:val="21"/>
              </w:rPr>
              <w:t>Registry</w:t>
            </w:r>
            <w:proofErr w:type="spellEnd"/>
            <w:r>
              <w:rPr>
                <w:color w:val="000000"/>
                <w:sz w:val="21"/>
                <w:szCs w:val="21"/>
              </w:rPr>
              <w:t xml:space="preserve"> para descubrir los servicios internos que orquesta. Complementa el patrón </w:t>
            </w:r>
            <w:proofErr w:type="spellStart"/>
            <w:r>
              <w:rPr>
                <w:color w:val="000000"/>
                <w:sz w:val="21"/>
                <w:szCs w:val="21"/>
              </w:rPr>
              <w:t>Publish</w:t>
            </w:r>
            <w:proofErr w:type="spellEnd"/>
            <w:r>
              <w:rPr>
                <w:color w:val="000000"/>
                <w:sz w:val="21"/>
                <w:szCs w:val="21"/>
              </w:rPr>
              <w:t>-Subscribe al poder actuar como punto de entrada para eventos externos (</w:t>
            </w:r>
            <w:proofErr w:type="spellStart"/>
            <w:r>
              <w:rPr>
                <w:color w:val="000000"/>
                <w:sz w:val="21"/>
                <w:szCs w:val="21"/>
              </w:rPr>
              <w:t>webhooks</w:t>
            </w:r>
            <w:proofErr w:type="spellEnd"/>
            <w:r>
              <w:rPr>
                <w:color w:val="000000"/>
                <w:sz w:val="21"/>
                <w:szCs w:val="21"/>
              </w:rPr>
              <w:t xml:space="preserve"> de HIBP que anuncien nuevas brechas). Es el patrón de mayor visibilidad en la arquitectura de </w:t>
            </w:r>
            <w:proofErr w:type="spellStart"/>
            <w:r>
              <w:rPr>
                <w:color w:val="000000"/>
                <w:sz w:val="21"/>
                <w:szCs w:val="21"/>
              </w:rPr>
              <w:t>CiberEscudo</w:t>
            </w:r>
            <w:proofErr w:type="spellEnd"/>
            <w:r>
              <w:rPr>
                <w:color w:val="000000"/>
                <w:sz w:val="21"/>
                <w:szCs w:val="21"/>
              </w:rPr>
              <w:t>, ya que es el único componente que interactúa directamente con el cliente externo.</w:t>
            </w:r>
          </w:p>
        </w:tc>
      </w:tr>
    </w:tbl>
    <w:p w:rsidR="00C51DF4" w:rsidRDefault="00E00045" w14:paraId="74C91738" w14:textId="77777777">
      <w:r>
        <w:br w:type="page"/>
      </w:r>
    </w:p>
    <w:p w:rsidR="00C51DF4" w:rsidRDefault="00E00045" w14:paraId="618CB774" w14:textId="77777777">
      <w:pPr>
        <w:pStyle w:val="Ttulo1"/>
      </w:pPr>
      <w:r>
        <w:t>4. Conclusiones</w:t>
      </w:r>
    </w:p>
    <w:p w:rsidR="00C51DF4" w:rsidRDefault="00E00045" w14:paraId="6E66BD92" w14:textId="77777777">
      <w:pPr>
        <w:spacing w:after="160"/>
        <w:jc w:val="both"/>
      </w:pPr>
      <w:r>
        <w:rPr>
          <w:color w:val="000000"/>
        </w:rPr>
        <w:t>A partir del análisis desarrollado en la presente entrega se derivan las siguientes conclusiones:</w:t>
      </w:r>
    </w:p>
    <w:p w:rsidR="00C51DF4" w:rsidRDefault="00C51DF4" w14:paraId="76838179" w14:textId="77777777">
      <w:pPr>
        <w:spacing w:after="80"/>
      </w:pPr>
    </w:p>
    <w:p w:rsidR="00C51DF4" w:rsidRDefault="00E00045" w14:paraId="2E0AED7A" w14:textId="77777777">
      <w:pPr>
        <w:spacing w:after="120"/>
        <w:jc w:val="both"/>
      </w:pPr>
      <w:r>
        <w:rPr>
          <w:b/>
          <w:bCs/>
          <w:color w:val="000000"/>
        </w:rPr>
        <w:t xml:space="preserve">Sobre los componentes SOA: </w:t>
      </w:r>
      <w:r>
        <w:rPr>
          <w:color w:val="000000"/>
        </w:rPr>
        <w:t xml:space="preserve">La descomposición de </w:t>
      </w:r>
      <w:proofErr w:type="spellStart"/>
      <w:r>
        <w:rPr>
          <w:color w:val="000000"/>
        </w:rPr>
        <w:t>CiberEscudo</w:t>
      </w:r>
      <w:proofErr w:type="spellEnd"/>
      <w:r>
        <w:rPr>
          <w:color w:val="000000"/>
        </w:rPr>
        <w:t xml:space="preserve"> en seis servicios independientes —Autenticación, Monitoreo, Verificación de Contraseñas, Notificaciones, Guías de Acción e Historial— demuestra que la arquitectura orientada a servicios permite abordar la situación problema de manera modular y escalable. Cada servicio tiene una responsabilidad única y contratos de interfaz bien definidos, lo que facilita su evolución sin afectar al resto del sistema.</w:t>
      </w:r>
    </w:p>
    <w:p w:rsidR="00C51DF4" w:rsidRDefault="00E00045" w14:paraId="74453829" w14:textId="77777777">
      <w:pPr>
        <w:spacing w:after="120"/>
        <w:jc w:val="both"/>
      </w:pPr>
      <w:r>
        <w:rPr>
          <w:b/>
          <w:bCs/>
          <w:color w:val="000000"/>
        </w:rPr>
        <w:t xml:space="preserve">Sobre los proveedores de servicios: </w:t>
      </w:r>
      <w:r>
        <w:rPr>
          <w:color w:val="000000"/>
        </w:rPr>
        <w:t xml:space="preserve">La distinción entre el proveedor externo (HIBP) y los servicios internos de </w:t>
      </w:r>
      <w:proofErr w:type="spellStart"/>
      <w:r>
        <w:rPr>
          <w:color w:val="000000"/>
        </w:rPr>
        <w:t>CiberEscudo</w:t>
      </w:r>
      <w:proofErr w:type="spellEnd"/>
      <w:r>
        <w:rPr>
          <w:color w:val="000000"/>
        </w:rPr>
        <w:t xml:space="preserve">, mediada por el módulo adaptador, garantiza que los cambios en la API externa no se propaguen al sistema. El uso del </w:t>
      </w:r>
      <w:proofErr w:type="spellStart"/>
      <w:r>
        <w:rPr>
          <w:color w:val="000000"/>
        </w:rPr>
        <w:t>Adapter</w:t>
      </w:r>
      <w:proofErr w:type="spellEnd"/>
      <w:r>
        <w:rPr>
          <w:color w:val="000000"/>
        </w:rPr>
        <w:t xml:space="preserve"> </w:t>
      </w:r>
      <w:proofErr w:type="spellStart"/>
      <w:r>
        <w:rPr>
          <w:color w:val="000000"/>
        </w:rPr>
        <w:t>Pattern</w:t>
      </w:r>
      <w:proofErr w:type="spellEnd"/>
      <w:r>
        <w:rPr>
          <w:color w:val="000000"/>
        </w:rPr>
        <w:t xml:space="preserve"> sobre el proveedor externo es una decisión arquitectónica que protege la estabilidad del sistema ante la evolución de dependencias de terceros.</w:t>
      </w:r>
    </w:p>
    <w:p w:rsidR="00C51DF4" w:rsidRDefault="00E00045" w14:paraId="1E886ABE" w14:textId="77777777">
      <w:pPr>
        <w:spacing w:after="120"/>
        <w:jc w:val="both"/>
      </w:pPr>
      <w:r>
        <w:rPr>
          <w:b/>
          <w:bCs/>
          <w:color w:val="000000"/>
        </w:rPr>
        <w:t xml:space="preserve">Sobre el registro de servicios: </w:t>
      </w:r>
      <w:r>
        <w:rPr>
          <w:color w:val="000000"/>
        </w:rPr>
        <w:t xml:space="preserve">La implementación del Service </w:t>
      </w:r>
      <w:proofErr w:type="spellStart"/>
      <w:r>
        <w:rPr>
          <w:color w:val="000000"/>
        </w:rPr>
        <w:t>Registry</w:t>
      </w:r>
      <w:proofErr w:type="spellEnd"/>
      <w:r>
        <w:rPr>
          <w:color w:val="000000"/>
        </w:rPr>
        <w:t xml:space="preserve"> mediante config.py resuelve el acoplamiento de ubicación entre módulos de forma simple y adecuada para el MVP local. Centraliza la configuración de rutas y puertos en un único archivo, facilitando cambios sin tocar la lógica de negocio. Es la base sobre la cual los demás patrones pueden funcionar de forma coherente en el entorno local.</w:t>
      </w:r>
    </w:p>
    <w:p w:rsidR="00C51DF4" w:rsidRDefault="00E00045" w14:paraId="7273B996" w14:textId="77777777">
      <w:pPr>
        <w:spacing w:after="120"/>
        <w:jc w:val="both"/>
      </w:pPr>
      <w:r>
        <w:rPr>
          <w:b/>
          <w:bCs/>
          <w:color w:val="000000"/>
        </w:rPr>
        <w:t xml:space="preserve">Sobre los patrones SOA: </w:t>
      </w:r>
      <w:r>
        <w:rPr>
          <w:color w:val="000000"/>
        </w:rPr>
        <w:t xml:space="preserve">Los tres patrones documentados —Service </w:t>
      </w:r>
      <w:proofErr w:type="spellStart"/>
      <w:r>
        <w:rPr>
          <w:color w:val="000000"/>
        </w:rPr>
        <w:t>Registry</w:t>
      </w:r>
      <w:proofErr w:type="spellEnd"/>
      <w:r>
        <w:rPr>
          <w:color w:val="000000"/>
        </w:rPr>
        <w:t xml:space="preserve">, </w:t>
      </w:r>
      <w:proofErr w:type="spellStart"/>
      <w:r>
        <w:rPr>
          <w:color w:val="000000"/>
        </w:rPr>
        <w:t>Publish</w:t>
      </w:r>
      <w:proofErr w:type="spellEnd"/>
      <w:r>
        <w:rPr>
          <w:color w:val="000000"/>
        </w:rPr>
        <w:t xml:space="preserve">-Subscribe y Service </w:t>
      </w:r>
      <w:proofErr w:type="spellStart"/>
      <w:r>
        <w:rPr>
          <w:color w:val="000000"/>
        </w:rPr>
        <w:t>Façade</w:t>
      </w:r>
      <w:proofErr w:type="spellEnd"/>
      <w:r>
        <w:rPr>
          <w:color w:val="000000"/>
        </w:rPr>
        <w:t xml:space="preserve">— son complementarios y forman un conjunto arquitectónico coherente. El </w:t>
      </w:r>
      <w:proofErr w:type="spellStart"/>
      <w:r>
        <w:rPr>
          <w:color w:val="000000"/>
        </w:rPr>
        <w:t>Registry</w:t>
      </w:r>
      <w:proofErr w:type="spellEnd"/>
      <w:r>
        <w:rPr>
          <w:color w:val="000000"/>
        </w:rPr>
        <w:t xml:space="preserve"> habilita el descubrimiento dinámico, la </w:t>
      </w:r>
      <w:proofErr w:type="spellStart"/>
      <w:r>
        <w:rPr>
          <w:color w:val="000000"/>
        </w:rPr>
        <w:t>Façade</w:t>
      </w:r>
      <w:proofErr w:type="spellEnd"/>
      <w:r>
        <w:rPr>
          <w:color w:val="000000"/>
        </w:rPr>
        <w:t xml:space="preserve"> centraliza el acceso externo y simplifica el cliente, y el Pub-Sub garantiza la comunicación asíncrona tolerante a fallos entre servicios internos. Su combinación permite que </w:t>
      </w:r>
      <w:proofErr w:type="spellStart"/>
      <w:r>
        <w:rPr>
          <w:color w:val="000000"/>
        </w:rPr>
        <w:t>CiberEscudo</w:t>
      </w:r>
      <w:proofErr w:type="spellEnd"/>
      <w:r>
        <w:rPr>
          <w:color w:val="000000"/>
        </w:rPr>
        <w:t xml:space="preserve"> responda a la situación problema con robustez operativa, bajo acoplamiento estructural y alta capacidad de evoluc</w:t>
      </w:r>
      <w:r>
        <w:rPr>
          <w:color w:val="000000"/>
        </w:rPr>
        <w:t>ión independiente de sus componentes.</w:t>
      </w:r>
    </w:p>
    <w:p w:rsidR="00C51DF4" w:rsidRDefault="00E00045" w14:paraId="5CA3A308" w14:textId="77777777">
      <w:r>
        <w:br w:type="page"/>
      </w:r>
    </w:p>
    <w:p w:rsidR="00C51DF4" w:rsidRDefault="00E00045" w14:paraId="0CB24758" w14:textId="77777777">
      <w:pPr>
        <w:pStyle w:val="Ttulo1"/>
      </w:pPr>
      <w:r>
        <w:t>Referencias</w:t>
      </w:r>
    </w:p>
    <w:p w:rsidR="00C51DF4" w:rsidRDefault="00C51DF4" w14:paraId="2E67C1DA" w14:textId="77777777">
      <w:pPr>
        <w:spacing w:after="80"/>
      </w:pPr>
    </w:p>
    <w:p w:rsidR="00C51DF4" w:rsidRDefault="00E00045" w14:paraId="5D849B97" w14:textId="77777777">
      <w:pPr>
        <w:spacing w:after="160"/>
        <w:jc w:val="both"/>
      </w:pPr>
      <w:r>
        <w:rPr>
          <w:color w:val="000000"/>
        </w:rPr>
        <w:t xml:space="preserve">Amazon Web </w:t>
      </w:r>
      <w:proofErr w:type="spellStart"/>
      <w:r>
        <w:rPr>
          <w:color w:val="000000"/>
        </w:rPr>
        <w:t>Services</w:t>
      </w:r>
      <w:proofErr w:type="spellEnd"/>
      <w:r>
        <w:rPr>
          <w:color w:val="000000"/>
        </w:rPr>
        <w:t>. (2022). ¿Qué es la arquitectura orientada a servicios? https://aws.amazon.com/es/what-is/service-oriented-architecture/</w:t>
      </w:r>
    </w:p>
    <w:p w:rsidR="00C51DF4" w:rsidRDefault="00E00045" w14:paraId="4351D010" w14:textId="77777777">
      <w:pPr>
        <w:spacing w:after="160"/>
        <w:jc w:val="both"/>
      </w:pPr>
      <w:r>
        <w:rPr>
          <w:color w:val="000000"/>
        </w:rPr>
        <w:t xml:space="preserve">Erl, T. (2009). SOA </w:t>
      </w:r>
      <w:proofErr w:type="spellStart"/>
      <w:r>
        <w:rPr>
          <w:color w:val="000000"/>
        </w:rPr>
        <w:t>design</w:t>
      </w:r>
      <w:proofErr w:type="spellEnd"/>
      <w:r>
        <w:rPr>
          <w:color w:val="000000"/>
        </w:rPr>
        <w:t xml:space="preserve"> </w:t>
      </w:r>
      <w:proofErr w:type="spellStart"/>
      <w:r>
        <w:rPr>
          <w:color w:val="000000"/>
        </w:rPr>
        <w:t>patterns</w:t>
      </w:r>
      <w:proofErr w:type="spellEnd"/>
      <w:r>
        <w:rPr>
          <w:color w:val="000000"/>
        </w:rPr>
        <w:t>. Prentice Hall.</w:t>
      </w:r>
    </w:p>
    <w:p w:rsidR="00C51DF4" w:rsidRDefault="00E00045" w14:paraId="34A7D858" w14:textId="77777777">
      <w:pPr>
        <w:spacing w:after="160"/>
        <w:jc w:val="both"/>
      </w:pPr>
      <w:proofErr w:type="spellStart"/>
      <w:r>
        <w:rPr>
          <w:color w:val="000000"/>
        </w:rPr>
        <w:t>HashiCorp</w:t>
      </w:r>
      <w:proofErr w:type="spellEnd"/>
      <w:r>
        <w:rPr>
          <w:color w:val="000000"/>
        </w:rPr>
        <w:t xml:space="preserve">. (2023). Consul </w:t>
      </w:r>
      <w:proofErr w:type="spellStart"/>
      <w:r>
        <w:rPr>
          <w:color w:val="000000"/>
        </w:rPr>
        <w:t>documentation</w:t>
      </w:r>
      <w:proofErr w:type="spellEnd"/>
      <w:r>
        <w:rPr>
          <w:color w:val="000000"/>
        </w:rPr>
        <w:t xml:space="preserve">: Service </w:t>
      </w:r>
      <w:proofErr w:type="spellStart"/>
      <w:r>
        <w:rPr>
          <w:color w:val="000000"/>
        </w:rPr>
        <w:t>discovery</w:t>
      </w:r>
      <w:proofErr w:type="spellEnd"/>
      <w:r>
        <w:rPr>
          <w:color w:val="000000"/>
        </w:rPr>
        <w:t>. https://developer.hashicorp.com/consul/docs/concepts/service-discovery</w:t>
      </w:r>
    </w:p>
    <w:p w:rsidR="00C51DF4" w:rsidRDefault="00E00045" w14:paraId="26237C57" w14:textId="77777777">
      <w:pPr>
        <w:spacing w:after="160"/>
        <w:jc w:val="both"/>
      </w:pPr>
      <w:r>
        <w:rPr>
          <w:color w:val="000000"/>
        </w:rPr>
        <w:t xml:space="preserve">Hunt, T. (2018). Have I Been </w:t>
      </w:r>
      <w:proofErr w:type="spellStart"/>
      <w:r>
        <w:rPr>
          <w:color w:val="000000"/>
        </w:rPr>
        <w:t>Pwned</w:t>
      </w:r>
      <w:proofErr w:type="spellEnd"/>
      <w:r>
        <w:rPr>
          <w:color w:val="000000"/>
        </w:rPr>
        <w:t xml:space="preserve">: </w:t>
      </w:r>
      <w:proofErr w:type="spellStart"/>
      <w:r>
        <w:rPr>
          <w:color w:val="000000"/>
        </w:rPr>
        <w:t>Passwords</w:t>
      </w:r>
      <w:proofErr w:type="spellEnd"/>
      <w:r>
        <w:rPr>
          <w:color w:val="000000"/>
        </w:rPr>
        <w:t xml:space="preserve"> API v3 </w:t>
      </w:r>
      <w:proofErr w:type="spellStart"/>
      <w:r>
        <w:rPr>
          <w:color w:val="000000"/>
        </w:rPr>
        <w:t>documentation</w:t>
      </w:r>
      <w:proofErr w:type="spellEnd"/>
      <w:r>
        <w:rPr>
          <w:color w:val="000000"/>
        </w:rPr>
        <w:t>. https://haveibeenpwned.com/API/v3</w:t>
      </w:r>
    </w:p>
    <w:p w:rsidR="00C51DF4" w:rsidRDefault="00E00045" w14:paraId="3A65DD50" w14:textId="77777777">
      <w:pPr>
        <w:spacing w:after="160"/>
        <w:jc w:val="both"/>
      </w:pPr>
      <w:r>
        <w:rPr>
          <w:color w:val="000000"/>
        </w:rPr>
        <w:t xml:space="preserve">IBM Security. (2023). Cost </w:t>
      </w:r>
      <w:proofErr w:type="spellStart"/>
      <w:r>
        <w:rPr>
          <w:color w:val="000000"/>
        </w:rPr>
        <w:t>of</w:t>
      </w:r>
      <w:proofErr w:type="spellEnd"/>
      <w:r>
        <w:rPr>
          <w:color w:val="000000"/>
        </w:rPr>
        <w:t xml:space="preserve"> a data </w:t>
      </w:r>
      <w:proofErr w:type="spellStart"/>
      <w:r>
        <w:rPr>
          <w:color w:val="000000"/>
        </w:rPr>
        <w:t>breach</w:t>
      </w:r>
      <w:proofErr w:type="spellEnd"/>
      <w:r>
        <w:rPr>
          <w:color w:val="000000"/>
        </w:rPr>
        <w:t xml:space="preserve"> </w:t>
      </w:r>
      <w:proofErr w:type="spellStart"/>
      <w:r>
        <w:rPr>
          <w:color w:val="000000"/>
        </w:rPr>
        <w:t>report</w:t>
      </w:r>
      <w:proofErr w:type="spellEnd"/>
      <w:r>
        <w:rPr>
          <w:color w:val="000000"/>
        </w:rPr>
        <w:t xml:space="preserve"> 2023. IBM </w:t>
      </w:r>
      <w:proofErr w:type="spellStart"/>
      <w:r>
        <w:rPr>
          <w:color w:val="000000"/>
        </w:rPr>
        <w:t>Corporation</w:t>
      </w:r>
      <w:proofErr w:type="spellEnd"/>
      <w:r>
        <w:rPr>
          <w:color w:val="000000"/>
        </w:rPr>
        <w:t>. https://www.ibm.com/reports/data-breach</w:t>
      </w:r>
    </w:p>
    <w:p w:rsidR="00C51DF4" w:rsidRDefault="00E00045" w14:paraId="70E81961" w14:textId="77777777">
      <w:pPr>
        <w:spacing w:after="160"/>
        <w:jc w:val="both"/>
      </w:pPr>
      <w:r>
        <w:rPr>
          <w:color w:val="000000"/>
        </w:rPr>
        <w:t xml:space="preserve">OWASP </w:t>
      </w:r>
      <w:proofErr w:type="spellStart"/>
      <w:r>
        <w:rPr>
          <w:color w:val="000000"/>
        </w:rPr>
        <w:t>Foundation</w:t>
      </w:r>
      <w:proofErr w:type="spellEnd"/>
      <w:r>
        <w:rPr>
          <w:color w:val="000000"/>
        </w:rPr>
        <w:t>. (2021). OWASP top ten 2021. https://owasp.org/www-project-top-ten/</w:t>
      </w:r>
    </w:p>
    <w:p w:rsidR="00C51DF4" w:rsidRDefault="00E00045" w14:paraId="13229DD8" w14:textId="77777777">
      <w:pPr>
        <w:spacing w:after="160"/>
        <w:jc w:val="both"/>
      </w:pPr>
      <w:r>
        <w:rPr>
          <w:color w:val="000000"/>
        </w:rPr>
        <w:t xml:space="preserve">Richards, M., &amp; Ford, N. (2020). Fundamentals </w:t>
      </w:r>
      <w:proofErr w:type="spellStart"/>
      <w:r>
        <w:rPr>
          <w:color w:val="000000"/>
        </w:rPr>
        <w:t>of</w:t>
      </w:r>
      <w:proofErr w:type="spellEnd"/>
      <w:r>
        <w:rPr>
          <w:color w:val="000000"/>
        </w:rPr>
        <w:t xml:space="preserve"> software </w:t>
      </w:r>
      <w:proofErr w:type="spellStart"/>
      <w:r>
        <w:rPr>
          <w:color w:val="000000"/>
        </w:rPr>
        <w:t>architecture</w:t>
      </w:r>
      <w:proofErr w:type="spellEnd"/>
      <w:r>
        <w:rPr>
          <w:color w:val="000000"/>
        </w:rPr>
        <w:t xml:space="preserve">: </w:t>
      </w:r>
      <w:proofErr w:type="spellStart"/>
      <w:r>
        <w:rPr>
          <w:color w:val="000000"/>
        </w:rPr>
        <w:t>An</w:t>
      </w:r>
      <w:proofErr w:type="spellEnd"/>
      <w:r>
        <w:rPr>
          <w:color w:val="000000"/>
        </w:rPr>
        <w:t xml:space="preserve"> </w:t>
      </w:r>
      <w:proofErr w:type="spellStart"/>
      <w:r>
        <w:rPr>
          <w:color w:val="000000"/>
        </w:rPr>
        <w:t>engineering</w:t>
      </w:r>
      <w:proofErr w:type="spellEnd"/>
      <w:r>
        <w:rPr>
          <w:color w:val="000000"/>
        </w:rPr>
        <w:t xml:space="preserve"> </w:t>
      </w:r>
      <w:proofErr w:type="spellStart"/>
      <w:r>
        <w:rPr>
          <w:color w:val="000000"/>
        </w:rPr>
        <w:t>approach</w:t>
      </w:r>
      <w:proofErr w:type="spellEnd"/>
      <w:r>
        <w:rPr>
          <w:color w:val="000000"/>
        </w:rPr>
        <w:t>. O'Reilly Media.</w:t>
      </w:r>
    </w:p>
    <w:p w:rsidR="00C51DF4" w:rsidRDefault="00E00045" w14:paraId="320E27D5" w14:textId="77777777">
      <w:pPr>
        <w:spacing w:after="160"/>
        <w:jc w:val="both"/>
      </w:pPr>
      <w:r>
        <w:rPr>
          <w:color w:val="000000"/>
        </w:rPr>
        <w:t xml:space="preserve">Richardson, C. (2018). </w:t>
      </w:r>
      <w:proofErr w:type="spellStart"/>
      <w:r>
        <w:rPr>
          <w:color w:val="000000"/>
        </w:rPr>
        <w:t>Microservices</w:t>
      </w:r>
      <w:proofErr w:type="spellEnd"/>
      <w:r>
        <w:rPr>
          <w:color w:val="000000"/>
        </w:rPr>
        <w:t xml:space="preserve"> </w:t>
      </w:r>
      <w:proofErr w:type="spellStart"/>
      <w:r>
        <w:rPr>
          <w:color w:val="000000"/>
        </w:rPr>
        <w:t>patterns</w:t>
      </w:r>
      <w:proofErr w:type="spellEnd"/>
      <w:r>
        <w:rPr>
          <w:color w:val="000000"/>
        </w:rPr>
        <w:t xml:space="preserve">: With </w:t>
      </w:r>
      <w:proofErr w:type="spellStart"/>
      <w:r>
        <w:rPr>
          <w:color w:val="000000"/>
        </w:rPr>
        <w:t>examples</w:t>
      </w:r>
      <w:proofErr w:type="spellEnd"/>
      <w:r>
        <w:rPr>
          <w:color w:val="000000"/>
        </w:rPr>
        <w:t xml:space="preserve"> in Java. Manning </w:t>
      </w:r>
      <w:proofErr w:type="spellStart"/>
      <w:r>
        <w:rPr>
          <w:color w:val="000000"/>
        </w:rPr>
        <w:t>Publications</w:t>
      </w:r>
      <w:proofErr w:type="spellEnd"/>
      <w:r>
        <w:rPr>
          <w:color w:val="000000"/>
        </w:rPr>
        <w:t>.</w:t>
      </w:r>
    </w:p>
    <w:p w:rsidR="00C51DF4" w:rsidRDefault="00E00045" w14:paraId="641AF157" w14:textId="77777777">
      <w:pPr>
        <w:spacing w:after="160"/>
        <w:jc w:val="both"/>
      </w:pPr>
      <w:r>
        <w:rPr>
          <w:color w:val="000000"/>
        </w:rPr>
        <w:t>Superintendencia de Industria y Comercio. (2022). Informe de actividad de datos personales en Colombia 2022. https://www.sic.gov.co/</w:t>
      </w:r>
    </w:p>
    <w:sectPr w:rsidR="00C51DF4">
      <w:headerReference w:type="default" r:id="rId8"/>
      <w:footerReference w:type="default" r:id="rId9"/>
      <w:pgSz w:w="11906" w:h="16838" w:orient="portrait"/>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14DD" w:rsidRDefault="004214DD" w14:paraId="0ECF78B1" w14:textId="77777777">
      <w:r>
        <w:separator/>
      </w:r>
    </w:p>
  </w:endnote>
  <w:endnote w:type="continuationSeparator" w:id="0">
    <w:p w:rsidR="004214DD" w:rsidRDefault="004214DD" w14:paraId="20D3402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DF4" w:rsidRDefault="00E00045" w14:paraId="0D64E31C" w14:textId="77777777">
    <w:pPr>
      <w:pBdr>
        <w:top w:val="single" w:color="1F6FA8" w:sz="4" w:space="1"/>
      </w:pBdr>
      <w:jc w:val="center"/>
    </w:pPr>
    <w:r>
      <w:rPr>
        <w:color w:val="595959"/>
        <w:sz w:val="18"/>
        <w:szCs w:val="18"/>
      </w:rPr>
      <w:t xml:space="preserve">Politécnico Gran Colombiano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DA3306">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DA330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14DD" w:rsidRDefault="004214DD" w14:paraId="1AF2A0E1" w14:textId="77777777">
      <w:r>
        <w:separator/>
      </w:r>
    </w:p>
  </w:footnote>
  <w:footnote w:type="continuationSeparator" w:id="0">
    <w:p w:rsidR="004214DD" w:rsidRDefault="004214DD" w14:paraId="09F1B1F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DF4" w:rsidRDefault="00E00045" w14:paraId="79980843" w14:textId="77777777">
    <w:pPr>
      <w:pBdr>
        <w:bottom w:val="single" w:color="1F6FA8" w:sz="4" w:space="1"/>
      </w:pBdr>
      <w:jc w:val="right"/>
    </w:pPr>
    <w:r>
      <w:rPr>
        <w:color w:val="595959"/>
        <w:sz w:val="18"/>
        <w:szCs w:val="18"/>
      </w:rPr>
      <w:t>CiberEscudo — Entrega Previa 2 (Semana 5) | Arquitectura del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CA0B"/>
    <w:multiLevelType w:val="hybridMultilevel"/>
    <w:tmpl w:val="FFFFFFFF"/>
    <w:lvl w:ilvl="0" w:tplc="32EA8A80">
      <w:start w:val="1"/>
      <w:numFmt w:val="bullet"/>
      <w:lvlText w:val=""/>
      <w:lvlJc w:val="left"/>
      <w:pPr>
        <w:ind w:left="720" w:hanging="360"/>
      </w:pPr>
      <w:rPr>
        <w:rFonts w:hint="default" w:ascii="Symbol" w:hAnsi="Symbol"/>
      </w:rPr>
    </w:lvl>
    <w:lvl w:ilvl="1" w:tplc="FC9CBA28">
      <w:start w:val="1"/>
      <w:numFmt w:val="bullet"/>
      <w:lvlText w:val="o"/>
      <w:lvlJc w:val="left"/>
      <w:pPr>
        <w:ind w:left="1440" w:hanging="360"/>
      </w:pPr>
      <w:rPr>
        <w:rFonts w:hint="default" w:ascii="Courier New" w:hAnsi="Courier New"/>
      </w:rPr>
    </w:lvl>
    <w:lvl w:ilvl="2" w:tplc="20A22E64">
      <w:start w:val="1"/>
      <w:numFmt w:val="bullet"/>
      <w:lvlText w:val=""/>
      <w:lvlJc w:val="left"/>
      <w:pPr>
        <w:ind w:left="2160" w:hanging="360"/>
      </w:pPr>
      <w:rPr>
        <w:rFonts w:hint="default" w:ascii="Wingdings" w:hAnsi="Wingdings"/>
      </w:rPr>
    </w:lvl>
    <w:lvl w:ilvl="3" w:tplc="0F22F6D0">
      <w:start w:val="1"/>
      <w:numFmt w:val="bullet"/>
      <w:lvlText w:val=""/>
      <w:lvlJc w:val="left"/>
      <w:pPr>
        <w:ind w:left="2880" w:hanging="360"/>
      </w:pPr>
      <w:rPr>
        <w:rFonts w:hint="default" w:ascii="Symbol" w:hAnsi="Symbol"/>
      </w:rPr>
    </w:lvl>
    <w:lvl w:ilvl="4" w:tplc="25D263CC">
      <w:start w:val="1"/>
      <w:numFmt w:val="bullet"/>
      <w:lvlText w:val="o"/>
      <w:lvlJc w:val="left"/>
      <w:pPr>
        <w:ind w:left="3600" w:hanging="360"/>
      </w:pPr>
      <w:rPr>
        <w:rFonts w:hint="default" w:ascii="Courier New" w:hAnsi="Courier New"/>
      </w:rPr>
    </w:lvl>
    <w:lvl w:ilvl="5" w:tplc="1C00856E">
      <w:start w:val="1"/>
      <w:numFmt w:val="bullet"/>
      <w:lvlText w:val=""/>
      <w:lvlJc w:val="left"/>
      <w:pPr>
        <w:ind w:left="4320" w:hanging="360"/>
      </w:pPr>
      <w:rPr>
        <w:rFonts w:hint="default" w:ascii="Wingdings" w:hAnsi="Wingdings"/>
      </w:rPr>
    </w:lvl>
    <w:lvl w:ilvl="6" w:tplc="2D02EC94">
      <w:start w:val="1"/>
      <w:numFmt w:val="bullet"/>
      <w:lvlText w:val=""/>
      <w:lvlJc w:val="left"/>
      <w:pPr>
        <w:ind w:left="5040" w:hanging="360"/>
      </w:pPr>
      <w:rPr>
        <w:rFonts w:hint="default" w:ascii="Symbol" w:hAnsi="Symbol"/>
      </w:rPr>
    </w:lvl>
    <w:lvl w:ilvl="7" w:tplc="92565D2C">
      <w:start w:val="1"/>
      <w:numFmt w:val="bullet"/>
      <w:lvlText w:val="o"/>
      <w:lvlJc w:val="left"/>
      <w:pPr>
        <w:ind w:left="5760" w:hanging="360"/>
      </w:pPr>
      <w:rPr>
        <w:rFonts w:hint="default" w:ascii="Courier New" w:hAnsi="Courier New"/>
      </w:rPr>
    </w:lvl>
    <w:lvl w:ilvl="8" w:tplc="DC66C9FE">
      <w:start w:val="1"/>
      <w:numFmt w:val="bullet"/>
      <w:lvlText w:val=""/>
      <w:lvlJc w:val="left"/>
      <w:pPr>
        <w:ind w:left="6480" w:hanging="360"/>
      </w:pPr>
      <w:rPr>
        <w:rFonts w:hint="default" w:ascii="Wingdings" w:hAnsi="Wingdings"/>
      </w:rPr>
    </w:lvl>
  </w:abstractNum>
  <w:abstractNum w:abstractNumId="1" w15:restartNumberingAfterBreak="0">
    <w:nsid w:val="5955625E"/>
    <w:multiLevelType w:val="hybridMultilevel"/>
    <w:tmpl w:val="E93059FC"/>
    <w:lvl w:ilvl="0" w:tplc="74E01880">
      <w:start w:val="1"/>
      <w:numFmt w:val="bullet"/>
      <w:lvlText w:val="•"/>
      <w:lvlJc w:val="left"/>
      <w:pPr>
        <w:ind w:left="720" w:hanging="360"/>
      </w:pPr>
    </w:lvl>
    <w:lvl w:ilvl="1" w:tplc="5A5A8660">
      <w:numFmt w:val="decimal"/>
      <w:lvlText w:val=""/>
      <w:lvlJc w:val="left"/>
    </w:lvl>
    <w:lvl w:ilvl="2" w:tplc="8774D9AA">
      <w:numFmt w:val="decimal"/>
      <w:lvlText w:val=""/>
      <w:lvlJc w:val="left"/>
    </w:lvl>
    <w:lvl w:ilvl="3" w:tplc="0B0C4940">
      <w:numFmt w:val="decimal"/>
      <w:lvlText w:val=""/>
      <w:lvlJc w:val="left"/>
    </w:lvl>
    <w:lvl w:ilvl="4" w:tplc="A31A95B2">
      <w:numFmt w:val="decimal"/>
      <w:lvlText w:val=""/>
      <w:lvlJc w:val="left"/>
    </w:lvl>
    <w:lvl w:ilvl="5" w:tplc="575CD816">
      <w:numFmt w:val="decimal"/>
      <w:lvlText w:val=""/>
      <w:lvlJc w:val="left"/>
    </w:lvl>
    <w:lvl w:ilvl="6" w:tplc="7CBEE7AC">
      <w:numFmt w:val="decimal"/>
      <w:lvlText w:val=""/>
      <w:lvlJc w:val="left"/>
    </w:lvl>
    <w:lvl w:ilvl="7" w:tplc="410A7730">
      <w:numFmt w:val="decimal"/>
      <w:lvlText w:val=""/>
      <w:lvlJc w:val="left"/>
    </w:lvl>
    <w:lvl w:ilvl="8" w:tplc="041E6FDA">
      <w:numFmt w:val="decimal"/>
      <w:lvlText w:val=""/>
      <w:lvlJc w:val="left"/>
    </w:lvl>
  </w:abstractNum>
  <w:abstractNum w:abstractNumId="2" w15:restartNumberingAfterBreak="0">
    <w:nsid w:val="69A95118"/>
    <w:multiLevelType w:val="hybridMultilevel"/>
    <w:tmpl w:val="43709B76"/>
    <w:lvl w:ilvl="0" w:tplc="767A87CC">
      <w:start w:val="1"/>
      <w:numFmt w:val="bullet"/>
      <w:lvlText w:val="●"/>
      <w:lvlJc w:val="left"/>
      <w:pPr>
        <w:ind w:left="720" w:hanging="360"/>
      </w:pPr>
    </w:lvl>
    <w:lvl w:ilvl="1" w:tplc="324260BE">
      <w:start w:val="1"/>
      <w:numFmt w:val="bullet"/>
      <w:lvlText w:val="○"/>
      <w:lvlJc w:val="left"/>
      <w:pPr>
        <w:ind w:left="1440" w:hanging="360"/>
      </w:pPr>
    </w:lvl>
    <w:lvl w:ilvl="2" w:tplc="EFB459D4">
      <w:start w:val="1"/>
      <w:numFmt w:val="bullet"/>
      <w:lvlText w:val="■"/>
      <w:lvlJc w:val="left"/>
      <w:pPr>
        <w:ind w:left="2160" w:hanging="360"/>
      </w:pPr>
    </w:lvl>
    <w:lvl w:ilvl="3" w:tplc="6E58B4D0">
      <w:start w:val="1"/>
      <w:numFmt w:val="bullet"/>
      <w:lvlText w:val="●"/>
      <w:lvlJc w:val="left"/>
      <w:pPr>
        <w:ind w:left="2880" w:hanging="360"/>
      </w:pPr>
    </w:lvl>
    <w:lvl w:ilvl="4" w:tplc="FE7A2E36">
      <w:start w:val="1"/>
      <w:numFmt w:val="bullet"/>
      <w:lvlText w:val="○"/>
      <w:lvlJc w:val="left"/>
      <w:pPr>
        <w:ind w:left="3600" w:hanging="360"/>
      </w:pPr>
    </w:lvl>
    <w:lvl w:ilvl="5" w:tplc="2D8A57A8">
      <w:start w:val="1"/>
      <w:numFmt w:val="bullet"/>
      <w:lvlText w:val="■"/>
      <w:lvlJc w:val="left"/>
      <w:pPr>
        <w:ind w:left="4320" w:hanging="360"/>
      </w:pPr>
    </w:lvl>
    <w:lvl w:ilvl="6" w:tplc="5F362FAE">
      <w:start w:val="1"/>
      <w:numFmt w:val="bullet"/>
      <w:lvlText w:val="●"/>
      <w:lvlJc w:val="left"/>
      <w:pPr>
        <w:ind w:left="5040" w:hanging="360"/>
      </w:pPr>
    </w:lvl>
    <w:lvl w:ilvl="7" w:tplc="83585446">
      <w:start w:val="1"/>
      <w:numFmt w:val="bullet"/>
      <w:lvlText w:val="●"/>
      <w:lvlJc w:val="left"/>
      <w:pPr>
        <w:ind w:left="5760" w:hanging="360"/>
      </w:pPr>
    </w:lvl>
    <w:lvl w:ilvl="8" w:tplc="63EA7240">
      <w:start w:val="1"/>
      <w:numFmt w:val="bullet"/>
      <w:lvlText w:val="●"/>
      <w:lvlJc w:val="left"/>
      <w:pPr>
        <w:ind w:left="6480" w:hanging="360"/>
      </w:pPr>
    </w:lvl>
  </w:abstractNum>
  <w:num w:numId="1" w16cid:durableId="1659259486">
    <w:abstractNumId w:val="0"/>
  </w:num>
  <w:num w:numId="2" w16cid:durableId="667511">
    <w:abstractNumId w:val="2"/>
    <w:lvlOverride w:ilvl="0">
      <w:startOverride w:val="1"/>
    </w:lvlOverride>
  </w:num>
  <w:num w:numId="3" w16cid:durableId="666445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DF4"/>
    <w:rsid w:val="000D2D20"/>
    <w:rsid w:val="004214DD"/>
    <w:rsid w:val="00564746"/>
    <w:rsid w:val="007052CD"/>
    <w:rsid w:val="00C51DF4"/>
    <w:rsid w:val="00DA3306"/>
    <w:rsid w:val="00DB7F76"/>
    <w:rsid w:val="00E00045"/>
    <w:rsid w:val="01FD699A"/>
    <w:rsid w:val="07600DD5"/>
    <w:rsid w:val="0AFCBF96"/>
    <w:rsid w:val="0BB32A8B"/>
    <w:rsid w:val="0D96591E"/>
    <w:rsid w:val="100FA0B9"/>
    <w:rsid w:val="14752AAA"/>
    <w:rsid w:val="18E47153"/>
    <w:rsid w:val="1C4F36C2"/>
    <w:rsid w:val="1D458B2A"/>
    <w:rsid w:val="1FD4AD1D"/>
    <w:rsid w:val="2414CE5F"/>
    <w:rsid w:val="257864D2"/>
    <w:rsid w:val="2CF2F4C2"/>
    <w:rsid w:val="2E143E63"/>
    <w:rsid w:val="3389E4AE"/>
    <w:rsid w:val="339AEFA9"/>
    <w:rsid w:val="358AA8D0"/>
    <w:rsid w:val="36F62295"/>
    <w:rsid w:val="39312DEA"/>
    <w:rsid w:val="396A487A"/>
    <w:rsid w:val="3A7C1BDF"/>
    <w:rsid w:val="400665BB"/>
    <w:rsid w:val="41AA6EF5"/>
    <w:rsid w:val="426A88F9"/>
    <w:rsid w:val="45AC6213"/>
    <w:rsid w:val="476E3DAA"/>
    <w:rsid w:val="4826F450"/>
    <w:rsid w:val="4C161BAD"/>
    <w:rsid w:val="4D7B3AC5"/>
    <w:rsid w:val="4ED9C59B"/>
    <w:rsid w:val="4F58BFEB"/>
    <w:rsid w:val="4F8FCD69"/>
    <w:rsid w:val="4FBCCF27"/>
    <w:rsid w:val="517DD89B"/>
    <w:rsid w:val="51F8ED52"/>
    <w:rsid w:val="54B9F422"/>
    <w:rsid w:val="55A7204F"/>
    <w:rsid w:val="5B266529"/>
    <w:rsid w:val="600E2748"/>
    <w:rsid w:val="606B7421"/>
    <w:rsid w:val="65D2015F"/>
    <w:rsid w:val="6AE3F314"/>
    <w:rsid w:val="6DD94B3E"/>
    <w:rsid w:val="6FBBEF01"/>
    <w:rsid w:val="6FEB2AA8"/>
    <w:rsid w:val="72EBE5B6"/>
    <w:rsid w:val="74FA4674"/>
    <w:rsid w:val="7577B4E8"/>
    <w:rsid w:val="77578E49"/>
    <w:rsid w:val="778FD0F3"/>
    <w:rsid w:val="77B21113"/>
    <w:rsid w:val="77F976A3"/>
    <w:rsid w:val="78A83F5F"/>
    <w:rsid w:val="7FD74D8B"/>
    <w:rsid w:val="7FF83BD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D91B"/>
  <w15:docId w15:val="{C53E867C-3CF0-409E-98E5-01F92BF0D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20" w:after="160"/>
      <w:outlineLvl w:val="0"/>
    </w:pPr>
    <w:rPr>
      <w:b/>
      <w:bCs/>
      <w:color w:val="1F6FA8"/>
      <w:sz w:val="30"/>
      <w:szCs w:val="30"/>
    </w:rPr>
  </w:style>
  <w:style w:type="paragraph" w:styleId="Ttulo2">
    <w:name w:val="heading 2"/>
    <w:uiPriority w:val="9"/>
    <w:unhideWhenUsed/>
    <w:qFormat/>
    <w:pPr>
      <w:spacing w:before="240" w:after="120"/>
      <w:outlineLvl w:val="1"/>
    </w:pPr>
    <w:rPr>
      <w:b/>
      <w:bCs/>
      <w:color w:val="1F6FA8"/>
      <w:sz w:val="26"/>
      <w:szCs w:val="26"/>
    </w:rPr>
  </w:style>
  <w:style w:type="paragraph" w:styleId="Ttulo3">
    <w:name w:val="heading 3"/>
    <w:uiPriority w:val="9"/>
    <w:unhideWhenUsed/>
    <w:qFormat/>
    <w:pPr>
      <w:spacing w:before="200" w:after="10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2.png" Id="rId831186127" /><Relationship Type="http://schemas.openxmlformats.org/officeDocument/2006/relationships/image" Target="/media/image3.png" Id="rId855670267" /><Relationship Type="http://schemas.openxmlformats.org/officeDocument/2006/relationships/image" Target="/media/image4.png" Id="rId196533854" /><Relationship Type="http://schemas.openxmlformats.org/officeDocument/2006/relationships/image" Target="/media/image5.png" Id="rId2008429949" /><Relationship Type="http://schemas.openxmlformats.org/officeDocument/2006/relationships/image" Target="/media/image6.png" Id="rId2029617785" /><Relationship Type="http://schemas.openxmlformats.org/officeDocument/2006/relationships/image" Target="/media/image7.png" Id="rId1338403993" /><Relationship Type="http://schemas.openxmlformats.org/officeDocument/2006/relationships/image" Target="/media/image8.png" Id="rId1059399749" /><Relationship Type="http://schemas.openxmlformats.org/officeDocument/2006/relationships/image" Target="/media/image9.png" Id="rId67991853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YEISON ORLANDO HERNANDEZ TIBAQUIRA</lastModifiedBy>
  <revision>8</revision>
  <dcterms:created xsi:type="dcterms:W3CDTF">2026-04-11T11:41:00.0000000Z</dcterms:created>
  <dcterms:modified xsi:type="dcterms:W3CDTF">2026-04-14T16:30:44.2013039Z</dcterms:modified>
</coreProperties>
</file>