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1E3A5F"/>
          <w:sz w:val="40"/>
          <w:szCs w:val="40"/>
        </w:rPr>
        <w:t xml:space="preserve">BME 2080 · Module 3</w:t>
      </w:r>
    </w:p>
    <w:p>
      <w:pPr>
        <w:spacing w:before="0" w:after="60"/>
        <w:jc w:val="center"/>
      </w:pPr>
      <w:r>
        <w:rPr>
          <w:rFonts w:ascii="Arial" w:cs="Arial" w:eastAsia="Arial" w:hAnsi="Arial"/>
          <w:b/>
          <w:bCs/>
          <w:color w:val="00749C"/>
          <w:sz w:val="32"/>
          <w:szCs w:val="32"/>
        </w:rPr>
        <w:t xml:space="preserve">Machine Learning in Biomedical Engineering</w:t>
      </w:r>
    </w:p>
    <w:p>
      <w:pPr>
        <w:spacing w:before="0" w:after="60"/>
        <w:jc w:val="center"/>
      </w:pPr>
      <w:r>
        <w:rPr>
          <w:rFonts w:ascii="Arial" w:cs="Arial" w:eastAsia="Arial" w:hAnsi="Arial"/>
          <w:color w:val="666666"/>
          <w:sz w:val="24"/>
          <w:szCs w:val="24"/>
        </w:rPr>
        <w:t xml:space="preserve">Dataset Catalog: Cancer Types, Pathways, Genes, Proteins &amp; Drugs</w:t>
      </w:r>
    </w:p>
    <w:p>
      <w:pPr>
        <w:spacing w:before="0" w:after="360"/>
        <w:jc w:val="center"/>
      </w:pPr>
      <w:r>
        <w:rPr>
          <w:rFonts w:ascii="Arial" w:cs="Arial" w:eastAsia="Arial" w:hAnsi="Arial"/>
          <w:i/>
          <w:iCs/>
          <w:color w:val="666666"/>
          <w:sz w:val="22"/>
          <w:szCs w:val="22"/>
        </w:rPr>
        <w:t xml:space="preserve">Spring 2026</w:t>
      </w:r>
    </w:p>
    <w:p>
      <w:pPr>
        <w:pStyle w:val="Heading1"/>
        <w:pBdr>
          <w:bottom w:val="single" w:color="00749C" w:sz="6" w:space="1"/>
        </w:pBdr>
        <w:spacing w:before="360" w:after="120"/>
      </w:pPr>
      <w:r>
        <w:rPr>
          <w:rFonts w:ascii="Arial" w:cs="Arial" w:eastAsia="Arial" w:hAnsi="Arial"/>
          <w:b/>
          <w:bCs/>
          <w:color w:val="1E3A5F"/>
          <w:sz w:val="32"/>
          <w:szCs w:val="32"/>
        </w:rPr>
        <w:t xml:space="preserve">Dataset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Cell Lines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212</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Cancer Types</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7</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RNA Expression Features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 genes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Protein Expression Features</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30 proteins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Copy Number Features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genes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Mutation Features</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88 genes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 Response Features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drugs (AUC values, clipped to [0–1])</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Drug Response Source</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PRISM Repurposing Secondary Screen 19Q4</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Columns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239</w:t>
            </w:r>
          </w:p>
        </w:tc>
      </w:tr>
    </w:tbl>
    <w:p>
      <w:pPr>
        <w:spacing w:before="80" w:after="80"/>
      </w:pPr>
      <w:r>
        <w:t xml:space="preserve"/>
      </w:r>
    </w:p>
    <w:p>
      <w:pPr>
        <w:pStyle w:val="Heading1"/>
        <w:pBdr>
          <w:bottom w:val="single" w:color="00749C" w:sz="6" w:space="1"/>
        </w:pBdr>
        <w:spacing w:before="360" w:after="120"/>
      </w:pPr>
      <w:r>
        <w:rPr>
          <w:rFonts w:ascii="Arial" w:cs="Arial" w:eastAsia="Arial" w:hAnsi="Arial"/>
          <w:b/>
          <w:bCs/>
          <w:color w:val="1E3A5F"/>
          <w:sz w:val="32"/>
          <w:szCs w:val="32"/>
        </w:rPr>
        <w:t xml:space="preserve">Cancer Types</w:t>
      </w:r>
    </w:p>
    <w:p>
      <w:pPr>
        <w:spacing w:before="40" w:after="40"/>
      </w:pPr>
      <w:r>
        <w:rPr>
          <w:rFonts w:ascii="Arial" w:cs="Arial" w:eastAsia="Arial" w:hAnsi="Arial"/>
          <w:sz w:val="22"/>
          <w:szCs w:val="22"/>
        </w:rPr>
        <w:t xml:space="preserve">The dataset includes 212 cancer cell lines spanning 7 cancer types from the DepMap portal.</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Cancer Type</w:t>
            </w:r>
          </w:p>
        </w:tc>
        <w:tc>
          <w:tcPr>
            <w:tcW w:type="dxa" w:w="1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 Cell Lines</w:t>
            </w:r>
          </w:p>
        </w:tc>
        <w:tc>
          <w:tcPr>
            <w:tcW w:type="dxa" w:w="4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Lung Adenocarcinoma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 mutations common; EGFR inhibitor sensitivity varies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Skin</w:t>
            </w:r>
          </w:p>
        </w:tc>
        <w:tc>
          <w:tcPr>
            <w:tcW w:type="dxa" w:w="1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40</w:t>
            </w:r>
          </w:p>
        </w:tc>
        <w:tc>
          <w:tcPr>
            <w:tcW w:type="dxa" w:w="4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Predominantly melanoma; high BRAF V600E mutation 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Pancreas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KRAS mutations near-universal; generally drug resistant</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Ovary</w:t>
            </w:r>
          </w:p>
        </w:tc>
        <w:tc>
          <w:tcPr>
            <w:tcW w:type="dxa" w:w="1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30</w:t>
            </w:r>
          </w:p>
        </w:tc>
        <w:tc>
          <w:tcPr>
            <w:tcW w:type="dxa" w:w="4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PI3K/AKT alterations common; heterogeneous drug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Colorectal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RAS/RAF/PI3K mutations common</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Breast</w:t>
            </w:r>
          </w:p>
        </w:tc>
        <w:tc>
          <w:tcPr>
            <w:tcW w:type="dxa" w:w="1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22</w:t>
            </w:r>
          </w:p>
        </w:tc>
        <w:tc>
          <w:tcPr>
            <w:tcW w:type="dxa" w:w="4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HER2 amplification in subset; diverse molecular subtypes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Lung Squamous Cell Carcinoma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Distinct from adenocarcinoma; less EGFR-driven</w:t>
            </w:r>
          </w:p>
        </w:tc>
      </w:tr>
    </w:tbl>
    <w:p>
      <w:pPr>
        <w:spacing w:before="80" w:after="80"/>
      </w:pPr>
      <w:r>
        <w:t xml:space="preserve"/>
      </w:r>
    </w:p>
    <w:p>
      <w:pPr>
        <w:pStyle w:val="Heading1"/>
        <w:pBdr>
          <w:bottom w:val="single" w:color="00749C" w:sz="6" w:space="1"/>
        </w:pBdr>
        <w:spacing w:before="360" w:after="120"/>
      </w:pPr>
      <w:r>
        <w:rPr>
          <w:rFonts w:ascii="Arial" w:cs="Arial" w:eastAsia="Arial" w:hAnsi="Arial"/>
          <w:b/>
          <w:bCs/>
          <w:color w:val="1E3A5F"/>
          <w:sz w:val="32"/>
          <w:szCs w:val="32"/>
        </w:rPr>
        <w:t xml:space="preserve">Signaling Pathways</w:t>
      </w:r>
    </w:p>
    <w:p>
      <w:pPr>
        <w:spacing w:before="40" w:after="40"/>
      </w:pPr>
      <w:r>
        <w:rPr>
          <w:rFonts w:ascii="Arial" w:cs="Arial" w:eastAsia="Arial" w:hAnsi="Arial"/>
          <w:sz w:val="22"/>
          <w:szCs w:val="22"/>
        </w:rPr>
        <w:t xml:space="preserve">The dataset is organized around 5 major cancer signaling pathways plus an EMT module. Each pathway has associated RNA/protein features and targeted drugs.</w:t>
      </w:r>
    </w:p>
    <w:p>
      <w:pPr>
        <w:spacing w:before="80" w:after="80"/>
      </w:pPr>
      <w:r>
        <w:t xml:space="preserve"/>
      </w:r>
    </w:p>
    <w:p>
      <w:pPr>
        <w:pStyle w:val="Heading2"/>
        <w:spacing w:before="240" w:after="80"/>
      </w:pPr>
      <w:r>
        <w:rPr>
          <w:rFonts w:ascii="Arial" w:cs="Arial" w:eastAsia="Arial" w:hAnsi="Arial"/>
          <w:b/>
          <w:bCs/>
          <w:color w:val="00749C"/>
          <w:sz w:val="26"/>
          <w:szCs w:val="26"/>
        </w:rPr>
        <w:t xml:space="preserve">1. EGFR/HER2 → RAS → MAPK Pathway</w:t>
      </w:r>
    </w:p>
    <w:p>
      <w:pPr>
        <w:spacing w:before="40" w:after="40"/>
      </w:pPr>
      <w:r>
        <w:rPr>
          <w:rFonts w:ascii="Arial" w:cs="Arial" w:eastAsia="Arial" w:hAnsi="Arial"/>
          <w:sz w:val="22"/>
          <w:szCs w:val="22"/>
        </w:rPr>
        <w:t xml:space="preserve">The EGFR/RAS/MAPK cascade is one of the most commonly dysregulated pathways in cancer. It controls cell proliferation, differentiation, and survival. EGFR and HER2 (ERBB2) are receptor tyrosine kinases that, upon ligand binding, activate downstream RAS proteins and the RAF→MEK→ERK kinase cascade.</w:t>
      </w:r>
    </w:p>
    <w:p>
      <w:pPr>
        <w:spacing w:before="80" w:after="80"/>
      </w:pPr>
      <w:r>
        <w:t xml:space="preserve"/>
      </w:r>
    </w:p>
    <w:p>
      <w:pPr>
        <w:spacing w:before="160" w:after="60"/>
      </w:pPr>
      <w:r>
        <w:rPr>
          <w:rFonts w:ascii="Arial" w:cs="Arial" w:eastAsia="Arial" w:hAnsi="Arial"/>
          <w:b/>
          <w:bCs/>
          <w:color w:val="444444"/>
          <w:sz w:val="24"/>
          <w:szCs w:val="24"/>
        </w:rPr>
        <w:t xml:space="preserve">RNA Expression (29 genes)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Gene</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 ERBB2, ERBB3, ERBB4</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Receptor tyrosine kinases (HER family)</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 AREG, EREG</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 ligands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GRB2, SHC1, EPS15, GAB1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Adaptor proteins linking receptor to RAS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HRAS, KRAS, NRAS</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RAS GTPases — central signal switches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RAF1, BRAF</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RAF kinases (first kinase in cascade)</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MAP2K1, MAP2K2</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MEK1/2 — phosphorylate 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MAPK1, MAPK3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ERK1/2 — key effectors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SPRY1, SPRY2, SPRY4, DUSP4, DUSP6</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Negative feedback regulators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ELK1, FOS, JUN, ETS1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Transcription factor targets of ERK</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SOS1, SOS2</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Guanine nucleotide exchange factors activating RAS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CBL, CBLB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E3 ubiquitin ligases — receptor downregulation</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RHBDF1</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Regulates EGFR ligand shedding</w:t>
            </w:r>
          </w:p>
        </w:tc>
      </w:tr>
    </w:tbl>
    <w:p>
      <w:pPr>
        <w:spacing w:before="80" w:after="80"/>
      </w:pPr>
      <w:r>
        <w:t xml:space="preserve"/>
      </w:r>
    </w:p>
    <w:p>
      <w:pPr>
        <w:spacing w:before="160" w:after="60"/>
      </w:pPr>
      <w:r>
        <w:rPr>
          <w:rFonts w:ascii="Arial" w:cs="Arial" w:eastAsia="Arial" w:hAnsi="Arial"/>
          <w:b/>
          <w:bCs/>
          <w:color w:val="444444"/>
          <w:sz w:val="24"/>
          <w:szCs w:val="24"/>
        </w:rPr>
        <w:t xml:space="preserve">Protein Expression (7 proteins)</w:t>
      </w:r>
    </w:p>
    <w:p>
      <w:pPr>
        <w:spacing w:before="40" w:after="40"/>
      </w:pPr>
      <w:r>
        <w:rPr>
          <w:rFonts w:ascii="Arial" w:cs="Arial" w:eastAsia="Arial" w:hAnsi="Arial"/>
          <w:sz w:val="22"/>
          <w:szCs w:val="22"/>
        </w:rPr>
        <w:t xml:space="preserve">ERBB2, ERBB3, ARAF, BRAF, MAPK1, NRAS, SHC1</w:t>
      </w:r>
    </w:p>
    <w:p>
      <w:pPr>
        <w:spacing w:before="80" w:after="80"/>
      </w:pPr>
      <w:r>
        <w:t xml:space="preserve"/>
      </w:r>
    </w:p>
    <w:p>
      <w:pPr>
        <w:spacing w:before="160" w:after="60"/>
      </w:pPr>
      <w:r>
        <w:rPr>
          <w:rFonts w:ascii="Arial" w:cs="Arial" w:eastAsia="Arial" w:hAnsi="Arial"/>
          <w:b/>
          <w:bCs/>
          <w:color w:val="444444"/>
          <w:sz w:val="24"/>
          <w:szCs w:val="24"/>
        </w:rPr>
        <w:t xml:space="preserve">Copy Number (2 genes)</w:t>
      </w:r>
    </w:p>
    <w:p>
      <w:pPr>
        <w:spacing w:before="40" w:after="40"/>
      </w:pPr>
      <w:r>
        <w:rPr>
          <w:rFonts w:ascii="Arial" w:cs="Arial" w:eastAsia="Arial" w:hAnsi="Arial"/>
          <w:sz w:val="22"/>
          <w:szCs w:val="22"/>
        </w:rPr>
        <w:t xml:space="preserve">EGFR, ERBB2 — both are commonly amplified in cancer and drive pathway hyperactivation.</w:t>
      </w:r>
    </w:p>
    <w:p>
      <w:pPr>
        <w:spacing w:before="80" w:after="80"/>
      </w:pPr>
      <w:r>
        <w:t xml:space="preserve"/>
      </w:r>
    </w:p>
    <w:p>
      <w:pPr>
        <w:spacing w:before="160" w:after="60"/>
      </w:pPr>
      <w:r>
        <w:rPr>
          <w:rFonts w:ascii="Arial" w:cs="Arial" w:eastAsia="Arial" w:hAnsi="Arial"/>
          <w:b/>
          <w:bCs/>
          <w:color w:val="444444"/>
          <w:sz w:val="24"/>
          <w:szCs w:val="24"/>
        </w:rPr>
        <w:t xml:space="preserve">Drugs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 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Gefitinib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1st gen EGFR inhibitor</w:t>
            </w:r>
          </w:p>
        </w:tc>
      </w:tr>
      <w:tr>
        <w:tc>
          <w:tcPr>
            <w:tcW w:type="dxa" w:w="2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Erlotinib</w:t>
            </w:r>
          </w:p>
        </w:tc>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w:t>
            </w:r>
          </w:p>
        </w:tc>
        <w:tc>
          <w:tcPr>
            <w:tcW w:type="dxa" w:w="3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1st gen EGFR inhibitor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Afatinib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 HER2, HER4</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2nd gen pan-HER inhibitor</w:t>
            </w:r>
          </w:p>
        </w:tc>
      </w:tr>
      <w:tr>
        <w:tc>
          <w:tcPr>
            <w:tcW w:type="dxa" w:w="2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Neratinib</w:t>
            </w:r>
          </w:p>
        </w:tc>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 HER2, HER4</w:t>
            </w:r>
          </w:p>
        </w:tc>
        <w:tc>
          <w:tcPr>
            <w:tcW w:type="dxa" w:w="3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2nd gen pan-HER inhibitor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Vemurafenib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BRAF V600E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BRAF inhibitor</w:t>
            </w:r>
          </w:p>
        </w:tc>
      </w:tr>
      <w:tr>
        <w:tc>
          <w:tcPr>
            <w:tcW w:type="dxa" w:w="2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Dabrafenib</w:t>
            </w:r>
          </w:p>
        </w:tc>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BRAF V600E</w:t>
            </w:r>
          </w:p>
        </w:tc>
        <w:tc>
          <w:tcPr>
            <w:tcW w:type="dxa" w:w="3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BRAF inhibitor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Trametinib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MEK1/2</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MEK inhibitor</w:t>
            </w:r>
          </w:p>
        </w:tc>
      </w:tr>
    </w:tbl>
    <w:p>
      <w:pPr>
        <w:spacing w:before="80" w:after="80"/>
      </w:pPr>
      <w:r>
        <w:t xml:space="preserve"/>
      </w:r>
    </w:p>
    <w:p>
      <w:pPr>
        <w:pStyle w:val="Heading2"/>
        <w:spacing w:before="240" w:after="80"/>
      </w:pPr>
      <w:r>
        <w:rPr>
          <w:rFonts w:ascii="Arial" w:cs="Arial" w:eastAsia="Arial" w:hAnsi="Arial"/>
          <w:b/>
          <w:bCs/>
          <w:color w:val="00749C"/>
          <w:sz w:val="26"/>
          <w:szCs w:val="26"/>
        </w:rPr>
        <w:t xml:space="preserve">2. PI3K/AKT/mTOR Pathway</w:t>
      </w:r>
    </w:p>
    <w:p>
      <w:pPr>
        <w:spacing w:before="40" w:after="40"/>
      </w:pPr>
      <w:r>
        <w:rPr>
          <w:rFonts w:ascii="Arial" w:cs="Arial" w:eastAsia="Arial" w:hAnsi="Arial"/>
          <w:sz w:val="22"/>
          <w:szCs w:val="22"/>
        </w:rPr>
        <w:t xml:space="preserve">The PI3K/AKT/mTOR pathway controls cell growth, metabolism, and survival. It is frequently activated in cancer through PIK3CA mutation, PTEN loss, or receptor tyrosine kinase signaling. mTORC1 integrates growth signals to regulate protein synthesis and cell size.</w:t>
      </w:r>
    </w:p>
    <w:p>
      <w:pPr>
        <w:spacing w:before="80" w:after="80"/>
      </w:pPr>
      <w:r>
        <w:t xml:space="preserve"/>
      </w:r>
    </w:p>
    <w:p>
      <w:pPr>
        <w:spacing w:before="160" w:after="60"/>
      </w:pPr>
      <w:r>
        <w:rPr>
          <w:rFonts w:ascii="Arial" w:cs="Arial" w:eastAsia="Arial" w:hAnsi="Arial"/>
          <w:b/>
          <w:bCs/>
          <w:color w:val="444444"/>
          <w:sz w:val="24"/>
          <w:szCs w:val="24"/>
        </w:rPr>
        <w:t xml:space="preserve">RNA Expression (20 genes)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Gene</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PIK3CA, PIK3CB, PIK3CD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PI3K catalytic subunits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PIK3R1, PIK3R3</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PI3K regulatory subunits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PTEN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Phosphatase — key tumor suppressor, opposes PI3K</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AKT1, AKT2</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AKT kinases — central effectors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PDPK1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PDK1 — activates AKT</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IRS1, IRS2</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Insulin receptor substrates — link RTKs to PI3K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MTOR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mTOR kinase — master growth regulator</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RPTOR, DEPTOR</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mTORC1 components/regulators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TSC1, TSC2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TSC complex — inhibits mTORC1 (tumor suppressors)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EIF4EBP1, RPS6KB1</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mTORC1 substrates controlling translation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FOXO3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Transcription factor inhibited by AKT</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GSK3B</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AKT substrate; regulates glycogen synthesis and apoptosis</w:t>
            </w:r>
          </w:p>
        </w:tc>
      </w:tr>
    </w:tbl>
    <w:p>
      <w:pPr>
        <w:spacing w:before="80" w:after="80"/>
      </w:pPr>
      <w:r>
        <w:t xml:space="preserve"/>
      </w:r>
    </w:p>
    <w:p>
      <w:pPr>
        <w:spacing w:before="160" w:after="60"/>
      </w:pPr>
      <w:r>
        <w:rPr>
          <w:rFonts w:ascii="Arial" w:cs="Arial" w:eastAsia="Arial" w:hAnsi="Arial"/>
          <w:b/>
          <w:bCs/>
          <w:color w:val="444444"/>
          <w:sz w:val="24"/>
          <w:szCs w:val="24"/>
        </w:rPr>
        <w:t xml:space="preserve">Protein Expression (8 proteins)</w:t>
      </w:r>
    </w:p>
    <w:p>
      <w:pPr>
        <w:spacing w:before="40" w:after="40"/>
      </w:pPr>
      <w:r>
        <w:rPr>
          <w:rFonts w:ascii="Arial" w:cs="Arial" w:eastAsia="Arial" w:hAnsi="Arial"/>
          <w:sz w:val="22"/>
          <w:szCs w:val="22"/>
        </w:rPr>
        <w:t xml:space="preserve">PIK3CA, PIK3R1, PTEN, MTOR, RPTOR, IRS1, GSK3B, PRKCA</w:t>
      </w:r>
    </w:p>
    <w:p>
      <w:pPr>
        <w:spacing w:before="80" w:after="80"/>
      </w:pPr>
      <w:r>
        <w:t xml:space="preserve"/>
      </w:r>
    </w:p>
    <w:p>
      <w:pPr>
        <w:spacing w:before="160" w:after="60"/>
      </w:pPr>
      <w:r>
        <w:rPr>
          <w:rFonts w:ascii="Arial" w:cs="Arial" w:eastAsia="Arial" w:hAnsi="Arial"/>
          <w:b/>
          <w:bCs/>
          <w:color w:val="444444"/>
          <w:sz w:val="24"/>
          <w:szCs w:val="24"/>
        </w:rPr>
        <w:t xml:space="preserve">Copy Number (2 genes)</w:t>
      </w:r>
    </w:p>
    <w:p>
      <w:pPr>
        <w:spacing w:before="40" w:after="40"/>
      </w:pPr>
      <w:r>
        <w:rPr>
          <w:rFonts w:ascii="Arial" w:cs="Arial" w:eastAsia="Arial" w:hAnsi="Arial"/>
          <w:sz w:val="22"/>
          <w:szCs w:val="22"/>
        </w:rPr>
        <w:t xml:space="preserve">PIK3CA (frequently amplified), PTEN (frequently deleted — tumor suppressor)</w:t>
      </w:r>
    </w:p>
    <w:p>
      <w:pPr>
        <w:spacing w:before="80" w:after="80"/>
      </w:pPr>
      <w:r>
        <w:t xml:space="preserve"/>
      </w:r>
    </w:p>
    <w:p>
      <w:pPr>
        <w:spacing w:before="160" w:after="60"/>
      </w:pPr>
      <w:r>
        <w:rPr>
          <w:rFonts w:ascii="Arial" w:cs="Arial" w:eastAsia="Arial" w:hAnsi="Arial"/>
          <w:b/>
          <w:bCs/>
          <w:color w:val="444444"/>
          <w:sz w:val="24"/>
          <w:szCs w:val="24"/>
        </w:rPr>
        <w:t xml:space="preserve">Drugs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 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Alpelisib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PI3Kα (PIK3CA)</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Selective PI3Kα inhibitor</w:t>
            </w:r>
          </w:p>
        </w:tc>
      </w:tr>
      <w:tr>
        <w:tc>
          <w:tcPr>
            <w:tcW w:type="dxa" w:w="2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Buparlisib</w:t>
            </w:r>
          </w:p>
        </w:tc>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PI3Kα/β/γ/δ</w:t>
            </w:r>
          </w:p>
        </w:tc>
        <w:tc>
          <w:tcPr>
            <w:tcW w:type="dxa" w:w="3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Pan-PI3K inhibitor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Everolimus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mTORC1</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Rapalog / allosteric mTOR inhibitor</w:t>
            </w:r>
          </w:p>
        </w:tc>
      </w:tr>
    </w:tbl>
    <w:p>
      <w:pPr>
        <w:spacing w:before="80" w:after="80"/>
      </w:pPr>
      <w:r>
        <w:t xml:space="preserve"/>
      </w:r>
    </w:p>
    <w:p>
      <w:pPr>
        <w:pStyle w:val="Heading2"/>
        <w:spacing w:before="240" w:after="80"/>
      </w:pPr>
      <w:r>
        <w:rPr>
          <w:rFonts w:ascii="Arial" w:cs="Arial" w:eastAsia="Arial" w:hAnsi="Arial"/>
          <w:b/>
          <w:bCs/>
          <w:color w:val="00749C"/>
          <w:sz w:val="26"/>
          <w:szCs w:val="26"/>
        </w:rPr>
        <w:t xml:space="preserve">3. JAK/STAT Pathway</w:t>
      </w:r>
    </w:p>
    <w:p>
      <w:pPr>
        <w:spacing w:before="40" w:after="40"/>
      </w:pPr>
      <w:r>
        <w:rPr>
          <w:rFonts w:ascii="Arial" w:cs="Arial" w:eastAsia="Arial" w:hAnsi="Arial"/>
          <w:sz w:val="22"/>
          <w:szCs w:val="22"/>
        </w:rPr>
        <w:t xml:space="preserve">The JAK/STAT pathway transmits signals from cytokines and growth factors at the cell surface to the nucleus. JAK kinases phosphorylate STAT transcription factors, which dimerize and regulate genes controlling immunity, proliferation, and survival. SOCS proteins provide negative feedback.</w:t>
      </w:r>
    </w:p>
    <w:p>
      <w:pPr>
        <w:spacing w:before="80" w:after="80"/>
      </w:pPr>
      <w:r>
        <w:t xml:space="preserve"/>
      </w:r>
    </w:p>
    <w:p>
      <w:pPr>
        <w:spacing w:before="160" w:after="60"/>
      </w:pPr>
      <w:r>
        <w:rPr>
          <w:rFonts w:ascii="Arial" w:cs="Arial" w:eastAsia="Arial" w:hAnsi="Arial"/>
          <w:b/>
          <w:bCs/>
          <w:color w:val="444444"/>
          <w:sz w:val="24"/>
          <w:szCs w:val="24"/>
        </w:rPr>
        <w:t xml:space="preserve">RNA Expression (12 genes)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Gene</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JAK1, JAK2, JAK3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Janus kinases — phosphorylate STATs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STAT1, STAT3, STAT5A, STAT5B</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Signal transducers and transcription factors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SOCS1, SOCS3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Suppressors of cytokine signaling — negative feedback</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IL6ST</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GP130 — shared IL-6 family cytokine receptor subunit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IFNGR1, IFNGR2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Interferon-gamma receptor subunits</w:t>
            </w:r>
          </w:p>
        </w:tc>
      </w:tr>
    </w:tbl>
    <w:p>
      <w:pPr>
        <w:spacing w:before="80" w:after="80"/>
      </w:pPr>
      <w:r>
        <w:t xml:space="preserve"/>
      </w:r>
    </w:p>
    <w:p>
      <w:pPr>
        <w:spacing w:before="160" w:after="60"/>
      </w:pPr>
      <w:r>
        <w:rPr>
          <w:rFonts w:ascii="Arial" w:cs="Arial" w:eastAsia="Arial" w:hAnsi="Arial"/>
          <w:b/>
          <w:bCs/>
          <w:color w:val="444444"/>
          <w:sz w:val="24"/>
          <w:szCs w:val="24"/>
        </w:rPr>
        <w:t xml:space="preserve">Protein Expression (5 proteins)</w:t>
      </w:r>
    </w:p>
    <w:p>
      <w:pPr>
        <w:spacing w:before="40" w:after="40"/>
      </w:pPr>
      <w:r>
        <w:rPr>
          <w:rFonts w:ascii="Arial" w:cs="Arial" w:eastAsia="Arial" w:hAnsi="Arial"/>
          <w:sz w:val="22"/>
          <w:szCs w:val="22"/>
        </w:rPr>
        <w:t xml:space="preserve">JAK2, STAT1, STAT3, STAT5A, SOCS3</w:t>
      </w:r>
    </w:p>
    <w:p>
      <w:pPr>
        <w:spacing w:before="80" w:after="80"/>
      </w:pPr>
      <w:r>
        <w:t xml:space="preserve"/>
      </w:r>
    </w:p>
    <w:p>
      <w:pPr>
        <w:spacing w:before="160" w:after="60"/>
      </w:pPr>
      <w:r>
        <w:rPr>
          <w:rFonts w:ascii="Arial" w:cs="Arial" w:eastAsia="Arial" w:hAnsi="Arial"/>
          <w:b/>
          <w:bCs/>
          <w:color w:val="444444"/>
          <w:sz w:val="24"/>
          <w:szCs w:val="24"/>
        </w:rPr>
        <w:t xml:space="preserve">Drugs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 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Ruxolitinib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JAK1/2/3, TYK2</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Pan-JAK inhibitor</w:t>
            </w:r>
          </w:p>
        </w:tc>
      </w:tr>
      <w:tr>
        <w:tc>
          <w:tcPr>
            <w:tcW w:type="dxa" w:w="2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Baricitinib</w:t>
            </w:r>
          </w:p>
        </w:tc>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JAK1/2</w:t>
            </w:r>
          </w:p>
        </w:tc>
        <w:tc>
          <w:tcPr>
            <w:tcW w:type="dxa" w:w="3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Selective JAK1/2 inhibitor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Napabucasin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STAT3 (direct)</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STAT3 inhibitor (downstream of JAK)</w:t>
            </w:r>
          </w:p>
        </w:tc>
      </w:tr>
    </w:tbl>
    <w:p>
      <w:pPr>
        <w:spacing w:before="80" w:after="80"/>
      </w:pPr>
      <w:r>
        <w:t xml:space="preserve"/>
      </w:r>
    </w:p>
    <w:p>
      <w:pPr>
        <w:pStyle w:val="Heading2"/>
        <w:spacing w:before="240" w:after="80"/>
      </w:pPr>
      <w:r>
        <w:rPr>
          <w:rFonts w:ascii="Arial" w:cs="Arial" w:eastAsia="Arial" w:hAnsi="Arial"/>
          <w:b/>
          <w:bCs/>
          <w:color w:val="00749C"/>
          <w:sz w:val="26"/>
          <w:szCs w:val="26"/>
        </w:rPr>
        <w:t xml:space="preserve">4. TGF-β/SMAD Pathway</w:t>
      </w:r>
    </w:p>
    <w:p>
      <w:pPr>
        <w:spacing w:before="40" w:after="40"/>
      </w:pPr>
      <w:r>
        <w:rPr>
          <w:rFonts w:ascii="Arial" w:cs="Arial" w:eastAsia="Arial" w:hAnsi="Arial"/>
          <w:sz w:val="22"/>
          <w:szCs w:val="22"/>
        </w:rPr>
        <w:t xml:space="preserve">The TGF-β pathway plays a dual role in cancer: it acts as a tumor suppressor in early stages (inhibiting proliferation) but promotes invasion and metastasis in advanced cancer. TGF-β ligands signal through TGFBR1/2 receptors to phosphorylate SMAD proteins, which regulate transcription of target genes including EMT drivers.</w:t>
      </w:r>
    </w:p>
    <w:p>
      <w:pPr>
        <w:spacing w:before="80" w:after="80"/>
      </w:pPr>
      <w:r>
        <w:t xml:space="preserve"/>
      </w:r>
    </w:p>
    <w:p>
      <w:pPr>
        <w:spacing w:before="160" w:after="60"/>
      </w:pPr>
      <w:r>
        <w:rPr>
          <w:rFonts w:ascii="Arial" w:cs="Arial" w:eastAsia="Arial" w:hAnsi="Arial"/>
          <w:b/>
          <w:bCs/>
          <w:color w:val="444444"/>
          <w:sz w:val="24"/>
          <w:szCs w:val="24"/>
        </w:rPr>
        <w:t xml:space="preserve">RNA Expression (6 genes)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Gene</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TGFB1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TGF-β ligand</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TGFBR1, TGFBR2</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TGF-β receptors (type I and II)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SMAD2, SMAD3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Receptor-regulated SMADs — transducers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SMAD4</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Co-SMAD — forms complex with SMAD2/3; tumor suppressor</w:t>
            </w:r>
          </w:p>
        </w:tc>
      </w:tr>
    </w:tbl>
    <w:p>
      <w:pPr>
        <w:spacing w:before="80" w:after="80"/>
      </w:pPr>
      <w:r>
        <w:t xml:space="preserve"/>
      </w:r>
    </w:p>
    <w:p>
      <w:pPr>
        <w:spacing w:before="160" w:after="60"/>
      </w:pPr>
      <w:r>
        <w:rPr>
          <w:rFonts w:ascii="Arial" w:cs="Arial" w:eastAsia="Arial" w:hAnsi="Arial"/>
          <w:b/>
          <w:bCs/>
          <w:color w:val="444444"/>
          <w:sz w:val="24"/>
          <w:szCs w:val="24"/>
        </w:rPr>
        <w:t xml:space="preserve">Protein Expression (2 proteins)</w:t>
      </w:r>
    </w:p>
    <w:p>
      <w:pPr>
        <w:spacing w:before="40" w:after="40"/>
      </w:pPr>
      <w:r>
        <w:rPr>
          <w:rFonts w:ascii="Arial" w:cs="Arial" w:eastAsia="Arial" w:hAnsi="Arial"/>
          <w:sz w:val="22"/>
          <w:szCs w:val="22"/>
        </w:rPr>
        <w:t xml:space="preserve">SMAD3, SMAD4</w:t>
      </w:r>
    </w:p>
    <w:p>
      <w:pPr>
        <w:spacing w:before="80" w:after="80"/>
      </w:pPr>
      <w:r>
        <w:t xml:space="preserve"/>
      </w:r>
    </w:p>
    <w:p>
      <w:pPr>
        <w:spacing w:before="160" w:after="60"/>
      </w:pPr>
      <w:r>
        <w:rPr>
          <w:rFonts w:ascii="Arial" w:cs="Arial" w:eastAsia="Arial" w:hAnsi="Arial"/>
          <w:b/>
          <w:bCs/>
          <w:color w:val="444444"/>
          <w:sz w:val="24"/>
          <w:szCs w:val="24"/>
        </w:rPr>
        <w:t xml:space="preserve">Drugs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 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Repsox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TGFBR1 (ALK5)</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Selective TGFBR1 inhibitor</w:t>
            </w:r>
          </w:p>
        </w:tc>
      </w:tr>
    </w:tbl>
    <w:p>
      <w:pPr>
        <w:spacing w:before="80" w:after="80"/>
      </w:pPr>
      <w:r>
        <w:t xml:space="preserve"/>
      </w:r>
    </w:p>
    <w:p>
      <w:pPr>
        <w:pStyle w:val="Heading2"/>
        <w:spacing w:before="240" w:after="80"/>
      </w:pPr>
      <w:r>
        <w:rPr>
          <w:rFonts w:ascii="Arial" w:cs="Arial" w:eastAsia="Arial" w:hAnsi="Arial"/>
          <w:b/>
          <w:bCs/>
          <w:color w:val="00749C"/>
          <w:sz w:val="26"/>
          <w:szCs w:val="26"/>
        </w:rPr>
        <w:t xml:space="preserve">5. Epithelial-Mesenchymal Transition (EMT) &amp; SRC Signaling</w:t>
      </w:r>
    </w:p>
    <w:p>
      <w:pPr>
        <w:spacing w:before="40" w:after="40"/>
      </w:pPr>
      <w:r>
        <w:rPr>
          <w:rFonts w:ascii="Arial" w:cs="Arial" w:eastAsia="Arial" w:hAnsi="Arial"/>
          <w:sz w:val="22"/>
          <w:szCs w:val="22"/>
        </w:rPr>
        <w:t xml:space="preserve">EMT is a process by which epithelial cancer cells acquire mesenchymal characteristics, enabling invasion and metastasis. It is driven by transcription factors (SNAI1/2, TWIST1, ZEB1/2) that repress E-cadherin (CDH1) and activate mesenchymal markers. SRC kinase promotes EMT by phosphorylating cell adhesion and cytoskeletal proteins.</w:t>
      </w:r>
    </w:p>
    <w:p>
      <w:pPr>
        <w:spacing w:before="80" w:after="80"/>
      </w:pPr>
      <w:r>
        <w:t xml:space="preserve"/>
      </w:r>
    </w:p>
    <w:p>
      <w:pPr>
        <w:spacing w:before="160" w:after="60"/>
      </w:pPr>
      <w:r>
        <w:rPr>
          <w:rFonts w:ascii="Arial" w:cs="Arial" w:eastAsia="Arial" w:hAnsi="Arial"/>
          <w:b/>
          <w:bCs/>
          <w:color w:val="444444"/>
          <w:sz w:val="24"/>
          <w:szCs w:val="24"/>
        </w:rPr>
        <w:t xml:space="preserve">RNA Expression (19 genes)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Gene</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CDH1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E-cadherin — epithelial marker; lost in EMT</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CDH2</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N-cadherin — mesenchymal marker; gained in EMT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Vimentin — mesenchymal intermediate filament</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FN1</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Fibronectin — mesenchymal ECM protein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COL1A1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Collagen I — matrix remodeling</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MMP2, MMP9</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Matrix metalloproteinases — ECM degradation/invasion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SNAI1, SNAI2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Snail/Slug transcription factors — repress CDH1</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TWIST1</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Twist — EMT transcription factor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ZEB1, ZEB2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ZEB transcription factors — repress CDH1</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ITGA5</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Integrin α5 — cell adhesion to fibronectin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LIMK1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 kinase — regulates actin cytoskeleton/motility</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MAP3K1, MAPK8, MAPK14</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Stress kinases contributing to EMT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MEF2A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Transcription factor regulating EMT genes</w:t>
            </w:r>
          </w:p>
        </w:tc>
      </w:tr>
      <w:tr>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SRC</w:t>
            </w:r>
          </w:p>
        </w:tc>
        <w:tc>
          <w:tcPr>
            <w:tcW w:type="dxa" w:w="6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SRC tyrosine kinase — promotes EMT, focal adhesions, invasion</w:t>
            </w:r>
          </w:p>
        </w:tc>
      </w:tr>
    </w:tbl>
    <w:p>
      <w:pPr>
        <w:spacing w:before="80" w:after="80"/>
      </w:pPr>
      <w:r>
        <w:t xml:space="preserve"/>
      </w:r>
    </w:p>
    <w:p>
      <w:pPr>
        <w:spacing w:before="160" w:after="60"/>
      </w:pPr>
      <w:r>
        <w:rPr>
          <w:rFonts w:ascii="Arial" w:cs="Arial" w:eastAsia="Arial" w:hAnsi="Arial"/>
          <w:b/>
          <w:bCs/>
          <w:color w:val="444444"/>
          <w:sz w:val="24"/>
          <w:szCs w:val="24"/>
        </w:rPr>
        <w:t xml:space="preserve">Protein Expression (5 proteins)</w:t>
      </w:r>
    </w:p>
    <w:p>
      <w:pPr>
        <w:spacing w:before="40" w:after="40"/>
      </w:pPr>
      <w:r>
        <w:rPr>
          <w:rFonts w:ascii="Arial" w:cs="Arial" w:eastAsia="Arial" w:hAnsi="Arial"/>
          <w:sz w:val="22"/>
          <w:szCs w:val="22"/>
        </w:rPr>
        <w:t xml:space="preserve">CDH1, CDH2, FN1, SNAI1, ITGA2</w:t>
      </w:r>
    </w:p>
    <w:p>
      <w:pPr>
        <w:spacing w:before="80" w:after="80"/>
      </w:pPr>
      <w:r>
        <w:t xml:space="preserve"/>
      </w:r>
    </w:p>
    <w:p>
      <w:pPr>
        <w:spacing w:before="160" w:after="60"/>
      </w:pPr>
      <w:r>
        <w:rPr>
          <w:rFonts w:ascii="Arial" w:cs="Arial" w:eastAsia="Arial" w:hAnsi="Arial"/>
          <w:b/>
          <w:bCs/>
          <w:color w:val="444444"/>
          <w:sz w:val="24"/>
          <w:szCs w:val="24"/>
        </w:rPr>
        <w:t xml:space="preserve">Drugs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3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 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KX2-391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SRC (selective)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SRC kinase inhibitor</w:t>
            </w:r>
          </w:p>
        </w:tc>
      </w:tr>
    </w:tbl>
    <w:p>
      <w:pPr>
        <w:spacing w:before="80" w:after="80"/>
      </w:pPr>
      <w:r>
        <w:t xml:space="preserve"/>
      </w:r>
    </w:p>
    <w:p>
      <w:pPr>
        <w:pStyle w:val="Heading1"/>
        <w:pBdr>
          <w:bottom w:val="single" w:color="00749C" w:sz="6" w:space="1"/>
        </w:pBdr>
        <w:spacing w:before="360" w:after="120"/>
      </w:pPr>
      <w:r>
        <w:rPr>
          <w:rFonts w:ascii="Arial" w:cs="Arial" w:eastAsia="Arial" w:hAnsi="Arial"/>
          <w:b/>
          <w:bCs/>
          <w:color w:val="1E3A5F"/>
          <w:sz w:val="32"/>
          <w:szCs w:val="32"/>
        </w:rPr>
        <w:t xml:space="preserve">Cross-Cutting &amp; Ancillary Features</w:t>
      </w:r>
    </w:p>
    <w:p>
      <w:pPr>
        <w:pStyle w:val="Heading2"/>
        <w:spacing w:before="240" w:after="80"/>
      </w:pPr>
      <w:r>
        <w:rPr>
          <w:rFonts w:ascii="Arial" w:cs="Arial" w:eastAsia="Arial" w:hAnsi="Arial"/>
          <w:b/>
          <w:bCs/>
          <w:color w:val="00749C"/>
          <w:sz w:val="26"/>
          <w:szCs w:val="26"/>
        </w:rPr>
        <w:t xml:space="preserve">Copy Number — MYC</w:t>
      </w:r>
    </w:p>
    <w:p>
      <w:pPr>
        <w:spacing w:before="40" w:after="40"/>
      </w:pPr>
      <w:r>
        <w:rPr>
          <w:rFonts w:ascii="Arial" w:cs="Arial" w:eastAsia="Arial" w:hAnsi="Arial"/>
          <w:sz w:val="22"/>
          <w:szCs w:val="22"/>
        </w:rPr>
        <w:t xml:space="preserve">MYC is one of the most commonly amplified oncogenes in cancer. MYC protein (from RPPA) and MYC copy number are both included, allowing students to explore the relationship between gene amplification and protein abundance.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cn_MYC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Copy Number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MYC amplification status</w:t>
            </w:r>
          </w:p>
        </w:tc>
      </w:tr>
      <w:tr>
        <w:tc>
          <w:tcPr>
            <w:tcW w:type="dxa" w:w="25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prot_MYC</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Protein (RPPA)</w:t>
            </w:r>
          </w:p>
        </w:tc>
        <w:tc>
          <w:tcPr>
            <w:tcW w:type="dxa" w:w="48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MYC protein abundance</w:t>
            </w:r>
          </w:p>
        </w:tc>
      </w:tr>
    </w:tbl>
    <w:p>
      <w:pPr>
        <w:spacing w:before="80" w:after="80"/>
      </w:pPr>
      <w:r>
        <w:t xml:space="preserve"/>
      </w:r>
    </w:p>
    <w:p>
      <w:pPr>
        <w:pStyle w:val="Heading2"/>
        <w:spacing w:before="240" w:after="80"/>
      </w:pPr>
      <w:r>
        <w:rPr>
          <w:rFonts w:ascii="Arial" w:cs="Arial" w:eastAsia="Arial" w:hAnsi="Arial"/>
          <w:b/>
          <w:bCs/>
          <w:color w:val="00749C"/>
          <w:sz w:val="26"/>
          <w:szCs w:val="26"/>
        </w:rPr>
        <w:t xml:space="preserve">Additional Proteins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Protein</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Pathway Connection</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PRKCA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PI3K/signaling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Protein kinase C alpha — lipid signaling</w:t>
            </w:r>
          </w:p>
        </w:tc>
      </w:tr>
      <w:tr>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MAPK9</w:t>
            </w:r>
          </w:p>
        </w:tc>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MAPK/stress</w:t>
            </w:r>
          </w:p>
        </w:tc>
        <w:tc>
          <w:tcPr>
            <w:tcW w:type="dxa" w:w="4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JNK2 — stress-activated kinase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Emerging role in cancer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Tyrosine kinase; roles in breast and ovarian cancer</w:t>
            </w:r>
          </w:p>
        </w:tc>
      </w:tr>
      <w:tr>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ITGA2</w:t>
            </w:r>
          </w:p>
        </w:tc>
        <w:tc>
          <w:tcPr>
            <w:tcW w:type="dxa" w:w="3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EMT/adhesion</w:t>
            </w:r>
          </w:p>
        </w:tc>
        <w:tc>
          <w:tcPr>
            <w:tcW w:type="dxa" w:w="4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Integrin alpha-2 — cell-matrix adhesion</w:t>
            </w:r>
          </w:p>
        </w:tc>
      </w:tr>
    </w:tbl>
    <w:p>
      <w:pPr>
        <w:spacing w:before="80" w:after="80"/>
      </w:pPr>
      <w:r>
        <w:t xml:space="preserve"/>
      </w:r>
    </w:p>
    <w:p>
      <w:pPr>
        <w:pStyle w:val="Heading1"/>
        <w:pBdr>
          <w:bottom w:val="single" w:color="00749C" w:sz="6" w:space="1"/>
        </w:pBdr>
        <w:spacing w:before="360" w:after="120"/>
      </w:pPr>
      <w:r>
        <w:rPr>
          <w:rFonts w:ascii="Arial" w:cs="Arial" w:eastAsia="Arial" w:hAnsi="Arial"/>
          <w:b/>
          <w:bCs/>
          <w:color w:val="1E3A5F"/>
          <w:sz w:val="32"/>
          <w:szCs w:val="32"/>
        </w:rPr>
        <w:t xml:space="preserve">Complete Drug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000"/>
        <w:gridCol w:w="336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Drug</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Target(s)</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Pathway</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Gefitinib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EGFR/RAS/MAPK</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EGFR-dependent, sensitive</w:t>
            </w:r>
          </w:p>
        </w:tc>
      </w:tr>
      <w:tr>
        <w:tc>
          <w:tcPr>
            <w:tcW w:type="dxa" w:w="18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Erlotinib</w:t>
            </w:r>
          </w:p>
        </w:tc>
        <w:tc>
          <w:tcPr>
            <w:tcW w:type="dxa" w:w="22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EGFR/RAS/MAPK</w:t>
            </w:r>
          </w:p>
        </w:tc>
        <w:tc>
          <w:tcPr>
            <w:tcW w:type="dxa" w:w="3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Low AUC = EGFR-dependent, sensitive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Afatinib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 HER2, HER4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EGFR/RAS/MAPK</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pan-HER sensitive</w:t>
            </w:r>
          </w:p>
        </w:tc>
      </w:tr>
      <w:tr>
        <w:tc>
          <w:tcPr>
            <w:tcW w:type="dxa" w:w="18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Neratinib</w:t>
            </w:r>
          </w:p>
        </w:tc>
        <w:tc>
          <w:tcPr>
            <w:tcW w:type="dxa" w:w="22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 HER2, HER4</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EGFR/RAS/MAPK</w:t>
            </w:r>
          </w:p>
        </w:tc>
        <w:tc>
          <w:tcPr>
            <w:tcW w:type="dxa" w:w="3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Low AUC = pan-HER sensitive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Vemurafenib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BRAF V600E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EGFR/RAS/MAPK</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BRAF V600E driven</w:t>
            </w:r>
          </w:p>
        </w:tc>
      </w:tr>
      <w:tr>
        <w:tc>
          <w:tcPr>
            <w:tcW w:type="dxa" w:w="18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Dabrafenib</w:t>
            </w:r>
          </w:p>
        </w:tc>
        <w:tc>
          <w:tcPr>
            <w:tcW w:type="dxa" w:w="22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BRAF V600E</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EGFR/RAS/MAPK</w:t>
            </w:r>
          </w:p>
        </w:tc>
        <w:tc>
          <w:tcPr>
            <w:tcW w:type="dxa" w:w="3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Low AUC = BRAF V600E driven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Trametinib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MEK1/2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EGFR/RAS/MAPK</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MEK-dependent</w:t>
            </w:r>
          </w:p>
        </w:tc>
      </w:tr>
      <w:tr>
        <w:tc>
          <w:tcPr>
            <w:tcW w:type="dxa" w:w="18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Alpelisib</w:t>
            </w:r>
          </w:p>
        </w:tc>
        <w:tc>
          <w:tcPr>
            <w:tcW w:type="dxa" w:w="22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PI3Kα</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PI3K/AKT/mTOR</w:t>
            </w:r>
          </w:p>
        </w:tc>
        <w:tc>
          <w:tcPr>
            <w:tcW w:type="dxa" w:w="3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Low AUC = PIK3CA-dependent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Buparlisib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Pan-PI3K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PI3K/AKT/mTOR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PI3K-dependent</w:t>
            </w:r>
          </w:p>
        </w:tc>
      </w:tr>
      <w:tr>
        <w:tc>
          <w:tcPr>
            <w:tcW w:type="dxa" w:w="18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Everolimus</w:t>
            </w:r>
          </w:p>
        </w:tc>
        <w:tc>
          <w:tcPr>
            <w:tcW w:type="dxa" w:w="22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mTORC1</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PI3K/AKT/mTOR</w:t>
            </w:r>
          </w:p>
        </w:tc>
        <w:tc>
          <w:tcPr>
            <w:tcW w:type="dxa" w:w="3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Low AUC = mTOR-dependent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Ruxolitinib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JAK1/2/3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JAK/STAT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JAK-dependent</w:t>
            </w:r>
          </w:p>
        </w:tc>
      </w:tr>
      <w:tr>
        <w:tc>
          <w:tcPr>
            <w:tcW w:type="dxa" w:w="18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Baricitinib</w:t>
            </w:r>
          </w:p>
        </w:tc>
        <w:tc>
          <w:tcPr>
            <w:tcW w:type="dxa" w:w="22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JAK1/2</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JAK/STAT</w:t>
            </w:r>
          </w:p>
        </w:tc>
        <w:tc>
          <w:tcPr>
            <w:tcW w:type="dxa" w:w="3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Low AUC = JAK1/2-dependent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Napabucasin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JAK/STAT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STAT3-dependent</w:t>
            </w:r>
          </w:p>
        </w:tc>
      </w:tr>
      <w:tr>
        <w:tc>
          <w:tcPr>
            <w:tcW w:type="dxa" w:w="18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Repsox</w:t>
            </w:r>
          </w:p>
        </w:tc>
        <w:tc>
          <w:tcPr>
            <w:tcW w:type="dxa" w:w="22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TGFBR1</w:t>
            </w:r>
          </w:p>
        </w:tc>
        <w:tc>
          <w:tcPr>
            <w:tcW w:type="dxa" w:w="200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TGF-β/SMAD</w:t>
            </w:r>
          </w:p>
        </w:tc>
        <w:tc>
          <w:tcPr>
            <w:tcW w:type="dxa" w:w="3360"/>
            <w:tcBorders>
              <w:top w:val="single" w:color="CCCCCC" w:sz="1"/>
              <w:left w:val="single" w:color="CCCCCC" w:sz="1"/>
              <w:bottom w:val="single" w:color="CCCCCC" w:sz="1"/>
              <w:right w:val="single" w:color="CCCCCC" w:sz="1"/>
            </w:tcBorders>
            <w:shd w:fill="F0F7FB" w:val="clear"/>
            <w:tcMar>
              <w:top w:type="dxa" w:w="80"/>
              <w:left w:type="dxa" w:w="120"/>
              <w:bottom w:type="dxa" w:w="80"/>
              <w:right w:type="dxa" w:w="120"/>
            </w:tcMar>
          </w:tcPr>
          <w:p>
            <w:r>
              <w:rPr>
                <w:rFonts w:ascii="Arial" w:cs="Arial" w:eastAsia="Arial" w:hAnsi="Arial"/>
                <w:sz w:val="20"/>
                <w:szCs w:val="20"/>
              </w:rPr>
              <w:t xml:space="preserve">Low AUC = TGFβR1-dependent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KX2-391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EMT/SRC</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AUC = SRC-dependent</w:t>
            </w:r>
          </w:p>
        </w:tc>
      </w:tr>
    </w:tbl>
    <w:p>
      <w:pPr>
        <w:spacing w:before="80" w:after="80"/>
      </w:pPr>
      <w:r>
        <w:t xml:space="preserve"/>
      </w:r>
    </w:p>
    <w:p>
      <w:pPr>
        <w:pStyle w:val="Heading1"/>
        <w:pBdr>
          <w:bottom w:val="single" w:color="00749C" w:sz="6" w:space="1"/>
        </w:pBdr>
        <w:spacing w:before="360" w:after="120"/>
      </w:pPr>
      <w:r>
        <w:rPr>
          <w:rFonts w:ascii="Arial" w:cs="Arial" w:eastAsia="Arial" w:hAnsi="Arial"/>
          <w:b/>
          <w:bCs/>
          <w:color w:val="1E3A5F"/>
          <w:sz w:val="32"/>
          <w:szCs w:val="32"/>
        </w:rPr>
        <w:t xml:space="preserve">Notes for Students</w:t>
      </w:r>
    </w:p>
    <w:p>
      <w:pPr>
        <w:pStyle w:val="ListParagraph"/>
        <w:numPr>
          <w:ilvl w:val="0"/>
          <w:numId w:val="2"/>
        </w:numPr>
        <w:spacing w:before="20" w:after="20"/>
      </w:pPr>
      <w:r>
        <w:rPr>
          <w:rFonts w:ascii="Arial" w:cs="Arial" w:eastAsia="Arial" w:hAnsi="Arial"/>
          <w:sz w:val="22"/>
          <w:szCs w:val="22"/>
        </w:rPr>
        <w:t xml:space="preserve">AUC values range from 0 to 1 (clipped). Lower AUC = more drug sensitivity (more cells died). Higher AUC = resistance.</w:t>
      </w:r>
    </w:p>
    <w:p>
      <w:pPr>
        <w:pStyle w:val="ListParagraph"/>
        <w:numPr>
          <w:ilvl w:val="0"/>
          <w:numId w:val="2"/>
        </w:numPr>
        <w:spacing w:before="20" w:after="20"/>
      </w:pPr>
      <w:r>
        <w:rPr>
          <w:rFonts w:ascii="Arial" w:cs="Arial" w:eastAsia="Arial" w:hAnsi="Arial"/>
          <w:sz w:val="22"/>
          <w:szCs w:val="22"/>
        </w:rPr>
        <w:t xml:space="preserve">RNA expression values are log2(TPM+1). Higher values indicate more active gene transcription.</w:t>
      </w:r>
    </w:p>
    <w:p>
      <w:pPr>
        <w:pStyle w:val="ListParagraph"/>
        <w:numPr>
          <w:ilvl w:val="0"/>
          <w:numId w:val="2"/>
        </w:numPr>
        <w:spacing w:before="20" w:after="20"/>
      </w:pPr>
      <w:r>
        <w:rPr>
          <w:rFonts w:ascii="Arial" w:cs="Arial" w:eastAsia="Arial" w:hAnsi="Arial"/>
          <w:sz w:val="22"/>
          <w:szCs w:val="22"/>
        </w:rPr>
        <w:t xml:space="preserve">Protein expression values are from RPPA (Reverse Phase Protein Array), a quantitative antibody-based proteomics platform. Values are normalized z-scores.</w:t>
      </w:r>
    </w:p>
    <w:p>
      <w:pPr>
        <w:pStyle w:val="ListParagraph"/>
        <w:numPr>
          <w:ilvl w:val="0"/>
          <w:numId w:val="2"/>
        </w:numPr>
        <w:spacing w:before="20" w:after="20"/>
      </w:pPr>
      <w:r>
        <w:rPr>
          <w:rFonts w:ascii="Arial" w:cs="Arial" w:eastAsia="Arial" w:hAnsi="Arial"/>
          <w:sz w:val="22"/>
          <w:szCs w:val="22"/>
        </w:rPr>
        <w:t xml:space="preserve">Copy number values reflect gene amplification or deletion relative to normal diploid genome.</w:t>
      </w:r>
    </w:p>
    <w:p>
      <w:pPr>
        <w:pStyle w:val="ListParagraph"/>
        <w:numPr>
          <w:ilvl w:val="0"/>
          <w:numId w:val="2"/>
        </w:numPr>
        <w:spacing w:before="20" w:after="20"/>
      </w:pPr>
      <w:r>
        <w:rPr>
          <w:rFonts w:ascii="Arial" w:cs="Arial" w:eastAsia="Arial" w:hAnsi="Arial"/>
          <w:sz w:val="22"/>
          <w:szCs w:val="22"/>
        </w:rPr>
        <w:t xml:space="preserve">Mutation data (0/1) indicates presence or absence of non-synonymous somatic mutations.</w:t>
      </w:r>
    </w:p>
    <w:p>
      <w:pPr>
        <w:pStyle w:val="ListParagraph"/>
        <w:numPr>
          <w:ilvl w:val="0"/>
          <w:numId w:val="2"/>
        </w:numPr>
        <w:spacing w:before="20" w:after="20"/>
      </w:pPr>
      <w:r>
        <w:rPr>
          <w:rFonts w:ascii="Arial" w:cs="Arial" w:eastAsia="Arial" w:hAnsi="Arial"/>
          <w:sz w:val="22"/>
          <w:szCs w:val="22"/>
        </w:rPr>
        <w:t xml:space="preserve">Not all cell lines have data for all drugs — missing values (NaN) should be handled appropriately during modeling.</w:t>
      </w:r>
    </w:p>
    <w:p>
      <w:pPr>
        <w:pStyle w:val="ListParagraph"/>
        <w:numPr>
          <w:ilvl w:val="0"/>
          <w:numId w:val="2"/>
        </w:numPr>
        <w:spacing w:before="20" w:after="20"/>
      </w:pPr>
      <w:r>
        <w:rPr>
          <w:rFonts w:ascii="Arial" w:cs="Arial" w:eastAsia="Arial" w:hAnsi="Arial"/>
          <w:sz w:val="22"/>
          <w:szCs w:val="22"/>
        </w:rPr>
        <w:t xml:space="preserve">Trametinib has complete drug response data for all 212 cell lines — a good starting point for modeling exercises.</w:t>
      </w:r>
    </w:p>
    <w:p>
      <w:pPr>
        <w:spacing w:before="80" w:after="8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E3A5F"/>
      <w:sz w:val="32"/>
      <w:szCs w:val="32"/>
    </w:rPr>
  </w:style>
  <w:style w:type="paragraph" w:styleId="Heading2">
    <w:name w:val="Heading 2"/>
    <w:basedOn w:val="Normal"/>
    <w:next w:val="Normal"/>
    <w:qFormat/>
    <w:pPr>
      <w:spacing w:before="240" w:after="80"/>
      <w:outlineLvl w:val="1"/>
    </w:pPr>
    <w:rPr>
      <w:rFonts w:ascii="Arial" w:cs="Arial" w:eastAsia="Arial" w:hAnsi="Arial"/>
      <w:b/>
      <w:bCs/>
      <w:color w:val="0074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2026-03-14T17:32:19.297Z</dcterms:created>
  <dcterms:modified xsi:type="dcterms:W3CDTF">2026-03-14T17:32:19.298Z</dcterms:modified>
</cp:coreProperties>
</file>

<file path=docProps/custom.xml><?xml version="1.0" encoding="utf-8"?>
<Properties xmlns="http://schemas.openxmlformats.org/officeDocument/2006/custom-properties" xmlns:vt="http://schemas.openxmlformats.org/officeDocument/2006/docPropsVTypes"/>
</file>