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00749C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References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49C"/>
          <w:sz w:val="26"/>
          <w:szCs w:val="26"/>
        </w:rPr>
        <w:t xml:space="preserve">Data Sources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Corsello SM, Nagari RT, Spangler RD, et al. Discovering the anticancer potential of non-oncology drugs by systematic viability profiling. Nature Cancer. 2020;1:235–248. https://doi.org/10.1038/s43018-019-0018-6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Tsherniak A, Vazquez F, Montgomery PG, et al. Defining a cancer dependency map. Cell. 2017;170(3):564–576. https://doi.org/10.1016/j.cell.2017.06.010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Ghandi M, Huang FW, Jané-Valbuena J, et al. Next-generation characterization of the Cancer Cell Line Encyclopedia. Nature. 2019;569(7757):503–508. https://doi.org/10.1038/s41586-019-1186-3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49C"/>
          <w:sz w:val="26"/>
          <w:szCs w:val="26"/>
        </w:rPr>
        <w:t xml:space="preserve">Pathway 1: EGFR/HER2 → RAS → MAPK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Lemmon MA, Schlessinger J. Cell signaling by receptor tyrosine kinases. Cell. 2010;141(7):1117–1134. https://doi.org/10.1016/j.cell.2010.06.011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Pylayeva-Gupta Y, Grabocka E, Bar-Sagi D. RAS oncogenes: weaving a tumorigenic web. Nature Reviews Cancer. 2011;11(11):761–774. https://doi.org/10.1038/nrc3106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Samatar AA, Poulikakos PI. Targeting RAS-ERK signalling in cancer: promises and challenges. Nature Reviews Drug Discovery. 2014;13(12):928–942. https://doi.org/10.1038/nrd4281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49C"/>
          <w:sz w:val="26"/>
          <w:szCs w:val="26"/>
        </w:rPr>
        <w:t xml:space="preserve">Pathway 2: PI3K/AKT/mTOR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Fruman DA, Chiu H, Hopkins BD, Bagrodia S, Cantley LC, Abraham RT. The PI3K pathway in human disease. Cell. 2017;170(4):605–635. https://doi.org/10.1016/j.cell.2017.07.029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Saxton RA, Sabatini DM. mTOR signaling in growth, metabolism, and disease. Cell. 2017;168(6):960–976. https://doi.org/10.1016/j.cell.2017.02.004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49C"/>
          <w:sz w:val="26"/>
          <w:szCs w:val="26"/>
        </w:rPr>
        <w:t xml:space="preserve">Pathway 3: JAK/STAT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9. </w:t>
      </w:r>
      <w:r>
        <w:rPr>
          <w:rFonts w:ascii="Arial" w:cs="Arial" w:eastAsia="Arial" w:hAnsi="Arial"/>
          <w:sz w:val="20"/>
          <w:szCs w:val="20"/>
        </w:rPr>
        <w:t xml:space="preserve">O'Shea JJ, Schwartz DM, Villarino AV, Gadina M, McInnes IB, Laurence A. The JAK-STAT pathway: impact on human disease and therapeutic intervention. Annual Review of Medicine. 2015;66:311–328. https://doi.org/10.1146/annurev-med-051113-024537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10. </w:t>
      </w:r>
      <w:r>
        <w:rPr>
          <w:rFonts w:ascii="Arial" w:cs="Arial" w:eastAsia="Arial" w:hAnsi="Arial"/>
          <w:sz w:val="20"/>
          <w:szCs w:val="20"/>
        </w:rPr>
        <w:t xml:space="preserve">O'Shea JJ, Holland SM, Staudt LM. JAKs and STATs in immunity, immunodeficiency, and cancer. New England Journal of Medicine. 2013;368(2):161–170. https://doi.org/10.1056/NEJMra1202117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11. </w:t>
      </w:r>
      <w:r>
        <w:rPr>
          <w:rFonts w:ascii="Arial" w:cs="Arial" w:eastAsia="Arial" w:hAnsi="Arial"/>
          <w:sz w:val="20"/>
          <w:szCs w:val="20"/>
        </w:rPr>
        <w:t xml:space="preserve">Darnell JE Jr, Kerr IM, Stark GR. Jak-STAT pathways and transcriptional activation in response to IFNs and other extracellular signaling proteins. Science. 1994;264(5164):1415–1421. https://doi.org/10.1126/science.8197455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49C"/>
          <w:sz w:val="26"/>
          <w:szCs w:val="26"/>
        </w:rPr>
        <w:t xml:space="preserve">Pathway 4: TGF-β/SMAD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12. </w:t>
      </w:r>
      <w:r>
        <w:rPr>
          <w:rFonts w:ascii="Arial" w:cs="Arial" w:eastAsia="Arial" w:hAnsi="Arial"/>
          <w:sz w:val="20"/>
          <w:szCs w:val="20"/>
        </w:rPr>
        <w:t xml:space="preserve">Massagué J. TGFβ in cancer. Cell. 2008;134(2):215–230. https://doi.org/10.1016/j.cell.2008.07.001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13. </w:t>
      </w:r>
      <w:r>
        <w:rPr>
          <w:rFonts w:ascii="Arial" w:cs="Arial" w:eastAsia="Arial" w:hAnsi="Arial"/>
          <w:sz w:val="20"/>
          <w:szCs w:val="20"/>
        </w:rPr>
        <w:t xml:space="preserve">Massagué J. TGFβ signalling in context. Nature Reviews Molecular Cell Biology. 2012;13(10):616–630. https://doi.org/10.1038/nrm3434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49C"/>
          <w:sz w:val="26"/>
          <w:szCs w:val="26"/>
        </w:rPr>
        <w:t xml:space="preserve">Pathway 5: EMT &amp; SRC Signaling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14. </w:t>
      </w:r>
      <w:r>
        <w:rPr>
          <w:rFonts w:ascii="Arial" w:cs="Arial" w:eastAsia="Arial" w:hAnsi="Arial"/>
          <w:sz w:val="20"/>
          <w:szCs w:val="20"/>
        </w:rPr>
        <w:t xml:space="preserve">Thiery JP, Acloque H, Huang RYJ, Nieto MA. Epithelial-mesenchymal transitions in development and disease. Cell. 2009;139(5):871–890. https://doi.org/10.1016/j.cell.2009.11.007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15. </w:t>
      </w:r>
      <w:r>
        <w:rPr>
          <w:rFonts w:ascii="Arial" w:cs="Arial" w:eastAsia="Arial" w:hAnsi="Arial"/>
          <w:sz w:val="20"/>
          <w:szCs w:val="20"/>
        </w:rPr>
        <w:t xml:space="preserve">Kalluri R, Weinberg RA. The basics of epithelial-mesenchymal transition. Journal of Clinical Investigation. 2009;119(6):1420–1428. https://doi.org/10.1172/JCI39104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16. </w:t>
      </w:r>
      <w:r>
        <w:rPr>
          <w:rFonts w:ascii="Arial" w:cs="Arial" w:eastAsia="Arial" w:hAnsi="Arial"/>
          <w:sz w:val="20"/>
          <w:szCs w:val="20"/>
        </w:rPr>
        <w:t xml:space="preserve">Pastushenko I, Blanpain C. EMT transition states during tumor progression and metastasis. Trends in Cell Biology. 2019;29(3):212–226. https://doi.org/10.1016/j.tcb.2018.12.001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17. </w:t>
      </w:r>
      <w:r>
        <w:rPr>
          <w:rFonts w:ascii="Arial" w:cs="Arial" w:eastAsia="Arial" w:hAnsi="Arial"/>
          <w:sz w:val="20"/>
          <w:szCs w:val="20"/>
        </w:rPr>
        <w:t xml:space="preserve">Yeatman TJ. A renaissance for SRC. Nature Reviews Cancer. 2004;4(6):470–480. https://doi.org/10.1038/nrc1366</w:t>
      </w:r>
    </w:p>
    <w:p>
      <w:pPr>
        <w:spacing w:before="30" w:after="30"/>
        <w:ind w:left="360" w:hanging="360"/>
      </w:pPr>
      <w:r>
        <w:rPr>
          <w:rFonts w:ascii="Arial" w:cs="Arial" w:eastAsia="Arial" w:hAnsi="Arial"/>
          <w:b/>
          <w:bCs/>
          <w:color w:val="00749C"/>
          <w:sz w:val="20"/>
          <w:szCs w:val="20"/>
        </w:rPr>
        <w:t xml:space="preserve">18. </w:t>
      </w:r>
      <w:r>
        <w:rPr>
          <w:rFonts w:ascii="Arial" w:cs="Arial" w:eastAsia="Arial" w:hAnsi="Arial"/>
          <w:sz w:val="20"/>
          <w:szCs w:val="20"/>
        </w:rPr>
        <w:t xml:space="preserve">Kim LC, Song L, Haura EB. Src kinases as therapeutic targets for cancer. Nature Reviews Clinical Oncology. 2009;6(10):587–595. https://doi.org/10.1038/nrclinonc.2009.129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0749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2026-03-14T17:35:48.469Z</dcterms:created>
  <dcterms:modified xsi:type="dcterms:W3CDTF">2026-03-14T17:35:48.470Z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