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t>&lt;</w:t>
      </w:r>
      <w:r>
        <w:rPr>
          <w:rFonts w:hint="eastAsia"/>
          <w:lang w:val="en-US" w:eastAsia="zh-CN"/>
        </w:rPr>
        <w:t>银行自动柜员机(ATM)模拟软件</w:t>
      </w:r>
      <w:r>
        <w:t>&gt;</w:t>
      </w:r>
    </w:p>
    <w:p>
      <w:pPr>
        <w:pStyle w:val="29"/>
        <w:jc w:val="right"/>
      </w:pPr>
      <w:r>
        <w:t>测试评估摘要</w:t>
      </w:r>
    </w:p>
    <w:p>
      <w:pPr>
        <w:pStyle w:val="29"/>
        <w:jc w:val="right"/>
      </w:pPr>
      <w:r>
        <w:t> </w:t>
      </w:r>
    </w:p>
    <w:p>
      <w:pPr>
        <w:pStyle w:val="29"/>
        <w:jc w:val="right"/>
      </w:pPr>
      <w:r>
        <w:rPr>
          <w:sz w:val="28"/>
          <w:szCs w:val="28"/>
        </w:rPr>
        <w:t>版本 &lt;1.0&gt;</w:t>
      </w:r>
    </w:p>
    <w:p>
      <w:pPr>
        <w:pStyle w:val="29"/>
      </w:pPr>
      <w:r>
        <w:rPr>
          <w:sz w:val="28"/>
          <w:szCs w:val="28"/>
        </w:rPr>
        <w:t> </w:t>
      </w:r>
    </w:p>
    <w:p>
      <w:r>
        <w:t> </w:t>
      </w:r>
    </w:p>
    <w:p>
      <w:pPr>
        <w:pStyle w:val="45"/>
      </w:pPr>
      <w:r>
        <w:t>[注：以下提供的模板用于 Rational Unified Process。其中包括用方括号括起来并以蓝色斜体（样式=InfoBlue）显示的文本，它们用于向作者提供指导，在发布此文档之前应该将其删除。按此样式输入的段落将被自动设置为普通样式（样式=正文）。]</w:t>
      </w:r>
    </w:p>
    <w:p>
      <w:pPr>
        <w:pStyle w:val="29"/>
      </w:pPr>
      <w:r>
        <w:br w:type="page"/>
      </w:r>
      <w:r>
        <w:t>修订历史记录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9"/>
        <w:gridCol w:w="1092"/>
        <w:gridCol w:w="3312"/>
        <w:gridCol w:w="205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09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31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205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2022.11.29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1.0</w:t>
            </w:r>
            <w:r>
              <w:t>&gt;</w:t>
            </w:r>
          </w:p>
        </w:tc>
        <w:tc>
          <w:tcPr>
            <w:tcW w:w="3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关于银行自动柜员机模拟软件的测试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&lt;</w:t>
            </w:r>
            <w:r>
              <w:rPr>
                <w:rFonts w:hint="eastAsia"/>
                <w:lang w:val="en-US" w:eastAsia="zh-CN"/>
              </w:rPr>
              <w:t>牟战</w:t>
            </w:r>
            <w:r>
              <w:t>&gt;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8"/>
            </w:pPr>
            <w:r>
              <w:t> </w:t>
            </w:r>
          </w:p>
        </w:tc>
      </w:tr>
    </w:tbl>
    <w:p>
      <w:r>
        <w:t> </w:t>
      </w:r>
    </w:p>
    <w:p>
      <w:pPr>
        <w:pStyle w:val="29"/>
      </w:pPr>
      <w:r>
        <w:br w:type="page"/>
      </w:r>
      <w:r>
        <w:t xml:space="preserve">测试评估摘要 </w:t>
      </w:r>
    </w:p>
    <w:p>
      <w:pPr>
        <w:pStyle w:val="2"/>
      </w:pPr>
      <w:bookmarkStart w:id="0" w:name="1.__________________Introduction"/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简介</w:t>
      </w:r>
      <w:bookmarkEnd w:id="0"/>
    </w:p>
    <w:p>
      <w:pPr>
        <w:pStyle w:val="3"/>
      </w:pPr>
      <w:bookmarkStart w:id="1" w:name="1.1_______________Purpose"/>
      <w:r>
        <w:t>1.1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目的</w:t>
      </w:r>
      <w:bookmarkEnd w:id="1"/>
    </w:p>
    <w:p>
      <w:pPr>
        <w:pStyle w:val="3"/>
        <w:ind w:firstLine="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对软件进行全面的测试，以发现软件中存在的错误，修复软件的漏洞，完善软件的功能，增强软件的鲁棒性。</w:t>
      </w:r>
    </w:p>
    <w:p>
      <w:pPr>
        <w:pStyle w:val="3"/>
      </w:pPr>
      <w:bookmarkStart w:id="2" w:name="1.2_______________Scope"/>
      <w: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范围</w:t>
      </w:r>
      <w:bookmarkEnd w:id="2"/>
    </w:p>
    <w:p>
      <w:pPr>
        <w:pStyle w:val="3"/>
        <w:ind w:firstLine="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针对该软件的所有用例、系统的性能、硬件设施展开测试。</w:t>
      </w:r>
    </w:p>
    <w:p>
      <w:pPr>
        <w:pStyle w:val="3"/>
      </w:pPr>
      <w:bookmarkStart w:id="3" w:name="1.5_______________Overview"/>
      <w:r>
        <w:t>1.</w:t>
      </w:r>
      <w:r>
        <w:rPr>
          <w:rFonts w:hint="eastAsia"/>
          <w:lang w:val="en-US" w:eastAsia="zh-CN"/>
        </w:rPr>
        <w:t>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概述</w:t>
      </w:r>
      <w:bookmarkEnd w:id="3"/>
    </w:p>
    <w:p>
      <w:pPr>
        <w:pStyle w:val="3"/>
        <w:ind w:firstLine="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该摘要主要体现软件的测试结果，主要包括：基于需求的测试覆盖、基于代码的测试覆盖、建议的措施和结果相关图示。</w:t>
      </w:r>
    </w:p>
    <w:p>
      <w:pPr>
        <w:pStyle w:val="2"/>
        <w:numPr>
          <w:ilvl w:val="0"/>
          <w:numId w:val="1"/>
        </w:numPr>
      </w:pPr>
      <w:bookmarkStart w:id="4" w:name="2.__________________Test_Results_Summary"/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测试结果摘要</w:t>
      </w:r>
      <w:bookmarkEnd w:id="4"/>
    </w:p>
    <w:p>
      <w:pPr>
        <w:pStyle w:val="2"/>
        <w:numPr>
          <w:numId w:val="0"/>
        </w:numPr>
        <w:ind w:left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 w:val="0"/>
          <w:bCs w:val="0"/>
          <w:lang w:val="en-US" w:eastAsia="zh-CN"/>
        </w:rPr>
        <w:t>总体的测试结果还是比较理想的：等级为严重的缺陷有两个、等级为高、中、低的缺陷各有一个，且目前都已被改正，系统目前无任何问题。</w:t>
      </w:r>
    </w:p>
    <w:p>
      <w:pPr>
        <w:pStyle w:val="2"/>
        <w:numPr>
          <w:ilvl w:val="0"/>
          <w:numId w:val="1"/>
        </w:numPr>
        <w:ind w:left="720" w:leftChars="0" w:hanging="720" w:firstLineChars="0"/>
      </w:pPr>
      <w:bookmarkStart w:id="5" w:name="3.__________________Requirements-based_T"/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基于需求的测试覆盖</w:t>
      </w:r>
      <w:bookmarkEnd w:id="5"/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本次测试共执行20个测试用例，而针对本系统最初共设计26个测试用例，有6个测试用例与其他功能相似，则不再重复测试。故已执行的测试覆盖为：20/26；</w:t>
      </w:r>
    </w:p>
    <w:p>
      <w:pPr>
        <w:pStyle w:val="2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在执行过程中，共有15个测试用例执行完全成功没有缺陷，故成功的测试覆盖为：15/26。</w:t>
      </w:r>
      <w:bookmarkStart w:id="8" w:name="_GoBack"/>
      <w:bookmarkEnd w:id="8"/>
    </w:p>
    <w:p>
      <w:pPr>
        <w:pStyle w:val="2"/>
        <w:numPr>
          <w:numId w:val="0"/>
        </w:numPr>
        <w:ind w:leftChars="0"/>
      </w:pPr>
      <w:bookmarkStart w:id="6" w:name="5.__________________Suggested_Actions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建议的措施</w:t>
      </w:r>
      <w:bookmarkEnd w:id="6"/>
    </w:p>
    <w:p>
      <w:pPr>
        <w:pStyle w:val="2"/>
        <w:numPr>
          <w:numId w:val="0"/>
        </w:numPr>
        <w:ind w:left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b w:val="0"/>
          <w:bCs w:val="0"/>
          <w:lang w:val="en-US" w:eastAsia="zh-CN"/>
        </w:rPr>
        <w:t>目前系统已无严重的核心问题，应对已有功能再进行细化和人文化，以保证给用户最好的体验。</w:t>
      </w:r>
    </w:p>
    <w:p>
      <w:pPr>
        <w:pStyle w:val="2"/>
      </w:pPr>
      <w:bookmarkStart w:id="7" w:name="6.__________________Diagrams"/>
      <w:r>
        <w:rPr>
          <w:rFonts w:hint="eastAsia"/>
          <w:lang w:val="en-US" w:eastAsia="zh-CN"/>
        </w:rPr>
        <w:t>5</w:t>
      </w:r>
      <w:r>
        <w:t>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图</w:t>
      </w:r>
      <w:bookmarkEnd w:id="7"/>
    </w:p>
    <w:p>
      <w:pPr>
        <w:pStyle w:val="45"/>
      </w:pPr>
      <w:r>
        <w:drawing>
          <wp:inline distT="0" distB="0" distL="114300" distR="114300">
            <wp:extent cx="4099560" cy="2651760"/>
            <wp:effectExtent l="4445" t="5080" r="18415" b="444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45"/>
      </w:pPr>
    </w:p>
    <w:p>
      <w:pPr>
        <w:pStyle w:val="45"/>
      </w:pPr>
      <w:r>
        <w:drawing>
          <wp:inline distT="0" distB="0" distL="114300" distR="114300">
            <wp:extent cx="4099560" cy="2651760"/>
            <wp:effectExtent l="4445" t="5080" r="18415" b="1016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45"/>
      </w:pPr>
      <w:r>
        <w:drawing>
          <wp:inline distT="0" distB="0" distL="114300" distR="114300">
            <wp:extent cx="4160520" cy="2651760"/>
            <wp:effectExtent l="4445" t="4445" r="10795" b="5080"/>
            <wp:docPr id="3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45"/>
      </w:pPr>
      <w:r>
        <w:drawing>
          <wp:inline distT="0" distB="0" distL="114300" distR="114300">
            <wp:extent cx="4160520" cy="2651760"/>
            <wp:effectExtent l="4445" t="4445" r="10795" b="5080"/>
            <wp:docPr id="4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45"/>
      </w:pPr>
      <w:r>
        <w:drawing>
          <wp:inline distT="0" distB="0" distL="114300" distR="114300">
            <wp:extent cx="4160520" cy="2834640"/>
            <wp:effectExtent l="4445" t="4445" r="10795" b="12700"/>
            <wp:docPr id="5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686E7D"/>
    <w:multiLevelType w:val="singleLevel"/>
    <w:tmpl w:val="37686E7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6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wYTM4M2ZiZTgyOTVhYTM4ODgxM2M3ZGQ3YjliZjAifQ=="/>
  </w:docVars>
  <w:rsids>
    <w:rsidRoot w:val="660F1DFC"/>
    <w:rsid w:val="0F1862C4"/>
    <w:rsid w:val="660F1D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unhideWhenUsed="0" w:uiPriority="2" w:semiHidden="0" w:name="heading 4"/>
    <w:lsdException w:unhideWhenUsed="0" w:uiPriority="2" w:semiHidden="0" w:name="heading 5"/>
    <w:lsdException w:unhideWhenUsed="0" w:uiPriority="2" w:semiHidden="0" w:name="heading 6"/>
    <w:lsdException w:unhideWhenUsed="0" w:uiPriority="2" w:semiHidden="0" w:name="heading 7"/>
    <w:lsdException w:unhideWhenUsed="0" w:uiPriority="2" w:semiHidden="0" w:name="heading 8"/>
    <w:lsdException w:unhideWhenUsed="0" w:uiPriority="2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unhideWhenUsed="0" w:uiPriority="2" w:semiHidden="0" w:name="toc 2"/>
    <w:lsdException w:unhideWhenUsed="0" w:uiPriority="2" w:semiHidden="0" w:name="toc 3"/>
    <w:lsdException w:unhideWhenUsed="0" w:uiPriority="2" w:semiHidden="0" w:name="toc 4"/>
    <w:lsdException w:unhideWhenUsed="0" w:uiPriority="2" w:semiHidden="0" w:name="toc 5"/>
    <w:lsdException w:unhideWhenUsed="0" w:uiPriority="2" w:semiHidden="0" w:name="toc 6"/>
    <w:lsdException w:unhideWhenUsed="0" w:uiPriority="2" w:semiHidden="0" w:name="toc 7"/>
    <w:lsdException w:unhideWhenUsed="0" w:uiPriority="2" w:semiHidden="0" w:name="toc 8"/>
    <w:lsdException w:unhideWhenUsed="0" w:uiPriority="2" w:semiHidden="0" w:name="toc 9"/>
    <w:lsdException w:unhideWhenUsed="0" w:uiPriority="4080" w:semiHidden="0" w:name="Normal Indent"/>
    <w:lsdException w:unhideWhenUsed="0" w:uiPriority="1624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1521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1624" w:semiHidden="0" w:name="Body Text"/>
    <w:lsdException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1624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2398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2029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40" w:lineRule="atLeast"/>
    </w:pPr>
    <w:rPr>
      <w:lang w:val="en-US" w:eastAsia="zh-CN" w:bidi="ar-SA"/>
    </w:rPr>
  </w:style>
  <w:style w:type="paragraph" w:styleId="2">
    <w:name w:val="heading 1"/>
    <w:basedOn w:val="1"/>
    <w:uiPriority w:val="2"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3">
    <w:name w:val="heading 2"/>
    <w:basedOn w:val="1"/>
    <w:uiPriority w:val="2"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4">
    <w:name w:val="heading 3"/>
    <w:basedOn w:val="1"/>
    <w:uiPriority w:val="2"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5">
    <w:name w:val="heading 4"/>
    <w:basedOn w:val="1"/>
    <w:uiPriority w:val="2"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6">
    <w:name w:val="heading 5"/>
    <w:basedOn w:val="1"/>
    <w:uiPriority w:val="2"/>
    <w:pPr>
      <w:spacing w:before="240" w:after="6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uiPriority w:val="2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8">
    <w:name w:val="heading 7"/>
    <w:basedOn w:val="1"/>
    <w:uiPriority w:val="2"/>
    <w:pPr>
      <w:spacing w:before="240" w:after="60"/>
      <w:ind w:left="2880"/>
      <w:outlineLvl w:val="6"/>
    </w:pPr>
  </w:style>
  <w:style w:type="paragraph" w:styleId="9">
    <w:name w:val="heading 8"/>
    <w:basedOn w:val="1"/>
    <w:uiPriority w:val="2"/>
    <w:pPr>
      <w:spacing w:before="240" w:after="60"/>
      <w:ind w:left="2880"/>
      <w:outlineLvl w:val="7"/>
    </w:pPr>
    <w:rPr>
      <w:i/>
      <w:iCs/>
    </w:rPr>
  </w:style>
  <w:style w:type="paragraph" w:styleId="10">
    <w:name w:val="heading 9"/>
    <w:basedOn w:val="1"/>
    <w:uiPriority w:val="2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31">
    <w:name w:val="Default Paragraph Font"/>
    <w:uiPriority w:val="1723"/>
  </w:style>
  <w:style w:type="table" w:default="1" w:styleId="3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uiPriority w:val="2"/>
    <w:pPr>
      <w:ind w:left="1200"/>
    </w:pPr>
  </w:style>
  <w:style w:type="paragraph" w:styleId="12">
    <w:name w:val="Normal Indent"/>
    <w:basedOn w:val="1"/>
    <w:uiPriority w:val="4080"/>
    <w:pPr>
      <w:ind w:left="900" w:hanging="900"/>
    </w:pPr>
  </w:style>
  <w:style w:type="paragraph" w:styleId="13">
    <w:name w:val="Document Map"/>
    <w:basedOn w:val="1"/>
    <w:uiPriority w:val="2029"/>
    <w:pPr>
      <w:shd w:val="clear" w:color="auto" w:fill="000080"/>
    </w:pPr>
    <w:rPr>
      <w:rFonts w:ascii="Tahoma" w:hAnsi="Tahoma" w:cs="Tahoma"/>
    </w:rPr>
  </w:style>
  <w:style w:type="paragraph" w:styleId="14">
    <w:name w:val="Body Text"/>
    <w:basedOn w:val="1"/>
    <w:uiPriority w:val="1624"/>
    <w:pPr>
      <w:spacing w:after="120"/>
      <w:ind w:left="720"/>
    </w:pPr>
  </w:style>
  <w:style w:type="paragraph" w:styleId="15">
    <w:name w:val="Body Text Indent"/>
    <w:basedOn w:val="1"/>
    <w:uiPriority w:val="1624"/>
    <w:pPr>
      <w:ind w:left="720"/>
    </w:pPr>
    <w:rPr>
      <w:i/>
      <w:iCs/>
      <w:color w:val="0000FF"/>
      <w:u w:val="single"/>
    </w:rPr>
  </w:style>
  <w:style w:type="paragraph" w:styleId="16">
    <w:name w:val="toc 5"/>
    <w:basedOn w:val="1"/>
    <w:uiPriority w:val="2"/>
    <w:pPr>
      <w:ind w:left="800"/>
    </w:pPr>
  </w:style>
  <w:style w:type="paragraph" w:styleId="17">
    <w:name w:val="toc 3"/>
    <w:basedOn w:val="1"/>
    <w:uiPriority w:val="2"/>
    <w:pPr>
      <w:ind w:left="864"/>
    </w:pPr>
  </w:style>
  <w:style w:type="paragraph" w:styleId="18">
    <w:name w:val="toc 8"/>
    <w:basedOn w:val="1"/>
    <w:uiPriority w:val="2"/>
    <w:pPr>
      <w:ind w:left="1400"/>
    </w:pPr>
  </w:style>
  <w:style w:type="paragraph" w:styleId="19">
    <w:name w:val="footer"/>
    <w:basedOn w:val="1"/>
    <w:uiPriority w:val="0"/>
  </w:style>
  <w:style w:type="paragraph" w:styleId="20">
    <w:name w:val="header"/>
    <w:basedOn w:val="1"/>
    <w:uiPriority w:val="0"/>
  </w:style>
  <w:style w:type="paragraph" w:styleId="21">
    <w:name w:val="toc 1"/>
    <w:basedOn w:val="1"/>
    <w:uiPriority w:val="2"/>
    <w:pPr>
      <w:spacing w:before="240" w:after="60"/>
      <w:ind w:right="720"/>
    </w:pPr>
  </w:style>
  <w:style w:type="paragraph" w:styleId="22">
    <w:name w:val="toc 4"/>
    <w:basedOn w:val="1"/>
    <w:uiPriority w:val="2"/>
    <w:pPr>
      <w:ind w:left="600"/>
    </w:pPr>
  </w:style>
  <w:style w:type="paragraph" w:styleId="23">
    <w:name w:val="Subtitle"/>
    <w:basedOn w:val="1"/>
    <w:uiPriority w:val="0"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24">
    <w:name w:val="footnote text"/>
    <w:basedOn w:val="1"/>
    <w:uiPriority w:val="1624"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25">
    <w:name w:val="toc 6"/>
    <w:basedOn w:val="1"/>
    <w:uiPriority w:val="2"/>
    <w:pPr>
      <w:ind w:left="1000"/>
    </w:pPr>
  </w:style>
  <w:style w:type="paragraph" w:styleId="26">
    <w:name w:val="toc 2"/>
    <w:basedOn w:val="1"/>
    <w:uiPriority w:val="2"/>
    <w:pPr>
      <w:ind w:left="432" w:right="720"/>
    </w:pPr>
  </w:style>
  <w:style w:type="paragraph" w:styleId="27">
    <w:name w:val="toc 9"/>
    <w:basedOn w:val="1"/>
    <w:uiPriority w:val="2"/>
    <w:pPr>
      <w:ind w:left="1600"/>
    </w:pPr>
  </w:style>
  <w:style w:type="paragraph" w:styleId="28">
    <w:name w:val="Body Text 2"/>
    <w:basedOn w:val="1"/>
    <w:uiPriority w:val="1624"/>
    <w:rPr>
      <w:i/>
      <w:iCs/>
      <w:color w:val="0000FF"/>
    </w:rPr>
  </w:style>
  <w:style w:type="paragraph" w:styleId="29">
    <w:name w:val="Title"/>
    <w:basedOn w:val="1"/>
    <w:uiPriority w:val="0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styleId="32">
    <w:name w:val="FollowedHyperlink"/>
    <w:basedOn w:val="31"/>
    <w:uiPriority w:val="2398"/>
    <w:rPr>
      <w:color w:val="800080"/>
      <w:u w:val="single"/>
    </w:rPr>
  </w:style>
  <w:style w:type="character" w:styleId="33">
    <w:name w:val="Hyperlink"/>
    <w:basedOn w:val="31"/>
    <w:uiPriority w:val="2383"/>
    <w:rPr>
      <w:color w:val="0000FF"/>
      <w:u w:val="single"/>
    </w:rPr>
  </w:style>
  <w:style w:type="character" w:styleId="34">
    <w:name w:val="footnote reference"/>
    <w:basedOn w:val="31"/>
    <w:uiPriority w:val="1521"/>
    <w:rPr>
      <w:vertAlign w:val="superscript"/>
    </w:rPr>
  </w:style>
  <w:style w:type="paragraph" w:customStyle="1" w:styleId="35">
    <w:name w:val="paragraph2"/>
    <w:basedOn w:val="1"/>
    <w:uiPriority w:val="7"/>
    <w:pPr>
      <w:spacing w:before="80"/>
      <w:ind w:left="720"/>
      <w:jc w:val="both"/>
    </w:pPr>
    <w:rPr>
      <w:color w:val="000000"/>
    </w:rPr>
  </w:style>
  <w:style w:type="paragraph" w:customStyle="1" w:styleId="36">
    <w:name w:val="bullet1"/>
    <w:basedOn w:val="1"/>
    <w:uiPriority w:val="6"/>
    <w:pPr>
      <w:ind w:left="720" w:hanging="432"/>
    </w:pPr>
  </w:style>
  <w:style w:type="paragraph" w:customStyle="1" w:styleId="37">
    <w:name w:val="bullet2"/>
    <w:basedOn w:val="1"/>
    <w:uiPriority w:val="6"/>
    <w:pPr>
      <w:ind w:left="1440" w:hanging="360"/>
    </w:pPr>
    <w:rPr>
      <w:color w:val="000080"/>
    </w:rPr>
  </w:style>
  <w:style w:type="paragraph" w:customStyle="1" w:styleId="38">
    <w:name w:val="tabletext"/>
    <w:basedOn w:val="1"/>
    <w:uiPriority w:val="6"/>
    <w:pPr>
      <w:spacing w:after="120"/>
    </w:pPr>
  </w:style>
  <w:style w:type="paragraph" w:customStyle="1" w:styleId="39">
    <w:name w:val="maintitle"/>
    <w:basedOn w:val="1"/>
    <w:uiPriority w:val="6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40">
    <w:name w:val="paragraph1"/>
    <w:basedOn w:val="1"/>
    <w:uiPriority w:val="7"/>
    <w:pPr>
      <w:spacing w:before="80" w:line="240" w:lineRule="auto"/>
      <w:jc w:val="both"/>
    </w:pPr>
  </w:style>
  <w:style w:type="paragraph" w:customStyle="1" w:styleId="41">
    <w:name w:val="paragraph3"/>
    <w:basedOn w:val="1"/>
    <w:uiPriority w:val="7"/>
    <w:pPr>
      <w:spacing w:before="80" w:line="240" w:lineRule="auto"/>
      <w:ind w:left="1530"/>
      <w:jc w:val="both"/>
    </w:pPr>
  </w:style>
  <w:style w:type="paragraph" w:customStyle="1" w:styleId="42">
    <w:name w:val="paragraph4"/>
    <w:basedOn w:val="1"/>
    <w:uiPriority w:val="7"/>
    <w:pPr>
      <w:spacing w:before="80" w:line="240" w:lineRule="auto"/>
      <w:ind w:left="2250"/>
      <w:jc w:val="both"/>
    </w:pPr>
  </w:style>
  <w:style w:type="paragraph" w:customStyle="1" w:styleId="43">
    <w:name w:val="body"/>
    <w:basedOn w:val="1"/>
    <w:uiPriority w:val="6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44">
    <w:name w:val="bullet"/>
    <w:basedOn w:val="1"/>
    <w:uiPriority w:val="6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5">
    <w:name w:val="infoblue"/>
    <w:basedOn w:val="1"/>
    <w:uiPriority w:val="6"/>
    <w:pPr>
      <w:spacing w:after="120"/>
      <w:ind w:left="720"/>
    </w:pPr>
    <w:rPr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hart" Target="charts/chart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Tencent%20Files\750247221\FileRecv\RUP&#25991;&#26723;&#27169;&#26495;\&#24037;&#31243;&#24037;&#20316;&#27969;-05-&#27979;&#35797;\&#24037;&#31243;&#24037;&#20316;&#27969;-05-&#27979;&#35797;-02-&#27979;&#35797;&#35780;&#20272;&#25688;&#35201;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dmin\Desktop\6.2%20&#27979;&#35797;&#8212;&#8212;&#32570;&#38519;&#35760;&#24405;&#19982;&#27979;&#35797;&#35780;&#20272;-&#32570;&#38519;&#20998;&#24067;&#12289;&#32570;&#38519;&#40836;&#26399;&#12289;&#32570;&#38519;&#36235;&#21183;&#30340;&#25968;&#25454;&#19982;&#22270;&#3492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admin\Desktop\6.2%20&#27979;&#35797;&#8212;&#8212;&#32570;&#38519;&#35760;&#24405;&#19982;&#27979;&#35797;&#35780;&#20272;-&#32570;&#38519;&#20998;&#24067;&#12289;&#32570;&#38519;&#40836;&#26399;&#12289;&#32570;&#38519;&#36235;&#21183;&#30340;&#25968;&#25454;&#19982;&#22270;&#34920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dmin\Desktop\6.2%20&#27979;&#35797;&#8212;&#8212;&#32570;&#38519;&#35760;&#24405;&#19982;&#27979;&#35797;&#35780;&#20272;-&#32570;&#38519;&#20998;&#24067;&#12289;&#32570;&#38519;&#40836;&#26399;&#12289;&#32570;&#38519;&#36235;&#21183;&#30340;&#25968;&#25454;&#19982;&#22270;&#34920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\Desktop\6.2%20&#27979;&#35797;&#8212;&#8212;&#32570;&#38519;&#35760;&#24405;&#19982;&#27979;&#35797;&#35780;&#20272;-&#32570;&#38519;&#20998;&#24067;&#12289;&#32570;&#38519;&#40836;&#26399;&#12289;&#32570;&#38519;&#36235;&#21183;&#30340;&#25968;&#25454;&#19982;&#22270;&#34920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\Desktop\6.2%20&#27979;&#35797;&#8212;&#8212;&#32570;&#38519;&#35760;&#24405;&#19982;&#27979;&#35797;&#35780;&#20272;-&#32570;&#38519;&#20998;&#24067;&#12289;&#32570;&#38519;&#40836;&#26399;&#12289;&#32570;&#38519;&#36235;&#21183;&#30340;&#25968;&#25454;&#19982;&#22270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缺陷分布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'[6.2 测试——缺陷记录与测试评估-缺陷分布、缺陷龄期、缺陷趋势的数据与图表.xlsx]Sheet1'!$C$4</c:f>
              <c:strCache>
                <c:ptCount val="1"/>
                <c:pt idx="0">
                  <c:v>缺陷数量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'[6.2 测试——缺陷记录与测试评估-缺陷分布、缺陷龄期、缺陷趋势的数据与图表.xlsx]Sheet1'!$B$5:$B$8</c:f>
              <c:strCache>
                <c:ptCount val="4"/>
                <c:pt idx="0">
                  <c:v>严重</c:v>
                </c:pt>
                <c:pt idx="1">
                  <c:v>高</c:v>
                </c:pt>
                <c:pt idx="2">
                  <c:v>中</c:v>
                </c:pt>
                <c:pt idx="3">
                  <c:v>低</c:v>
                </c:pt>
              </c:strCache>
            </c:strRef>
          </c:cat>
          <c:val>
            <c:numRef>
              <c:f>'[6.2 测试——缺陷记录与测试评估-缺陷分布、缺陷龄期、缺陷趋势的数据与图表.xlsx]Sheet1'!$C$5:$C$8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4496128"/>
        <c:axId val="474489056"/>
      </c:barChart>
      <c:catAx>
        <c:axId val="47449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474489056"/>
        <c:crosses val="autoZero"/>
        <c:auto val="1"/>
        <c:lblAlgn val="ctr"/>
        <c:lblOffset val="100"/>
        <c:noMultiLvlLbl val="0"/>
      </c:catAx>
      <c:valAx>
        <c:axId val="47448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47449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缺陷龄期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'[6.2 测试——缺陷记录与测试评估-缺陷分布、缺陷龄期、缺陷趋势的数据与图表.xlsx]Sheet1'!$C$21</c:f>
              <c:strCache>
                <c:ptCount val="1"/>
                <c:pt idx="0">
                  <c:v>缺陷数量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'[6.2 测试——缺陷记录与测试评估-缺陷分布、缺陷龄期、缺陷趋势的数据与图表.xlsx]Sheet1'!$B$22:$B$28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'[6.2 测试——缺陷记录与测试评估-缺陷分布、缺陷龄期、缺陷趋势的数据与图表.xlsx]Sheet1'!$C$22:$C$28</c:f>
              <c:numCache>
                <c:formatCode>General</c:formatCode>
                <c:ptCount val="7"/>
                <c:pt idx="0">
                  <c:v>2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9919664"/>
        <c:axId val="599924656"/>
      </c:barChart>
      <c:catAx>
        <c:axId val="59991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599924656"/>
        <c:crosses val="autoZero"/>
        <c:auto val="1"/>
        <c:lblAlgn val="ctr"/>
        <c:lblOffset val="100"/>
        <c:noMultiLvlLbl val="0"/>
      </c:catAx>
      <c:valAx>
        <c:axId val="59992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599919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>
                <a:solidFill>
                  <a:srgbClr val="FF0000"/>
                </a:solidFill>
              </a:rPr>
              <a:t>已关闭</a:t>
            </a:r>
            <a:r>
              <a:rPr lang="zh-CN" altLang="en-US"/>
              <a:t>缺陷龄期（周）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ndard"/>
        <c:varyColors val="0"/>
        <c:ser>
          <c:idx val="0"/>
          <c:order val="0"/>
          <c:tx>
            <c:strRef>
              <c:f>'[6.2 测试——缺陷记录与测试评估-缺陷分布、缺陷龄期、缺陷趋势的数据与图表.xlsx]Sheet1'!$B$59</c:f>
              <c:strCache>
                <c:ptCount val="1"/>
                <c:pt idx="0">
                  <c:v>严重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numRef>
              <c:f>'[6.2 测试——缺陷记录与测试评估-缺陷分布、缺陷龄期、缺陷趋势的数据与图表.xlsx]Sheet1'!$C$58:$I$58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'[6.2 测试——缺陷记录与测试评估-缺陷分布、缺陷龄期、缺陷趋势的数据与图表.xlsx]Sheet1'!$C$59:$I$59</c:f>
              <c:numCache>
                <c:formatCode>General</c:formatCode>
                <c:ptCount val="7"/>
                <c:pt idx="0">
                  <c:v>2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'[6.2 测试——缺陷记录与测试评估-缺陷分布、缺陷龄期、缺陷趋势的数据与图表.xlsx]Sheet1'!$B$60</c:f>
              <c:strCache>
                <c:ptCount val="1"/>
                <c:pt idx="0">
                  <c:v>高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numRef>
              <c:f>'[6.2 测试——缺陷记录与测试评估-缺陷分布、缺陷龄期、缺陷趋势的数据与图表.xlsx]Sheet1'!$C$58:$I$58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'[6.2 测试——缺陷记录与测试评估-缺陷分布、缺陷龄期、缺陷趋势的数据与图表.xlsx]Sheet1'!$C$60:$I$60</c:f>
              <c:numCache>
                <c:formatCode>General</c:formatCode>
                <c:ptCount val="7"/>
                <c:pt idx="0">
                  <c:v>0</c:v>
                </c:pt>
                <c:pt idx="2">
                  <c:v>0</c:v>
                </c:pt>
                <c:pt idx="5">
                  <c:v>1</c:v>
                </c:pt>
              </c:numCache>
            </c:numRef>
          </c:val>
        </c:ser>
        <c:ser>
          <c:idx val="2"/>
          <c:order val="2"/>
          <c:tx>
            <c:strRef>
              <c:f>'[6.2 测试——缺陷记录与测试评估-缺陷分布、缺陷龄期、缺陷趋势的数据与图表.xlsx]Sheet1'!$B$61</c:f>
              <c:strCache>
                <c:ptCount val="1"/>
                <c:pt idx="0">
                  <c:v>中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numRef>
              <c:f>'[6.2 测试——缺陷记录与测试评估-缺陷分布、缺陷龄期、缺陷趋势的数据与图表.xlsx]Sheet1'!$C$58:$I$58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'[6.2 测试——缺陷记录与测试评估-缺陷分布、缺陷龄期、缺陷趋势的数据与图表.xlsx]Sheet1'!$C$61:$I$61</c:f>
              <c:numCache>
                <c:formatCode>General</c:formatCode>
                <c:ptCount val="7"/>
                <c:pt idx="0">
                  <c:v>1</c:v>
                </c:pt>
                <c:pt idx="2">
                  <c:v>0</c:v>
                </c:pt>
                <c:pt idx="6">
                  <c:v>0</c:v>
                </c:pt>
              </c:numCache>
            </c:numRef>
          </c:val>
        </c:ser>
        <c:ser>
          <c:idx val="3"/>
          <c:order val="3"/>
          <c:tx>
            <c:strRef>
              <c:f>'[6.2 测试——缺陷记录与测试评估-缺陷分布、缺陷龄期、缺陷趋势的数据与图表.xlsx]Sheet1'!$B$62</c:f>
              <c:strCache>
                <c:ptCount val="1"/>
                <c:pt idx="0">
                  <c:v>低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numRef>
              <c:f>'[6.2 测试——缺陷记录与测试评估-缺陷分布、缺陷龄期、缺陷趋势的数据与图表.xlsx]Sheet1'!$C$58:$I$58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'[6.2 测试——缺陷记录与测试评估-缺陷分布、缺陷龄期、缺陷趋势的数据与图表.xlsx]Sheet1'!$C$62:$I$62</c:f>
              <c:numCache>
                <c:formatCode>General</c:formatCode>
                <c:ptCount val="7"/>
                <c:pt idx="0">
                  <c:v>0</c:v>
                </c:pt>
                <c:pt idx="2">
                  <c:v>0</c:v>
                </c:pt>
                <c:pt idx="5">
                  <c:v>1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03500463"/>
        <c:axId val="803500047"/>
      </c:barChart>
      <c:catAx>
        <c:axId val="803500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803500047"/>
        <c:crosses val="autoZero"/>
        <c:auto val="1"/>
        <c:lblAlgn val="ctr"/>
        <c:lblOffset val="100"/>
        <c:noMultiLvlLbl val="0"/>
      </c:catAx>
      <c:valAx>
        <c:axId val="80350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803500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>
                <a:solidFill>
                  <a:srgbClr val="FF0000"/>
                </a:solidFill>
              </a:rPr>
              <a:t>待处理</a:t>
            </a:r>
            <a:r>
              <a:rPr lang="zh-CN" altLang="en-US"/>
              <a:t>缺陷龄期（周）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ndard"/>
        <c:varyColors val="0"/>
        <c:ser>
          <c:idx val="0"/>
          <c:order val="0"/>
          <c:tx>
            <c:strRef>
              <c:f>'[6.2 测试——缺陷记录与测试评估-缺陷分布、缺陷龄期、缺陷趋势的数据与图表.xlsx]Sheet1'!$B$76</c:f>
              <c:strCache>
                <c:ptCount val="1"/>
                <c:pt idx="0">
                  <c:v>严重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numRef>
              <c:f>'[6.2 测试——缺陷记录与测试评估-缺陷分布、缺陷龄期、缺陷趋势的数据与图表.xlsx]Sheet1'!$C$75:$I$75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'[6.2 测试——缺陷记录与测试评估-缺陷分布、缺陷龄期、缺陷趋势的数据与图表.xlsx]Sheet1'!$C$76:$I$76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strRef>
              <c:f>'[6.2 测试——缺陷记录与测试评估-缺陷分布、缺陷龄期、缺陷趋势的数据与图表.xlsx]Sheet1'!$B$77</c:f>
              <c:strCache>
                <c:ptCount val="1"/>
                <c:pt idx="0">
                  <c:v>高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numRef>
              <c:f>'[6.2 测试——缺陷记录与测试评估-缺陷分布、缺陷龄期、缺陷趋势的数据与图表.xlsx]Sheet1'!$C$75:$I$75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'[6.2 测试——缺陷记录与测试评估-缺陷分布、缺陷龄期、缺陷趋势的数据与图表.xlsx]Sheet1'!$C$77:$I$77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</c:numCache>
            </c:numRef>
          </c:val>
        </c:ser>
        <c:ser>
          <c:idx val="2"/>
          <c:order val="2"/>
          <c:tx>
            <c:strRef>
              <c:f>'[6.2 测试——缺陷记录与测试评估-缺陷分布、缺陷龄期、缺陷趋势的数据与图表.xlsx]Sheet1'!$B$78</c:f>
              <c:strCache>
                <c:ptCount val="1"/>
                <c:pt idx="0">
                  <c:v>中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numRef>
              <c:f>'[6.2 测试——缺陷记录与测试评估-缺陷分布、缺陷龄期、缺陷趋势的数据与图表.xlsx]Sheet1'!$C$75:$I$75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'[6.2 测试——缺陷记录与测试评估-缺陷分布、缺陷龄期、缺陷趋势的数据与图表.xlsx]Sheet1'!$C$78:$I$78</c:f>
              <c:numCache>
                <c:formatCode>General</c:formatCode>
                <c:ptCount val="7"/>
                <c:pt idx="0">
                  <c:v>1</c:v>
                </c:pt>
                <c:pt idx="1">
                  <c:v>0</c:v>
                </c:pt>
              </c:numCache>
            </c:numRef>
          </c:val>
        </c:ser>
        <c:ser>
          <c:idx val="3"/>
          <c:order val="3"/>
          <c:tx>
            <c:strRef>
              <c:f>'[6.2 测试——缺陷记录与测试评估-缺陷分布、缺陷龄期、缺陷趋势的数据与图表.xlsx]Sheet1'!$B$79</c:f>
              <c:strCache>
                <c:ptCount val="1"/>
                <c:pt idx="0">
                  <c:v>低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numRef>
              <c:f>'[6.2 测试——缺陷记录与测试评估-缺陷分布、缺陷龄期、缺陷趋势的数据与图表.xlsx]Sheet1'!$C$75:$I$75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'[6.2 测试——缺陷记录与测试评估-缺陷分布、缺陷龄期、缺陷趋势的数据与图表.xlsx]Sheet1'!$C$79:$I$79</c:f>
              <c:numCache>
                <c:formatCode>General</c:formatCode>
                <c:ptCount val="7"/>
                <c:pt idx="0">
                  <c:v>1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03534575"/>
        <c:axId val="803539567"/>
      </c:barChart>
      <c:catAx>
        <c:axId val="803534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803539567"/>
        <c:crosses val="autoZero"/>
        <c:auto val="1"/>
        <c:lblAlgn val="ctr"/>
        <c:lblOffset val="100"/>
        <c:noMultiLvlLbl val="0"/>
      </c:catAx>
      <c:valAx>
        <c:axId val="80353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803534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缺陷趋势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'[6.2 测试——缺陷记录与测试评估-缺陷分布、缺陷龄期、缺陷趋势的数据与图表.xlsx]Sheet1'!$B$96</c:f>
              <c:strCache>
                <c:ptCount val="1"/>
                <c:pt idx="0">
                  <c:v>打开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delete val="1"/>
          </c:dLbls>
          <c:cat>
            <c:strRef>
              <c:f>'[6.2 测试——缺陷记录与测试评估-缺陷分布、缺陷龄期、缺陷趋势的数据与图表.xlsx]Sheet1'!$C$95:$I$95</c:f>
              <c:strCache>
                <c:ptCount val="7"/>
                <c:pt idx="0">
                  <c:v>第1周</c:v>
                </c:pt>
                <c:pt idx="1">
                  <c:v>第2周</c:v>
                </c:pt>
                <c:pt idx="2">
                  <c:v>第3周</c:v>
                </c:pt>
                <c:pt idx="3">
                  <c:v>第4周</c:v>
                </c:pt>
                <c:pt idx="4">
                  <c:v>第5周</c:v>
                </c:pt>
                <c:pt idx="5">
                  <c:v>第6周</c:v>
                </c:pt>
                <c:pt idx="6">
                  <c:v>第7周</c:v>
                </c:pt>
              </c:strCache>
            </c:strRef>
          </c:cat>
          <c:val>
            <c:numRef>
              <c:f>'[6.2 测试——缺陷记录与测试评估-缺陷分布、缺陷龄期、缺陷趋势的数据与图表.xlsx]Sheet1'!$C$96:$I$96</c:f>
              <c:numCache>
                <c:formatCode>General</c:formatCode>
                <c:ptCount val="7"/>
                <c:pt idx="0">
                  <c:v>3</c:v>
                </c:pt>
                <c:pt idx="1">
                  <c:v>35</c:v>
                </c:pt>
                <c:pt idx="2">
                  <c:v>23</c:v>
                </c:pt>
                <c:pt idx="3">
                  <c:v>19</c:v>
                </c:pt>
                <c:pt idx="4">
                  <c:v>12</c:v>
                </c:pt>
                <c:pt idx="5">
                  <c:v>4</c:v>
                </c:pt>
                <c:pt idx="6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'[6.2 测试——缺陷记录与测试评估-缺陷分布、缺陷龄期、缺陷趋势的数据与图表.xlsx]Sheet1'!$B$97</c:f>
              <c:strCache>
                <c:ptCount val="1"/>
                <c:pt idx="0">
                  <c:v>分配</c:v>
                </c:pt>
              </c:strCache>
            </c:strRef>
          </c:tx>
          <c:spPr>
            <a:ln w="28575" cap="rnd">
              <a:solidFill>
                <a:srgbClr val="C0504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504D"/>
              </a:solidFill>
              <a:ln w="9525">
                <a:solidFill>
                  <a:srgbClr val="C0504D"/>
                </a:solidFill>
              </a:ln>
              <a:effectLst/>
            </c:spPr>
          </c:marker>
          <c:dLbls>
            <c:delete val="1"/>
          </c:dLbls>
          <c:cat>
            <c:strRef>
              <c:f>'[6.2 测试——缺陷记录与测试评估-缺陷分布、缺陷龄期、缺陷趋势的数据与图表.xlsx]Sheet1'!$C$95:$I$95</c:f>
              <c:strCache>
                <c:ptCount val="7"/>
                <c:pt idx="0">
                  <c:v>第1周</c:v>
                </c:pt>
                <c:pt idx="1">
                  <c:v>第2周</c:v>
                </c:pt>
                <c:pt idx="2">
                  <c:v>第3周</c:v>
                </c:pt>
                <c:pt idx="3">
                  <c:v>第4周</c:v>
                </c:pt>
                <c:pt idx="4">
                  <c:v>第5周</c:v>
                </c:pt>
                <c:pt idx="5">
                  <c:v>第6周</c:v>
                </c:pt>
                <c:pt idx="6">
                  <c:v>第7周</c:v>
                </c:pt>
              </c:strCache>
            </c:strRef>
          </c:cat>
          <c:val>
            <c:numRef>
              <c:f>'[6.2 测试——缺陷记录与测试评估-缺陷分布、缺陷龄期、缺陷趋势的数据与图表.xlsx]Sheet1'!$C$97:$I$97</c:f>
              <c:numCache>
                <c:formatCode>General</c:formatCode>
                <c:ptCount val="7"/>
                <c:pt idx="0">
                  <c:v>0</c:v>
                </c:pt>
                <c:pt idx="1">
                  <c:v>15</c:v>
                </c:pt>
                <c:pt idx="2">
                  <c:v>23</c:v>
                </c:pt>
                <c:pt idx="3">
                  <c:v>37</c:v>
                </c:pt>
                <c:pt idx="4">
                  <c:v>12</c:v>
                </c:pt>
                <c:pt idx="5">
                  <c:v>9</c:v>
                </c:pt>
                <c:pt idx="6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'[6.2 测试——缺陷记录与测试评估-缺陷分布、缺陷龄期、缺陷趋势的数据与图表.xlsx]Sheet1'!$B$98</c:f>
              <c:strCache>
                <c:ptCount val="1"/>
                <c:pt idx="0">
                  <c:v>测试</c:v>
                </c:pt>
              </c:strCache>
            </c:strRef>
          </c:tx>
          <c:spPr>
            <a:ln w="28575" cap="rnd">
              <a:solidFill>
                <a:srgbClr val="9BBB5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9BBB59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delete val="1"/>
          </c:dLbls>
          <c:cat>
            <c:strRef>
              <c:f>'[6.2 测试——缺陷记录与测试评估-缺陷分布、缺陷龄期、缺陷趋势的数据与图表.xlsx]Sheet1'!$C$95:$I$95</c:f>
              <c:strCache>
                <c:ptCount val="7"/>
                <c:pt idx="0">
                  <c:v>第1周</c:v>
                </c:pt>
                <c:pt idx="1">
                  <c:v>第2周</c:v>
                </c:pt>
                <c:pt idx="2">
                  <c:v>第3周</c:v>
                </c:pt>
                <c:pt idx="3">
                  <c:v>第4周</c:v>
                </c:pt>
                <c:pt idx="4">
                  <c:v>第5周</c:v>
                </c:pt>
                <c:pt idx="5">
                  <c:v>第6周</c:v>
                </c:pt>
                <c:pt idx="6">
                  <c:v>第7周</c:v>
                </c:pt>
              </c:strCache>
            </c:strRef>
          </c:cat>
          <c:val>
            <c:numRef>
              <c:f>'[6.2 测试——缺陷记录与测试评估-缺陷分布、缺陷龄期、缺陷趋势的数据与图表.xlsx]Sheet1'!$C$98:$I$98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15</c:v>
                </c:pt>
                <c:pt idx="3">
                  <c:v>25</c:v>
                </c:pt>
                <c:pt idx="4">
                  <c:v>32</c:v>
                </c:pt>
                <c:pt idx="5">
                  <c:v>19</c:v>
                </c:pt>
                <c:pt idx="6">
                  <c:v>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'[6.2 测试——缺陷记录与测试评估-缺陷分布、缺陷龄期、缺陷趋势的数据与图表.xlsx]Sheet1'!$B$99</c:f>
              <c:strCache>
                <c:ptCount val="1"/>
                <c:pt idx="0">
                  <c:v>关闭</c:v>
                </c:pt>
              </c:strCache>
            </c:strRef>
          </c:tx>
          <c:spPr>
            <a:ln w="28575" cap="rnd">
              <a:solidFill>
                <a:srgbClr val="8064A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064A2"/>
              </a:solidFill>
              <a:ln w="9525">
                <a:solidFill>
                  <a:srgbClr val="8064A2"/>
                </a:solidFill>
              </a:ln>
              <a:effectLst/>
            </c:spPr>
          </c:marker>
          <c:dLbls>
            <c:delete val="1"/>
          </c:dLbls>
          <c:cat>
            <c:strRef>
              <c:f>'[6.2 测试——缺陷记录与测试评估-缺陷分布、缺陷龄期、缺陷趋势的数据与图表.xlsx]Sheet1'!$C$95:$I$95</c:f>
              <c:strCache>
                <c:ptCount val="7"/>
                <c:pt idx="0">
                  <c:v>第1周</c:v>
                </c:pt>
                <c:pt idx="1">
                  <c:v>第2周</c:v>
                </c:pt>
                <c:pt idx="2">
                  <c:v>第3周</c:v>
                </c:pt>
                <c:pt idx="3">
                  <c:v>第4周</c:v>
                </c:pt>
                <c:pt idx="4">
                  <c:v>第5周</c:v>
                </c:pt>
                <c:pt idx="5">
                  <c:v>第6周</c:v>
                </c:pt>
                <c:pt idx="6">
                  <c:v>第7周</c:v>
                </c:pt>
              </c:strCache>
            </c:strRef>
          </c:cat>
          <c:val>
            <c:numRef>
              <c:f>'[6.2 测试——缺陷记录与测试评估-缺陷分布、缺陷龄期、缺陷趋势的数据与图表.xlsx]Sheet1'!$C$99:$I$99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25</c:v>
                </c:pt>
                <c:pt idx="6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3535823"/>
        <c:axId val="803537071"/>
      </c:lineChart>
      <c:catAx>
        <c:axId val="803535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803537071"/>
        <c:crosses val="autoZero"/>
        <c:auto val="1"/>
        <c:lblAlgn val="ctr"/>
        <c:lblOffset val="100"/>
        <c:noMultiLvlLbl val="0"/>
      </c:catAx>
      <c:valAx>
        <c:axId val="80353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803535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工程工作流-05-测试-02-测试评估摘要.dot</Template>
  <Pages>6</Pages>
  <Words>583</Words>
  <Characters>658</Characters>
  <Lines>12</Lines>
  <Paragraphs>2</Paragraphs>
  <TotalTime>23</TotalTime>
  <ScaleCrop>false</ScaleCrop>
  <LinksUpToDate>false</LinksUpToDate>
  <CharactersWithSpaces>920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2022-11-29T15:56:00Z</dcterms:created>
  <dc:creator>555</dc:creator>
  <cp:lastModifiedBy>555</cp:lastModifiedBy>
  <dcterms:modified xsi:type="dcterms:W3CDTF">2022-11-29T16:51:46Z</dcterms:modified>
  <dc:title>测试评估摘要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1CDA43811ABE4B108C55E2382242E468</vt:lpwstr>
  </property>
  <property fmtid="{D5CDD505-2E9C-101B-9397-08002B2CF9AE}" pid="3" name="KSOProductBuildVer">
    <vt:lpwstr>2052-11.1.0.12763</vt:lpwstr>
  </property>
</Properties>
</file>