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B2B4F">
      <w:pPr>
        <w:pStyle w:val="5"/>
        <w:widowControl w:val="0"/>
        <w:adjustRightInd/>
        <w:snapToGrid/>
        <w:spacing w:before="20" w:after="20"/>
        <w:jc w:val="both"/>
        <w:rPr>
          <w:rFonts w:hint="eastAsia" w:ascii="宋体" w:hAnsi="宋体" w:eastAsia="宋体" w:cs="宋体"/>
          <w:sz w:val="24"/>
          <w:szCs w:val="24"/>
          <w:lang w:val="en-US" w:eastAsia="zh-CN"/>
        </w:rPr>
      </w:pPr>
      <w:bookmarkStart w:id="0" w:name="_Toc9472"/>
      <w:r>
        <w:rPr>
          <w:rFonts w:hint="eastAsia" w:ascii="宋体" w:hAnsi="宋体" w:eastAsia="宋体" w:cs="宋体"/>
          <w:sz w:val="24"/>
          <w:szCs w:val="24"/>
          <w:lang w:val="en-US" w:eastAsia="zh-CN"/>
        </w:rPr>
        <w:t>3系统总体设计</w:t>
      </w:r>
      <w:bookmarkEnd w:id="0"/>
    </w:p>
    <w:p w14:paraId="2F1A4892">
      <w:pPr>
        <w:pStyle w:val="6"/>
        <w:widowControl w:val="0"/>
        <w:adjustRightInd/>
        <w:snapToGrid/>
        <w:spacing w:before="20" w:after="20"/>
        <w:jc w:val="both"/>
        <w:rPr>
          <w:rFonts w:hint="eastAsia" w:ascii="宋体" w:hAnsi="宋体" w:eastAsia="宋体" w:cs="宋体"/>
          <w:kern w:val="2"/>
          <w:sz w:val="24"/>
          <w:szCs w:val="24"/>
          <w:lang w:val="en-US" w:eastAsia="zh-CN"/>
        </w:rPr>
      </w:pPr>
      <w:bookmarkStart w:id="1" w:name="_Toc18049"/>
      <w:r>
        <w:rPr>
          <w:rFonts w:hint="eastAsia" w:ascii="宋体" w:hAnsi="宋体" w:eastAsia="宋体" w:cs="宋体"/>
          <w:kern w:val="2"/>
          <w:sz w:val="24"/>
          <w:szCs w:val="24"/>
          <w:lang w:val="en-US" w:eastAsia="zh-CN"/>
        </w:rPr>
        <w:t>3.1系统总体业务架构</w:t>
      </w:r>
      <w:bookmarkEnd w:id="1"/>
    </w:p>
    <w:p w14:paraId="0C3DA3D1">
      <w:pPr>
        <w:spacing w:line="360" w:lineRule="auto"/>
        <w:jc w:val="center"/>
      </w:pPr>
      <w:r>
        <w:drawing>
          <wp:inline distT="0" distB="0" distL="114300" distR="114300">
            <wp:extent cx="4707890" cy="4555490"/>
            <wp:effectExtent l="0" t="0" r="3810" b="3810"/>
            <wp:docPr id="12" name="图片 1" descr="医务"/>
            <wp:cNvGraphicFramePr/>
            <a:graphic xmlns:a="http://schemas.openxmlformats.org/drawingml/2006/main">
              <a:graphicData uri="http://schemas.openxmlformats.org/drawingml/2006/picture">
                <pic:pic xmlns:pic="http://schemas.openxmlformats.org/drawingml/2006/picture">
                  <pic:nvPicPr>
                    <pic:cNvPr id="12" name="图片 1" descr="医务"/>
                    <pic:cNvPicPr/>
                  </pic:nvPicPr>
                  <pic:blipFill>
                    <a:blip r:embed="rId5" cstate="print"/>
                    <a:stretch>
                      <a:fillRect/>
                    </a:stretch>
                  </pic:blipFill>
                  <pic:spPr>
                    <a:xfrm>
                      <a:off x="0" y="0"/>
                      <a:ext cx="4707890" cy="4555490"/>
                    </a:xfrm>
                    <a:prstGeom prst="rect">
                      <a:avLst/>
                    </a:prstGeom>
                  </pic:spPr>
                </pic:pic>
              </a:graphicData>
            </a:graphic>
          </wp:inline>
        </w:drawing>
      </w:r>
    </w:p>
    <w:p w14:paraId="7AF3B481">
      <w:pPr>
        <w:numPr>
          <w:ilvl w:val="0"/>
          <w:numId w:val="0"/>
        </w:numPr>
        <w:bidi w:val="0"/>
        <w:spacing w:line="360" w:lineRule="auto"/>
        <w:ind w:leftChars="0" w:firstLine="240" w:firstLineChars="100"/>
        <w:rPr>
          <w:rFonts w:hint="default" w:ascii="宋体" w:hAnsi="宋体" w:eastAsia="宋体" w:cs="宋体"/>
          <w:b/>
          <w:bCs/>
          <w:i w:val="0"/>
          <w:iCs w:val="0"/>
          <w:caps w:val="0"/>
          <w:color w:val="auto"/>
          <w:spacing w:val="0"/>
          <w:sz w:val="24"/>
          <w:szCs w:val="24"/>
          <w:shd w:val="clear" w:fill="FFFFFF"/>
          <w:lang w:val="en-US" w:eastAsia="zh-CN"/>
        </w:rPr>
      </w:pPr>
      <w:r>
        <w:rPr>
          <w:rFonts w:hint="eastAsia"/>
          <w:sz w:val="24"/>
          <w:szCs w:val="24"/>
          <w:lang w:val="en-US" w:eastAsia="zh-CN"/>
        </w:rPr>
        <w:t xml:space="preserve"> </w:t>
      </w:r>
      <w:r>
        <w:rPr>
          <w:rFonts w:hint="eastAsia" w:ascii="宋体" w:hAnsi="宋体" w:eastAsia="宋体" w:cs="宋体"/>
          <w:i w:val="0"/>
          <w:iCs w:val="0"/>
          <w:caps w:val="0"/>
          <w:color w:val="auto"/>
          <w:spacing w:val="0"/>
          <w:sz w:val="24"/>
          <w:szCs w:val="24"/>
          <w:shd w:val="clear" w:fill="FFFFFF"/>
          <w:lang w:val="en-US" w:eastAsia="zh-CN"/>
        </w:rPr>
        <w:t>系统以“病人安全”为核心、以“医务人员“为中心，根据医疗质量安全核心制度相关要求和医院内部制度要求并充分运用信息化，数字化。以PDCA为核心理念构建医院完善的医院精细化医疗质量管理体系。</w:t>
      </w:r>
      <w:r>
        <w:rPr>
          <w:rFonts w:hint="eastAsia" w:ascii="宋体" w:hAnsi="宋体" w:eastAsia="宋体" w:cs="宋体"/>
          <w:b/>
          <w:bCs/>
          <w:i w:val="0"/>
          <w:iCs w:val="0"/>
          <w:caps w:val="0"/>
          <w:color w:val="auto"/>
          <w:spacing w:val="0"/>
          <w:sz w:val="24"/>
          <w:szCs w:val="24"/>
          <w:shd w:val="clear" w:fill="FFFFFF"/>
          <w:lang w:val="en-US" w:eastAsia="zh-CN"/>
        </w:rPr>
        <w:t>建立“数字驱动，数智赋能”医疗质量监管监测平台。</w:t>
      </w:r>
    </w:p>
    <w:p w14:paraId="54E39B34">
      <w:pPr>
        <w:tabs>
          <w:tab w:val="left" w:pos="851"/>
        </w:tabs>
        <w:adjustRightInd/>
        <w:snapToGrid/>
        <w:spacing w:after="0" w:line="360" w:lineRule="auto"/>
        <w:ind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医疗质量监管监测管理平台是一种全程化、实时化、全方位的医疗质量管理,其不仅仅是一种管理方式的创新,更是一种管理理念的变革。其鲜明的医疗质量管理特点为:</w:t>
      </w:r>
    </w:p>
    <w:p w14:paraId="4B3C43CA">
      <w:pPr>
        <w:numPr>
          <w:ilvl w:val="0"/>
          <w:numId w:val="1"/>
        </w:numPr>
        <w:tabs>
          <w:tab w:val="left" w:pos="851"/>
        </w:tabs>
        <w:adjustRightInd/>
        <w:snapToGrid/>
        <w:spacing w:after="0" w:line="360" w:lineRule="auto"/>
        <w:ind w:left="982" w:hanging="420"/>
        <w:rPr>
          <w:rFonts w:ascii="仿宋_GB2312" w:hAnsi="华文仿宋" w:eastAsia="仿宋_GB2312" w:cs="宋体"/>
          <w:b/>
          <w:sz w:val="28"/>
          <w:szCs w:val="28"/>
        </w:rPr>
      </w:pPr>
      <w:r>
        <w:rPr>
          <w:rFonts w:hint="eastAsia" w:ascii="仿宋_GB2312" w:hAnsi="华文仿宋" w:eastAsia="仿宋_GB2312" w:cs="宋体"/>
          <w:b/>
          <w:sz w:val="28"/>
          <w:szCs w:val="28"/>
        </w:rPr>
        <w:t>全程化监控</w:t>
      </w:r>
    </w:p>
    <w:p w14:paraId="7613A108">
      <w:pPr>
        <w:tabs>
          <w:tab w:val="left" w:pos="851"/>
        </w:tabs>
        <w:adjustRightInd/>
        <w:snapToGrid/>
        <w:spacing w:after="0" w:line="360" w:lineRule="auto"/>
        <w:ind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医院医疗质量管控模式是在医院数字化环境下的医疗质量管理,是一种全程化的质量管理,从患者入院开始,到患者就医结束,整个就医过程所有的诊疗信息都处于监控之中。</w:t>
      </w:r>
    </w:p>
    <w:p w14:paraId="4C4849A2">
      <w:pPr>
        <w:numPr>
          <w:ilvl w:val="0"/>
          <w:numId w:val="2"/>
        </w:numPr>
        <w:tabs>
          <w:tab w:val="left" w:pos="851"/>
        </w:tabs>
        <w:adjustRightInd/>
        <w:snapToGrid/>
        <w:spacing w:after="0" w:line="360" w:lineRule="auto"/>
        <w:ind w:left="980" w:hanging="420"/>
        <w:rPr>
          <w:rFonts w:ascii="仿宋_GB2312" w:hAnsi="华文仿宋" w:eastAsia="仿宋_GB2312" w:cs="宋体"/>
          <w:b/>
          <w:sz w:val="28"/>
          <w:szCs w:val="28"/>
        </w:rPr>
      </w:pPr>
      <w:r>
        <w:rPr>
          <w:rFonts w:hint="eastAsia" w:ascii="仿宋_GB2312" w:hAnsi="华文仿宋" w:eastAsia="仿宋_GB2312" w:cs="宋体"/>
          <w:b/>
          <w:sz w:val="28"/>
          <w:szCs w:val="28"/>
        </w:rPr>
        <w:t>实时化质控</w:t>
      </w:r>
    </w:p>
    <w:p w14:paraId="0BB16C86">
      <w:pPr>
        <w:tabs>
          <w:tab w:val="left" w:pos="851"/>
        </w:tabs>
        <w:adjustRightInd/>
        <w:snapToGrid/>
        <w:spacing w:after="0" w:line="360" w:lineRule="auto"/>
        <w:ind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在医院医疗质量管控模式中,医院质量管控人员可以随时通过网络对各科室病人进行监控,检查每一个病人的用药、处置情况和医生记录,调阅每一个患者的各类检查数据和影像资料,并通过网络与医生及时沟通。借助于医疗质量管理系统,建立有效的预警机制,避免医疗过程中的医疗失误,更加有利于医疗质量的改进与提高。</w:t>
      </w:r>
    </w:p>
    <w:p w14:paraId="58938291">
      <w:pPr>
        <w:numPr>
          <w:ilvl w:val="0"/>
          <w:numId w:val="3"/>
        </w:numPr>
        <w:tabs>
          <w:tab w:val="left" w:pos="851"/>
        </w:tabs>
        <w:adjustRightInd/>
        <w:snapToGrid/>
        <w:spacing w:after="0" w:line="360" w:lineRule="auto"/>
        <w:ind w:left="980" w:hanging="420"/>
        <w:rPr>
          <w:rFonts w:ascii="仿宋_GB2312" w:hAnsi="华文仿宋" w:eastAsia="仿宋_GB2312" w:cs="宋体"/>
          <w:b/>
          <w:sz w:val="28"/>
          <w:szCs w:val="28"/>
        </w:rPr>
      </w:pPr>
      <w:r>
        <w:rPr>
          <w:rFonts w:hint="eastAsia" w:ascii="仿宋_GB2312" w:hAnsi="华文仿宋" w:eastAsia="仿宋_GB2312" w:cs="宋体"/>
          <w:b/>
          <w:sz w:val="28"/>
          <w:szCs w:val="28"/>
        </w:rPr>
        <w:t>全方位监控</w:t>
      </w:r>
    </w:p>
    <w:p w14:paraId="5BF350BA">
      <w:pPr>
        <w:tabs>
          <w:tab w:val="left" w:pos="851"/>
        </w:tabs>
        <w:adjustRightInd/>
        <w:snapToGrid/>
        <w:spacing w:after="0" w:line="360" w:lineRule="auto"/>
        <w:ind w:firstLine="480" w:firstLineChars="2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在医院数字化医疗质量管控模式中,医院的医疗质量监控是全方位的监控,监控范围涉及临床医生、护理、药师等各个方面,是一种将医院的各项活动纳入监控范围的管控方式。</w:t>
      </w:r>
    </w:p>
    <w:p w14:paraId="730C7F58">
      <w:pPr>
        <w:numPr>
          <w:ilvl w:val="0"/>
          <w:numId w:val="4"/>
        </w:numPr>
        <w:tabs>
          <w:tab w:val="left" w:pos="851"/>
        </w:tabs>
        <w:adjustRightInd/>
        <w:snapToGrid/>
        <w:spacing w:after="0" w:line="360" w:lineRule="auto"/>
        <w:ind w:left="980" w:hanging="420"/>
        <w:rPr>
          <w:rFonts w:ascii="仿宋_GB2312" w:hAnsi="华文仿宋" w:eastAsia="仿宋_GB2312" w:cs="宋体"/>
          <w:b/>
          <w:sz w:val="28"/>
          <w:szCs w:val="28"/>
        </w:rPr>
      </w:pPr>
      <w:r>
        <w:rPr>
          <w:rFonts w:hint="eastAsia" w:ascii="仿宋_GB2312" w:hAnsi="华文仿宋" w:eastAsia="仿宋_GB2312" w:cs="宋体"/>
          <w:b/>
          <w:sz w:val="28"/>
          <w:szCs w:val="28"/>
        </w:rPr>
        <w:t>多部门监控</w:t>
      </w:r>
    </w:p>
    <w:p w14:paraId="515CE2EA">
      <w:pPr>
        <w:tabs>
          <w:tab w:val="left" w:pos="851"/>
        </w:tabs>
        <w:adjustRightInd/>
        <w:snapToGrid/>
        <w:spacing w:after="0" w:line="360" w:lineRule="auto"/>
        <w:ind w:firstLine="720" w:firstLineChars="300"/>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医院数字化医疗质量管控模式涉及医院和卫生管理等单位部门共同来组织实施。医院质管部门主要负责患者在医院就医过程中的医疗质量监管，同时,医院的医疗质量也会受到广大患者与公众的监督的管理。</w:t>
      </w:r>
    </w:p>
    <w:p w14:paraId="580A9605">
      <w:pPr>
        <w:pStyle w:val="6"/>
        <w:widowControl w:val="0"/>
        <w:adjustRightInd/>
        <w:snapToGrid/>
        <w:spacing w:before="20" w:after="20"/>
        <w:jc w:val="both"/>
        <w:rPr>
          <w:rFonts w:hint="eastAsia"/>
          <w:lang w:val="en-US" w:eastAsia="zh-CN"/>
        </w:rPr>
      </w:pPr>
      <w:bookmarkStart w:id="2" w:name="_Toc1443"/>
      <w:bookmarkStart w:id="3" w:name="_Toc15618"/>
      <w:r>
        <w:rPr>
          <w:rFonts w:hint="eastAsia" w:ascii="宋体" w:hAnsi="宋体" w:eastAsia="宋体" w:cs="宋体"/>
          <w:kern w:val="2"/>
          <w:sz w:val="24"/>
          <w:szCs w:val="24"/>
          <w:lang w:val="en-US" w:eastAsia="zh-CN"/>
        </w:rPr>
        <w:t>3</w:t>
      </w:r>
      <w:r>
        <w:rPr>
          <w:rFonts w:hint="eastAsia" w:ascii="宋体" w:hAnsi="宋体" w:eastAsia="宋体" w:cs="宋体"/>
          <w:kern w:val="2"/>
          <w:sz w:val="24"/>
          <w:szCs w:val="24"/>
        </w:rPr>
        <w:t>.</w:t>
      </w:r>
      <w:r>
        <w:rPr>
          <w:rFonts w:hint="eastAsia" w:ascii="宋体" w:hAnsi="宋体" w:eastAsia="宋体" w:cs="宋体"/>
          <w:kern w:val="2"/>
          <w:sz w:val="24"/>
          <w:szCs w:val="24"/>
          <w:lang w:val="en-US" w:eastAsia="zh-CN"/>
        </w:rPr>
        <w:t>2</w:t>
      </w:r>
      <w:r>
        <w:rPr>
          <w:rFonts w:hint="eastAsia" w:ascii="宋体" w:hAnsi="宋体" w:eastAsia="宋体" w:cs="宋体"/>
          <w:kern w:val="2"/>
          <w:sz w:val="24"/>
          <w:szCs w:val="24"/>
        </w:rPr>
        <w:t>建设</w:t>
      </w:r>
      <w:r>
        <w:rPr>
          <w:rFonts w:hint="eastAsia" w:ascii="宋体" w:hAnsi="宋体" w:eastAsia="宋体" w:cs="宋体"/>
          <w:kern w:val="2"/>
          <w:sz w:val="24"/>
          <w:szCs w:val="24"/>
          <w:lang w:val="en-US" w:eastAsia="zh-CN"/>
        </w:rPr>
        <w:t>目标</w:t>
      </w:r>
      <w:bookmarkEnd w:id="2"/>
      <w:bookmarkEnd w:id="3"/>
      <w:bookmarkStart w:id="4" w:name="_Toc7029"/>
    </w:p>
    <w:p w14:paraId="1824779F">
      <w:pPr>
        <w:keepNext w:val="0"/>
        <w:keepLines w:val="0"/>
        <w:pageBreakBefore w:val="0"/>
        <w:widowControl/>
        <w:kinsoku/>
        <w:wordWrap/>
        <w:overflowPunct/>
        <w:topLinePunct w:val="0"/>
        <w:autoSpaceDE/>
        <w:autoSpaceDN/>
        <w:bidi w:val="0"/>
        <w:adjustRightInd w:val="0"/>
        <w:snapToGrid w:val="0"/>
        <w:spacing w:after="0" w:line="360" w:lineRule="auto"/>
        <w:ind w:firstLine="480" w:firstLineChars="200"/>
        <w:textAlignment w:val="auto"/>
        <w:rPr>
          <w:rFonts w:hint="eastAsia" w:asciiTheme="minorHAnsi" w:hAnsiTheme="minorHAnsi" w:eastAsiaTheme="minorEastAsia" w:cstheme="minorBidi"/>
          <w:kern w:val="2"/>
          <w:sz w:val="24"/>
          <w:szCs w:val="24"/>
          <w:lang w:val="en-US" w:eastAsia="zh-CN" w:bidi="ar-SA"/>
        </w:rPr>
      </w:pPr>
    </w:p>
    <w:p w14:paraId="162B96A7">
      <w:pPr>
        <w:tabs>
          <w:tab w:val="left" w:pos="851"/>
        </w:tabs>
        <w:adjustRightInd/>
        <w:snapToGrid/>
        <w:spacing w:after="0" w:line="360" w:lineRule="auto"/>
        <w:ind w:firstLine="723" w:firstLineChars="300"/>
        <w:rPr>
          <w:rFonts w:hint="default" w:ascii="宋体" w:hAnsi="宋体" w:eastAsia="宋体" w:cs="宋体"/>
          <w:sz w:val="24"/>
          <w:szCs w:val="24"/>
          <w:lang w:val="en-US" w:eastAsia="zh-CN" w:bidi="ar-SA"/>
        </w:rPr>
      </w:pPr>
      <w:r>
        <w:rPr>
          <w:rFonts w:hint="eastAsia" w:ascii="宋体" w:hAnsi="宋体" w:eastAsia="宋体" w:cs="宋体"/>
          <w:b/>
          <w:bCs/>
          <w:sz w:val="24"/>
          <w:szCs w:val="24"/>
          <w:lang w:val="en-US" w:eastAsia="zh-CN" w:bidi="ar-SA"/>
        </w:rPr>
        <w:t>整个平台是按照大质控的理念进行设计</w:t>
      </w:r>
      <w:r>
        <w:rPr>
          <w:rFonts w:hint="eastAsia" w:ascii="宋体" w:hAnsi="宋体" w:eastAsia="宋体" w:cs="宋体"/>
          <w:sz w:val="24"/>
          <w:szCs w:val="24"/>
          <w:lang w:val="en-US" w:eastAsia="zh-CN" w:bidi="ar-SA"/>
        </w:rPr>
        <w:t>，充分结合公立医院绩效考核，等级医院评审2020版等医院评审评价要求以及医院院科两级质量考核的需要，建立医院完善的医疗质量标准库，同时以医疗质量标准为基础，借助ETL工具实现对医疗数据进行实时采集，清洗，加工，核算。最后通过数据可视化技术进行展示并结合设置的动态知识库进行智能的提醒与分析。建立基于数据驱动的PDCA医疗质量监管监测体系。</w:t>
      </w:r>
    </w:p>
    <w:p w14:paraId="045E5741">
      <w:pPr>
        <w:pStyle w:val="6"/>
        <w:widowControl w:val="0"/>
        <w:adjustRightInd/>
        <w:snapToGrid/>
        <w:spacing w:before="20" w:after="20"/>
        <w:jc w:val="both"/>
        <w:rPr>
          <w:rFonts w:hint="eastAsia"/>
          <w:lang w:val="en-US" w:eastAsia="zh-CN"/>
        </w:rPr>
      </w:pPr>
      <w:bookmarkStart w:id="5" w:name="_Toc30513"/>
      <w:bookmarkStart w:id="6" w:name="_Toc27301"/>
      <w:r>
        <w:rPr>
          <w:rFonts w:hint="eastAsia" w:ascii="宋体" w:hAnsi="宋体" w:eastAsia="宋体" w:cs="宋体"/>
          <w:kern w:val="2"/>
          <w:sz w:val="24"/>
          <w:szCs w:val="24"/>
          <w:lang w:val="en-US" w:eastAsia="zh-CN"/>
        </w:rPr>
        <w:t>3.3建设原则</w:t>
      </w:r>
      <w:bookmarkEnd w:id="4"/>
      <w:bookmarkEnd w:id="5"/>
      <w:bookmarkEnd w:id="6"/>
    </w:p>
    <w:p w14:paraId="25ED48D5">
      <w:pPr>
        <w:keepNext w:val="0"/>
        <w:keepLines w:val="0"/>
        <w:pageBreakBefore w:val="0"/>
        <w:widowControl/>
        <w:kinsoku/>
        <w:wordWrap/>
        <w:overflowPunct/>
        <w:topLinePunct w:val="0"/>
        <w:autoSpaceDE/>
        <w:autoSpaceDN/>
        <w:bidi w:val="0"/>
        <w:adjustRightInd w:val="0"/>
        <w:snapToGrid w:val="0"/>
        <w:spacing w:after="0" w:line="360" w:lineRule="auto"/>
        <w:ind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rPr>
        <w:t>（1）整体规划：任何一个信息系统的建设都不可能是一蹴而就，数字化智能医院信息化建设是一个庞大的、复杂的、长期的系统工程，更需要先做一个整体的规划，无论从战略上或从战术上，从硬件上或从软件上都必须先进行整体的调研和规划，才能为后续的建设指明道路和打下基础。</w:t>
      </w:r>
    </w:p>
    <w:p w14:paraId="26D623B9">
      <w:pPr>
        <w:keepNext w:val="0"/>
        <w:keepLines w:val="0"/>
        <w:pageBreakBefore w:val="0"/>
        <w:widowControl/>
        <w:kinsoku/>
        <w:wordWrap/>
        <w:overflowPunct/>
        <w:topLinePunct w:val="0"/>
        <w:autoSpaceDE/>
        <w:autoSpaceDN/>
        <w:bidi w:val="0"/>
        <w:adjustRightInd w:val="0"/>
        <w:snapToGrid w:val="0"/>
        <w:spacing w:after="0" w:line="360" w:lineRule="auto"/>
        <w:ind w:firstLine="480" w:firstLineChars="200"/>
        <w:textAlignment w:val="auto"/>
        <w:rPr>
          <w:rFonts w:hint="eastAsia" w:ascii="宋体" w:hAnsi="宋体" w:eastAsia="宋体" w:cs="宋体"/>
          <w:kern w:val="0"/>
          <w:sz w:val="24"/>
          <w:szCs w:val="24"/>
        </w:rPr>
      </w:pPr>
      <w:r>
        <w:rPr>
          <w:rFonts w:hint="eastAsia" w:ascii="宋体" w:hAnsi="宋体" w:eastAsia="宋体" w:cs="宋体"/>
          <w:kern w:val="0"/>
          <w:sz w:val="24"/>
          <w:szCs w:val="24"/>
        </w:rPr>
        <w:t>（2）全面集成：医院信息化的建设是医院各种应用系统的建设，事实证明它不可能由一家公司提供所有的产品，它必须是对多家厂商的产品进行充分的集成，让其充分发挥各自的效益，才能构建成一个完整而丰富的医院信息化体系，因此在建设的过程中应注意标准化的建设，进而集成在医院的管理平台下。</w:t>
      </w:r>
    </w:p>
    <w:p w14:paraId="1A4F860B">
      <w:pPr>
        <w:keepNext w:val="0"/>
        <w:keepLines w:val="0"/>
        <w:pageBreakBefore w:val="0"/>
        <w:widowControl/>
        <w:kinsoku/>
        <w:wordWrap/>
        <w:overflowPunct/>
        <w:topLinePunct w:val="0"/>
        <w:autoSpaceDE/>
        <w:autoSpaceDN/>
        <w:bidi w:val="0"/>
        <w:adjustRightInd w:val="0"/>
        <w:snapToGrid w:val="0"/>
        <w:spacing w:after="0" w:line="360" w:lineRule="auto"/>
        <w:ind w:firstLine="480" w:firstLineChars="200"/>
        <w:textAlignment w:val="auto"/>
        <w:rPr>
          <w:rFonts w:hint="eastAsia"/>
          <w:lang w:val="en-US" w:eastAsia="zh-CN"/>
        </w:rPr>
      </w:pPr>
      <w:r>
        <w:rPr>
          <w:rFonts w:hint="eastAsia" w:ascii="宋体" w:hAnsi="宋体" w:eastAsia="宋体" w:cs="宋体"/>
          <w:kern w:val="0"/>
          <w:sz w:val="24"/>
          <w:szCs w:val="24"/>
        </w:rPr>
        <w:t>（3）分步实施：医院信息化的建设过程是一个长期的过程，必须分成多个阶段来完成，以保证系统建设的可行性和可控性，因此我们必须在总体规划的指导下，对整个过程进行科学地划分多个实施阶段，逐步完成医院信息化各项工程的建设。</w:t>
      </w:r>
    </w:p>
    <w:p w14:paraId="2EB0864F">
      <w:pPr>
        <w:pStyle w:val="5"/>
        <w:keepNext/>
        <w:keepLines/>
        <w:pageBreakBefore w:val="0"/>
        <w:widowControl/>
        <w:kinsoku/>
        <w:wordWrap/>
        <w:overflowPunct/>
        <w:topLinePunct w:val="0"/>
        <w:autoSpaceDE/>
        <w:autoSpaceDN/>
        <w:bidi w:val="0"/>
        <w:adjustRightInd w:val="0"/>
        <w:snapToGrid w:val="0"/>
        <w:spacing w:before="0" w:after="0" w:line="360" w:lineRule="auto"/>
        <w:textAlignment w:val="auto"/>
        <w:rPr>
          <w:rFonts w:hint="default" w:ascii="宋体" w:hAnsi="宋体" w:eastAsia="宋体" w:cs="宋体"/>
          <w:sz w:val="24"/>
          <w:szCs w:val="24"/>
          <w:lang w:val="en-US" w:eastAsia="zh-CN"/>
        </w:rPr>
      </w:pPr>
      <w:bookmarkStart w:id="7" w:name="_Toc1973"/>
      <w:r>
        <w:rPr>
          <w:rFonts w:hint="eastAsia" w:ascii="宋体" w:hAnsi="宋体" w:eastAsia="宋体" w:cs="宋体"/>
          <w:sz w:val="24"/>
          <w:szCs w:val="24"/>
          <w:lang w:val="en-US" w:eastAsia="zh-CN"/>
        </w:rPr>
        <w:t>4系统主要功能参数</w:t>
      </w:r>
      <w:bookmarkEnd w:id="7"/>
    </w:p>
    <w:p w14:paraId="2A3CF5F6">
      <w:pPr>
        <w:pStyle w:val="6"/>
        <w:keepNext/>
        <w:keepLines/>
        <w:pageBreakBefore w:val="0"/>
        <w:widowControl w:val="0"/>
        <w:kinsoku/>
        <w:wordWrap/>
        <w:overflowPunct/>
        <w:topLinePunct w:val="0"/>
        <w:autoSpaceDE/>
        <w:autoSpaceDN/>
        <w:bidi w:val="0"/>
        <w:adjustRightInd/>
        <w:snapToGrid/>
        <w:spacing w:before="20" w:after="20" w:line="240" w:lineRule="auto"/>
        <w:textAlignment w:val="auto"/>
        <w:rPr>
          <w:rFonts w:hint="default" w:ascii="宋体" w:hAnsi="宋体" w:eastAsia="宋体" w:cs="宋体"/>
          <w:sz w:val="24"/>
          <w:szCs w:val="24"/>
          <w:lang w:val="en-US" w:eastAsia="zh-CN"/>
        </w:rPr>
      </w:pPr>
      <w:bookmarkStart w:id="8" w:name="_Toc29257"/>
      <w:r>
        <w:rPr>
          <w:rFonts w:hint="eastAsia" w:ascii="宋体" w:hAnsi="宋体" w:eastAsia="宋体" w:cs="宋体"/>
          <w:sz w:val="24"/>
          <w:szCs w:val="24"/>
          <w:lang w:val="en-US" w:eastAsia="zh-CN"/>
        </w:rPr>
        <w:t>4.1质控数据中心</w:t>
      </w:r>
      <w:bookmarkEnd w:id="8"/>
    </w:p>
    <w:tbl>
      <w:tblPr>
        <w:tblStyle w:val="7"/>
        <w:tblpPr w:leftFromText="181" w:rightFromText="181" w:vertAnchor="text" w:horzAnchor="page" w:tblpX="1713" w:tblpY="228"/>
        <w:tblOverlap w:val="never"/>
        <w:tblW w:w="9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1508"/>
        <w:gridCol w:w="6393"/>
      </w:tblGrid>
      <w:tr w14:paraId="048C8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451" w:type="dxa"/>
            <w:vAlign w:val="center"/>
          </w:tcPr>
          <w:p w14:paraId="69F515A9">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9" w:name="_Toc20044"/>
            <w:bookmarkStart w:id="10" w:name="_Toc32560"/>
            <w:bookmarkStart w:id="11" w:name="_Toc3757"/>
            <w:bookmarkStart w:id="12" w:name="_Toc6466"/>
            <w:bookmarkStart w:id="13" w:name="_Toc27609"/>
            <w:r>
              <w:rPr>
                <w:rFonts w:hint="eastAsia" w:ascii="宋体" w:hAnsi="宋体" w:eastAsia="宋体" w:cs="宋体"/>
                <w:b/>
                <w:bCs/>
                <w:sz w:val="24"/>
                <w:szCs w:val="24"/>
              </w:rPr>
              <w:t>功能模块</w:t>
            </w:r>
            <w:bookmarkEnd w:id="9"/>
            <w:bookmarkEnd w:id="10"/>
            <w:bookmarkEnd w:id="11"/>
            <w:bookmarkEnd w:id="12"/>
            <w:bookmarkEnd w:id="13"/>
          </w:p>
        </w:tc>
        <w:tc>
          <w:tcPr>
            <w:tcW w:w="1508" w:type="dxa"/>
            <w:vAlign w:val="center"/>
          </w:tcPr>
          <w:p w14:paraId="635E0A98">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14" w:name="_Toc12847"/>
            <w:bookmarkStart w:id="15" w:name="_Toc16654"/>
            <w:bookmarkStart w:id="16" w:name="_Toc11221"/>
            <w:bookmarkStart w:id="17" w:name="_Toc676"/>
            <w:bookmarkStart w:id="18" w:name="_Toc15846"/>
            <w:r>
              <w:rPr>
                <w:rFonts w:hint="eastAsia" w:ascii="宋体" w:hAnsi="宋体" w:eastAsia="宋体" w:cs="宋体"/>
                <w:b/>
                <w:bCs/>
                <w:sz w:val="24"/>
                <w:szCs w:val="24"/>
              </w:rPr>
              <w:t>功能点</w:t>
            </w:r>
            <w:bookmarkEnd w:id="14"/>
            <w:bookmarkEnd w:id="15"/>
            <w:bookmarkEnd w:id="16"/>
            <w:bookmarkEnd w:id="17"/>
            <w:bookmarkEnd w:id="18"/>
          </w:p>
        </w:tc>
        <w:tc>
          <w:tcPr>
            <w:tcW w:w="6393" w:type="dxa"/>
            <w:vAlign w:val="center"/>
          </w:tcPr>
          <w:p w14:paraId="48714606">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rPr>
            </w:pPr>
            <w:bookmarkStart w:id="19" w:name="_Toc747"/>
            <w:bookmarkStart w:id="20" w:name="_Toc21603"/>
            <w:bookmarkStart w:id="21" w:name="_Toc15636"/>
            <w:bookmarkStart w:id="22" w:name="_Toc19989"/>
            <w:bookmarkStart w:id="23" w:name="_Toc8357"/>
            <w:r>
              <w:rPr>
                <w:rFonts w:hint="eastAsia" w:ascii="宋体" w:hAnsi="宋体" w:eastAsia="宋体" w:cs="宋体"/>
                <w:b/>
                <w:bCs/>
                <w:sz w:val="24"/>
                <w:szCs w:val="24"/>
              </w:rPr>
              <w:t>功能描述</w:t>
            </w:r>
            <w:bookmarkEnd w:id="19"/>
            <w:bookmarkEnd w:id="20"/>
            <w:bookmarkEnd w:id="21"/>
            <w:bookmarkEnd w:id="22"/>
            <w:bookmarkEnd w:id="23"/>
          </w:p>
        </w:tc>
      </w:tr>
      <w:tr w14:paraId="66CF3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451" w:type="dxa"/>
            <w:vMerge w:val="restart"/>
            <w:vAlign w:val="center"/>
          </w:tcPr>
          <w:p w14:paraId="6EBB2190">
            <w:pPr>
              <w:keepNext w:val="0"/>
              <w:keepLines w:val="0"/>
              <w:widowControl/>
              <w:suppressLineNumbers w:val="0"/>
              <w:spacing w:before="0" w:beforeAutospacing="0" w:afterAutospacing="0"/>
              <w:ind w:left="0" w:right="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数据资源中心</w:t>
            </w:r>
          </w:p>
        </w:tc>
        <w:tc>
          <w:tcPr>
            <w:tcW w:w="1508" w:type="dxa"/>
            <w:vMerge w:val="restart"/>
            <w:vAlign w:val="center"/>
          </w:tcPr>
          <w:p w14:paraId="1088183F">
            <w:pPr>
              <w:keepNext w:val="0"/>
              <w:keepLines w:val="0"/>
              <w:widowControl/>
              <w:suppressLineNumbers w:val="0"/>
              <w:spacing w:before="0" w:beforeAutospacing="0" w:afterAutospacing="0"/>
              <w:ind w:left="0" w:right="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数据集成</w:t>
            </w:r>
          </w:p>
          <w:p w14:paraId="4D6DBABA">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6393" w:type="dxa"/>
            <w:vAlign w:val="center"/>
          </w:tcPr>
          <w:p w14:paraId="0BC1D39D">
            <w:pPr>
              <w:keepNext w:val="0"/>
              <w:keepLines w:val="0"/>
              <w:widowControl/>
              <w:suppressLineNumbers w:val="0"/>
              <w:spacing w:before="0" w:beforeAutospacing="0" w:afterAutospacing="0" w:line="360" w:lineRule="auto"/>
              <w:ind w:left="0" w:right="0"/>
              <w:rPr>
                <w:rFonts w:hint="eastAsia"/>
                <w:lang w:eastAsia="zh-CN"/>
              </w:rPr>
            </w:pPr>
            <w:bookmarkStart w:id="24" w:name="_Toc6573"/>
            <w:bookmarkStart w:id="25" w:name="_Toc10709"/>
            <w:bookmarkStart w:id="26" w:name="_Toc2331"/>
            <w:bookmarkStart w:id="27" w:name="_Toc8993"/>
            <w:bookmarkStart w:id="28" w:name="_Toc14893"/>
            <w:r>
              <w:rPr>
                <w:rFonts w:hint="eastAsia"/>
                <w:b/>
                <w:bCs/>
              </w:rPr>
              <w:t>数据源管理</w:t>
            </w:r>
            <w:r>
              <w:rPr>
                <w:rFonts w:hint="eastAsia"/>
                <w:b/>
                <w:bCs/>
                <w:lang w:eastAsia="zh-CN"/>
              </w:rPr>
              <w:t>：</w:t>
            </w:r>
            <w:r>
              <w:rPr>
                <w:rFonts w:hint="eastAsia" w:ascii="宋体" w:hAnsi="宋体" w:eastAsia="宋体" w:cs="宋体"/>
                <w:color w:val="000000"/>
                <w:sz w:val="24"/>
                <w:szCs w:val="20"/>
                <w:lang w:val="en-US" w:eastAsia="zh-CN"/>
              </w:rPr>
              <w:t>1）</w:t>
            </w:r>
            <w:r>
              <w:rPr>
                <w:rFonts w:hint="eastAsia" w:ascii="宋体" w:hAnsi="宋体" w:eastAsia="宋体" w:cs="宋体"/>
                <w:color w:val="000000"/>
                <w:sz w:val="24"/>
                <w:szCs w:val="20"/>
                <w:lang w:val="en-US" w:eastAsia="zh-Hans"/>
              </w:rPr>
              <w:t>支持对目前市面上各类数据库的数据源进行采集，包括Mysql、Postgresql、Oracle、Sqlserver、restFul接口</w:t>
            </w:r>
            <w:bookmarkEnd w:id="24"/>
            <w:bookmarkEnd w:id="25"/>
            <w:bookmarkEnd w:id="26"/>
            <w:bookmarkEnd w:id="27"/>
            <w:bookmarkEnd w:id="28"/>
            <w:r>
              <w:rPr>
                <w:rFonts w:hint="eastAsia" w:ascii="宋体" w:hAnsi="宋体" w:eastAsia="宋体" w:cs="宋体"/>
                <w:color w:val="000000"/>
                <w:sz w:val="24"/>
                <w:szCs w:val="20"/>
                <w:lang w:val="en-US" w:eastAsia="zh-CN"/>
              </w:rPr>
              <w:t>。2）</w:t>
            </w:r>
            <w:r>
              <w:rPr>
                <w:rFonts w:hint="eastAsia" w:ascii="宋体" w:hAnsi="宋体" w:eastAsia="宋体" w:cs="宋体"/>
                <w:color w:val="000000"/>
                <w:sz w:val="24"/>
                <w:szCs w:val="20"/>
                <w:lang w:val="en-US" w:eastAsia="zh-Hans"/>
              </w:rPr>
              <w:t>支持对数据源的创建，包括数据源类型、数据源名称、描述、IP主机名、端口、用户名、数据库</w:t>
            </w:r>
          </w:p>
        </w:tc>
      </w:tr>
      <w:tr w14:paraId="763E2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451" w:type="dxa"/>
            <w:vMerge w:val="continue"/>
            <w:vAlign w:val="center"/>
          </w:tcPr>
          <w:p w14:paraId="3ABABD44">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044C12C9">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6393" w:type="dxa"/>
            <w:vAlign w:val="center"/>
          </w:tcPr>
          <w:p w14:paraId="26E040CA">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b/>
                <w:bCs/>
                <w:sz w:val="24"/>
                <w:szCs w:val="24"/>
                <w:lang w:val="en-US" w:eastAsia="zh-CN"/>
              </w:rPr>
              <w:t>数据采集：</w:t>
            </w:r>
            <w:r>
              <w:rPr>
                <w:rFonts w:hint="eastAsia" w:ascii="宋体" w:hAnsi="宋体" w:eastAsia="宋体" w:cs="宋体"/>
                <w:color w:val="000000"/>
                <w:sz w:val="24"/>
                <w:szCs w:val="20"/>
                <w:lang w:val="en-US" w:eastAsia="zh-CN"/>
              </w:rPr>
              <w:t>1）</w:t>
            </w:r>
            <w:r>
              <w:rPr>
                <w:rFonts w:ascii="宋体" w:hAnsi="宋体" w:eastAsia="宋体" w:cs="宋体"/>
                <w:color w:val="000000"/>
                <w:sz w:val="24"/>
                <w:szCs w:val="20"/>
              </w:rPr>
              <w:t>支持创建和管理实时数据采集和历史数据采集任务，并且可以将不同的数据采集任务打包组成数据采集任务包</w:t>
            </w:r>
          </w:p>
          <w:p w14:paraId="444E0C4B">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color w:val="000000"/>
                <w:sz w:val="24"/>
                <w:szCs w:val="20"/>
                <w:lang w:val="en-US" w:eastAsia="zh-CN"/>
              </w:rPr>
              <w:t>2）</w:t>
            </w:r>
            <w:r>
              <w:rPr>
                <w:rFonts w:ascii="宋体" w:hAnsi="宋体" w:eastAsia="宋体" w:cs="宋体"/>
                <w:color w:val="000000"/>
                <w:sz w:val="24"/>
                <w:szCs w:val="20"/>
              </w:rPr>
              <w:t>支持通过写SQL语句或者选择数据源的表、视图等方式创建数据采集任务，并且系统支持自动创建从原始数据库到目标数据库的采集任务</w:t>
            </w:r>
          </w:p>
          <w:p w14:paraId="39BDFD7A">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color w:val="000000"/>
                <w:sz w:val="24"/>
                <w:szCs w:val="20"/>
                <w:lang w:val="en-US" w:eastAsia="zh-CN"/>
              </w:rPr>
              <w:t>3）</w:t>
            </w:r>
            <w:r>
              <w:rPr>
                <w:rFonts w:ascii="宋体" w:hAnsi="宋体" w:eastAsia="宋体" w:cs="宋体"/>
                <w:color w:val="000000"/>
                <w:sz w:val="24"/>
                <w:szCs w:val="20"/>
              </w:rPr>
              <w:t>增量数据采集支持在配置采集任务是配置CDC表</w:t>
            </w:r>
          </w:p>
          <w:p w14:paraId="188835B2">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color w:val="000000"/>
                <w:sz w:val="24"/>
                <w:szCs w:val="20"/>
                <w:lang w:val="en-US" w:eastAsia="zh-CN"/>
              </w:rPr>
              <w:t>4）</w:t>
            </w:r>
            <w:r>
              <w:rPr>
                <w:rFonts w:ascii="宋体" w:hAnsi="宋体" w:eastAsia="宋体" w:cs="宋体"/>
                <w:color w:val="000000"/>
                <w:sz w:val="24"/>
                <w:szCs w:val="20"/>
              </w:rPr>
              <w:t>新建采集任务时支持写入多个目标数据源，且支持插入、更新等多种方式的落库方式</w:t>
            </w:r>
          </w:p>
          <w:p w14:paraId="241FD3F9">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color w:val="000000"/>
                <w:sz w:val="24"/>
                <w:szCs w:val="20"/>
                <w:lang w:val="en-US" w:eastAsia="zh-CN"/>
              </w:rPr>
              <w:t>5）</w:t>
            </w:r>
            <w:r>
              <w:rPr>
                <w:rFonts w:ascii="宋体" w:hAnsi="宋体" w:eastAsia="宋体" w:cs="宋体"/>
                <w:color w:val="000000"/>
                <w:sz w:val="24"/>
                <w:szCs w:val="20"/>
              </w:rPr>
              <w:t>支持复制、导入、导出数据采集任务和任务包的功能</w:t>
            </w:r>
          </w:p>
          <w:p w14:paraId="3B04424E">
            <w:pPr>
              <w:keepNext w:val="0"/>
              <w:keepLines w:val="0"/>
              <w:widowControl/>
              <w:suppressLineNumbers w:val="0"/>
              <w:spacing w:before="0" w:beforeAutospacing="0" w:afterAutospacing="0"/>
              <w:ind w:left="0" w:right="0"/>
              <w:rPr>
                <w:rFonts w:hint="default" w:ascii="宋体" w:hAnsi="宋体" w:eastAsia="宋体" w:cs="宋体"/>
                <w:sz w:val="24"/>
                <w:szCs w:val="24"/>
                <w:lang w:val="en-US" w:eastAsia="zh-CN"/>
              </w:rPr>
            </w:pPr>
          </w:p>
        </w:tc>
      </w:tr>
      <w:tr w14:paraId="5C3C1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1451" w:type="dxa"/>
            <w:vMerge w:val="continue"/>
            <w:vAlign w:val="center"/>
          </w:tcPr>
          <w:p w14:paraId="25A9438D">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795CB2AF">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6393" w:type="dxa"/>
            <w:vAlign w:val="center"/>
          </w:tcPr>
          <w:p w14:paraId="1EBD38C1">
            <w:pPr>
              <w:keepNext w:val="0"/>
              <w:keepLines w:val="0"/>
              <w:widowControl/>
              <w:suppressLineNumbers w:val="0"/>
              <w:spacing w:before="0" w:beforeAutospacing="0" w:afterAutospacing="0"/>
              <w:ind w:left="0" w:right="0"/>
              <w:rPr>
                <w:rFonts w:hint="eastAsia"/>
                <w:lang w:val="en-US" w:eastAsia="zh-CN"/>
              </w:rPr>
            </w:pPr>
            <w:r>
              <w:rPr>
                <w:rFonts w:hint="eastAsia"/>
                <w:b/>
                <w:bCs/>
                <w:lang w:val="en-US" w:eastAsia="zh-CN"/>
              </w:rPr>
              <w:t>数据集成</w:t>
            </w:r>
            <w:r>
              <w:rPr>
                <w:rFonts w:hint="eastAsia"/>
                <w:lang w:val="en-US" w:eastAsia="zh-CN"/>
              </w:rPr>
              <w:t>：实现对临床主要数据的集成主要包括：</w:t>
            </w:r>
          </w:p>
          <w:p w14:paraId="14C1BF2B">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w:t>
            </w:r>
            <w:r>
              <w:rPr>
                <w:rFonts w:ascii="宋体" w:hAnsi="宋体" w:eastAsia="宋体" w:cs="宋体"/>
                <w:color w:val="000000"/>
                <w:sz w:val="24"/>
                <w:szCs w:val="20"/>
              </w:rPr>
              <w:t>就诊信息：病人基本信息、门诊就诊记录、住院就诊记录、住院婴儿信息、住院转科记录</w:t>
            </w:r>
          </w:p>
          <w:p w14:paraId="25ED7A93">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2）</w:t>
            </w:r>
            <w:r>
              <w:rPr>
                <w:rFonts w:ascii="宋体" w:hAnsi="宋体" w:eastAsia="宋体" w:cs="宋体"/>
                <w:color w:val="000000"/>
                <w:sz w:val="24"/>
                <w:szCs w:val="20"/>
              </w:rPr>
              <w:t>医嘱信息：门诊处方、住院用药医嘱、住院非药品医嘱</w:t>
            </w:r>
          </w:p>
          <w:p w14:paraId="729E2BDC">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3）</w:t>
            </w:r>
            <w:r>
              <w:rPr>
                <w:rFonts w:ascii="宋体" w:hAnsi="宋体" w:eastAsia="宋体" w:cs="宋体"/>
                <w:color w:val="000000"/>
                <w:sz w:val="24"/>
                <w:szCs w:val="20"/>
              </w:rPr>
              <w:t>诊断信息：病人诊断记录</w:t>
            </w:r>
          </w:p>
          <w:p w14:paraId="456B051F">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4）</w:t>
            </w:r>
            <w:r>
              <w:rPr>
                <w:rFonts w:ascii="宋体" w:hAnsi="宋体" w:eastAsia="宋体" w:cs="宋体"/>
                <w:color w:val="000000"/>
                <w:sz w:val="24"/>
                <w:szCs w:val="20"/>
              </w:rPr>
              <w:t>过敏信息：病人过敏记录</w:t>
            </w:r>
          </w:p>
          <w:p w14:paraId="1958E373">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5）</w:t>
            </w:r>
            <w:r>
              <w:rPr>
                <w:rFonts w:ascii="宋体" w:hAnsi="宋体" w:eastAsia="宋体" w:cs="宋体"/>
                <w:color w:val="000000"/>
                <w:sz w:val="24"/>
                <w:szCs w:val="20"/>
              </w:rPr>
              <w:t>费用信息：门诊费用汇总、门诊费用明细、住院结算信息、住院费用明细</w:t>
            </w:r>
          </w:p>
          <w:p w14:paraId="3CE04EA6">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6）</w:t>
            </w:r>
            <w:r>
              <w:rPr>
                <w:rFonts w:ascii="宋体" w:hAnsi="宋体" w:eastAsia="宋体" w:cs="宋体"/>
                <w:color w:val="000000"/>
                <w:sz w:val="24"/>
                <w:szCs w:val="20"/>
              </w:rPr>
              <w:t>病历文书：门诊病历、住院病历、护理病历</w:t>
            </w:r>
          </w:p>
          <w:p w14:paraId="31D1763A">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7）</w:t>
            </w:r>
            <w:r>
              <w:rPr>
                <w:rFonts w:ascii="宋体" w:hAnsi="宋体" w:eastAsia="宋体" w:cs="宋体"/>
                <w:color w:val="000000"/>
                <w:sz w:val="24"/>
                <w:szCs w:val="20"/>
              </w:rPr>
              <w:t>检查信息：放射学报告、心电报告、内窥镜报告、超声报告、病理报告、其他检查报告</w:t>
            </w:r>
          </w:p>
          <w:p w14:paraId="4C09FB16">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8）</w:t>
            </w:r>
            <w:r>
              <w:rPr>
                <w:rFonts w:ascii="宋体" w:hAnsi="宋体" w:eastAsia="宋体" w:cs="宋体"/>
                <w:color w:val="000000"/>
                <w:sz w:val="24"/>
                <w:szCs w:val="20"/>
              </w:rPr>
              <w:t>实验室检查：检验报告、微生物报告</w:t>
            </w:r>
          </w:p>
          <w:p w14:paraId="6DE5933C">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9）</w:t>
            </w:r>
            <w:r>
              <w:rPr>
                <w:rFonts w:ascii="宋体" w:hAnsi="宋体" w:eastAsia="宋体" w:cs="宋体"/>
                <w:color w:val="000000"/>
                <w:sz w:val="24"/>
                <w:szCs w:val="20"/>
              </w:rPr>
              <w:t>手术信息：手术记录、麻醉记录</w:t>
            </w:r>
          </w:p>
          <w:p w14:paraId="02CF82F8">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10）</w:t>
            </w:r>
            <w:r>
              <w:rPr>
                <w:rFonts w:ascii="宋体" w:hAnsi="宋体" w:eastAsia="宋体" w:cs="宋体"/>
                <w:color w:val="000000"/>
                <w:sz w:val="24"/>
                <w:szCs w:val="20"/>
              </w:rPr>
              <w:t>护理信息：体征记录、护理记录</w:t>
            </w:r>
          </w:p>
          <w:p w14:paraId="5A261E01">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11）</w:t>
            </w:r>
            <w:r>
              <w:rPr>
                <w:rFonts w:ascii="宋体" w:hAnsi="宋体" w:eastAsia="宋体" w:cs="宋体"/>
                <w:color w:val="000000"/>
                <w:sz w:val="24"/>
                <w:szCs w:val="20"/>
              </w:rPr>
              <w:t>病案信息：病案首页、病案诊断、病案手术、病案婴儿</w:t>
            </w:r>
          </w:p>
          <w:p w14:paraId="3F11A95D">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12）</w:t>
            </w:r>
            <w:r>
              <w:rPr>
                <w:rFonts w:ascii="宋体" w:hAnsi="宋体" w:eastAsia="宋体" w:cs="宋体"/>
                <w:color w:val="000000"/>
                <w:sz w:val="24"/>
                <w:szCs w:val="20"/>
              </w:rPr>
              <w:t>输血信息：输血申请、备血信息</w:t>
            </w:r>
          </w:p>
          <w:p w14:paraId="14932E4C">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13）</w:t>
            </w:r>
            <w:r>
              <w:rPr>
                <w:rFonts w:ascii="宋体" w:hAnsi="宋体" w:eastAsia="宋体" w:cs="宋体"/>
                <w:color w:val="000000"/>
                <w:sz w:val="24"/>
                <w:szCs w:val="20"/>
              </w:rPr>
              <w:t>院感信息：感染报卡、手卫生信息</w:t>
            </w:r>
          </w:p>
          <w:p w14:paraId="4A31F9DB">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14）</w:t>
            </w:r>
            <w:r>
              <w:rPr>
                <w:rFonts w:ascii="宋体" w:hAnsi="宋体" w:eastAsia="宋体" w:cs="宋体"/>
                <w:color w:val="000000"/>
                <w:sz w:val="24"/>
                <w:szCs w:val="20"/>
              </w:rPr>
              <w:t>不良事件信息：不良事件上报信息</w:t>
            </w:r>
          </w:p>
          <w:p w14:paraId="73E507A1">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15）</w:t>
            </w:r>
            <w:r>
              <w:rPr>
                <w:rFonts w:ascii="宋体" w:hAnsi="宋体" w:eastAsia="宋体" w:cs="宋体"/>
                <w:color w:val="000000"/>
                <w:sz w:val="24"/>
                <w:szCs w:val="20"/>
              </w:rPr>
              <w:t>点评信息：点评审核信息</w:t>
            </w:r>
          </w:p>
          <w:p w14:paraId="5E5A7FA1">
            <w:pPr>
              <w:pStyle w:val="9"/>
              <w:keepNext w:val="0"/>
              <w:keepLines w:val="0"/>
              <w:widowControl/>
              <w:suppressLineNumbers w:val="0"/>
              <w:spacing w:before="0" w:beforeAutospacing="0" w:after="0" w:afterAutospacing="0" w:line="360" w:lineRule="auto"/>
              <w:ind w:left="0" w:right="0"/>
              <w:jc w:val="both"/>
              <w:rPr>
                <w:rFonts w:ascii="宋体" w:hAnsi="宋体" w:eastAsia="宋体" w:cs="宋体"/>
                <w:color w:val="000000"/>
                <w:sz w:val="24"/>
                <w:szCs w:val="20"/>
              </w:rPr>
            </w:pPr>
            <w:r>
              <w:rPr>
                <w:rFonts w:hint="eastAsia" w:ascii="宋体" w:hAnsi="宋体" w:eastAsia="宋体" w:cs="宋体"/>
                <w:color w:val="000000"/>
                <w:sz w:val="24"/>
                <w:szCs w:val="20"/>
                <w:lang w:val="en-US" w:eastAsia="zh-CN"/>
              </w:rPr>
              <w:t>16）</w:t>
            </w:r>
            <w:r>
              <w:rPr>
                <w:rFonts w:ascii="宋体" w:hAnsi="宋体" w:eastAsia="宋体" w:cs="宋体"/>
                <w:color w:val="000000"/>
                <w:sz w:val="24"/>
                <w:szCs w:val="20"/>
              </w:rPr>
              <w:t>上报信息：院内单病种上报结果</w:t>
            </w:r>
          </w:p>
          <w:p w14:paraId="2DFA091B">
            <w:pPr>
              <w:pStyle w:val="10"/>
              <w:keepNext w:val="0"/>
              <w:keepLines w:val="0"/>
              <w:suppressLineNumbers w:val="0"/>
              <w:spacing w:before="0" w:beforeAutospacing="0" w:after="0" w:afterAutospacing="0"/>
              <w:ind w:left="0" w:right="0"/>
              <w:rPr>
                <w:rFonts w:hint="default"/>
                <w:lang w:val="en-US" w:eastAsia="zh-CN"/>
              </w:rPr>
            </w:pPr>
          </w:p>
        </w:tc>
      </w:tr>
      <w:tr w14:paraId="63713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1451" w:type="dxa"/>
            <w:vMerge w:val="continue"/>
            <w:vAlign w:val="center"/>
          </w:tcPr>
          <w:p w14:paraId="50A37C49">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restart"/>
            <w:vAlign w:val="center"/>
          </w:tcPr>
          <w:p w14:paraId="32AF42B2">
            <w:pPr>
              <w:keepNext w:val="0"/>
              <w:keepLines w:val="0"/>
              <w:widowControl/>
              <w:suppressLineNumbers w:val="0"/>
              <w:spacing w:before="0" w:beforeAutospacing="0" w:afterAutospacing="0"/>
              <w:ind w:left="0" w:right="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数据治理</w:t>
            </w:r>
          </w:p>
        </w:tc>
        <w:tc>
          <w:tcPr>
            <w:tcW w:w="6393" w:type="dxa"/>
            <w:vAlign w:val="center"/>
          </w:tcPr>
          <w:p w14:paraId="0F335317">
            <w:pPr>
              <w:keepNext w:val="0"/>
              <w:keepLines w:val="0"/>
              <w:widowControl/>
              <w:suppressLineNumbers w:val="0"/>
              <w:spacing w:before="0" w:beforeAutospacing="0" w:afterAutospacing="0"/>
              <w:ind w:left="0" w:right="0"/>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数据治理引擎：</w:t>
            </w:r>
            <w:r>
              <w:rPr>
                <w:rFonts w:hint="default" w:ascii="宋体" w:hAnsi="宋体" w:eastAsia="宋体" w:cs="宋体"/>
                <w:color w:val="000000"/>
                <w:sz w:val="24"/>
              </w:rPr>
              <w:t>数据治理引擎为处理医院历史和实时数据提供一个可视化、高性能、高吞吐和低延迟的智能化工具。</w:t>
            </w:r>
          </w:p>
        </w:tc>
      </w:tr>
      <w:tr w14:paraId="729DF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451" w:type="dxa"/>
            <w:vMerge w:val="continue"/>
            <w:vAlign w:val="center"/>
          </w:tcPr>
          <w:p w14:paraId="29D7CEE9">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6E0DDE7E">
            <w:pPr>
              <w:keepNext w:val="0"/>
              <w:keepLines w:val="0"/>
              <w:widowControl/>
              <w:suppressLineNumbers w:val="0"/>
              <w:spacing w:before="0" w:beforeAutospacing="0" w:afterAutospacing="0"/>
              <w:ind w:left="0" w:right="0"/>
              <w:jc w:val="both"/>
              <w:rPr>
                <w:rFonts w:hint="eastAsia" w:ascii="宋体" w:hAnsi="宋体" w:eastAsia="宋体" w:cs="宋体"/>
                <w:sz w:val="24"/>
                <w:szCs w:val="24"/>
                <w:lang w:val="en-US" w:eastAsia="zh-CN"/>
              </w:rPr>
            </w:pPr>
          </w:p>
        </w:tc>
        <w:tc>
          <w:tcPr>
            <w:tcW w:w="6393" w:type="dxa"/>
            <w:vAlign w:val="center"/>
          </w:tcPr>
          <w:p w14:paraId="1AEE713E">
            <w:pPr>
              <w:pStyle w:val="9"/>
              <w:keepNext w:val="0"/>
              <w:keepLines w:val="0"/>
              <w:widowControl/>
              <w:suppressLineNumbers w:val="0"/>
              <w:spacing w:before="0" w:beforeAutospacing="0" w:after="0" w:afterAutospacing="0"/>
              <w:ind w:left="0" w:right="0"/>
              <w:jc w:val="both"/>
              <w:rPr>
                <w:sz w:val="20"/>
                <w:szCs w:val="20"/>
              </w:rPr>
            </w:pPr>
            <w:r>
              <w:rPr>
                <w:rFonts w:hint="eastAsia" w:ascii="宋体" w:hAnsi="宋体" w:eastAsia="宋体" w:cs="宋体"/>
                <w:b/>
                <w:bCs/>
                <w:sz w:val="24"/>
                <w:szCs w:val="24"/>
                <w:lang w:val="en-US" w:eastAsia="zh-CN"/>
              </w:rPr>
              <w:t>数据治理管理：</w:t>
            </w:r>
            <w:r>
              <w:rPr>
                <w:rFonts w:ascii="宋体" w:hAnsi="宋体" w:eastAsia="宋体" w:cs="宋体"/>
                <w:color w:val="000000"/>
                <w:sz w:val="24"/>
                <w:szCs w:val="20"/>
              </w:rPr>
              <w:t>1.支持通过各类数据治理功能对采集的原始业务数据进行一定规则治理后落库到目标数据库</w:t>
            </w:r>
          </w:p>
          <w:p w14:paraId="2F47079C">
            <w:pPr>
              <w:pStyle w:val="9"/>
              <w:keepNext w:val="0"/>
              <w:keepLines w:val="0"/>
              <w:widowControl/>
              <w:suppressLineNumbers w:val="0"/>
              <w:spacing w:before="0" w:beforeAutospacing="0" w:after="0" w:afterAutospacing="0"/>
              <w:ind w:left="0" w:right="0"/>
              <w:jc w:val="both"/>
              <w:rPr>
                <w:rFonts w:hint="default" w:ascii="宋体" w:hAnsi="宋体" w:eastAsia="宋体" w:cs="宋体"/>
                <w:sz w:val="24"/>
                <w:szCs w:val="24"/>
                <w:lang w:val="en-US" w:eastAsia="zh-CN"/>
              </w:rPr>
            </w:pPr>
            <w:r>
              <w:rPr>
                <w:rFonts w:ascii="宋体" w:hAnsi="宋体" w:eastAsia="宋体" w:cs="宋体"/>
                <w:color w:val="000000"/>
                <w:sz w:val="24"/>
                <w:szCs w:val="20"/>
              </w:rPr>
              <w:t>2.支持给类数据治理节点，包括：输入节点、常量节点、通用转换、外部查询、SQL查询、输入过滤、过滤节点、JSON解析节点、XML解析节点、输出节点等，系统还支持导入各类治理模板</w:t>
            </w:r>
          </w:p>
        </w:tc>
      </w:tr>
      <w:tr w14:paraId="53855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451" w:type="dxa"/>
            <w:vMerge w:val="continue"/>
            <w:vAlign w:val="center"/>
          </w:tcPr>
          <w:p w14:paraId="23E71FF6">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1BBB4B01">
            <w:pPr>
              <w:keepNext w:val="0"/>
              <w:keepLines w:val="0"/>
              <w:widowControl/>
              <w:suppressLineNumbers w:val="0"/>
              <w:spacing w:before="0" w:beforeAutospacing="0" w:afterAutospacing="0"/>
              <w:ind w:left="0" w:right="0"/>
              <w:jc w:val="both"/>
              <w:rPr>
                <w:rFonts w:hint="eastAsia" w:ascii="宋体" w:hAnsi="宋体" w:eastAsia="宋体" w:cs="宋体"/>
                <w:sz w:val="24"/>
                <w:szCs w:val="24"/>
                <w:lang w:val="en-US" w:eastAsia="zh-CN"/>
              </w:rPr>
            </w:pPr>
          </w:p>
        </w:tc>
        <w:tc>
          <w:tcPr>
            <w:tcW w:w="6393" w:type="dxa"/>
            <w:vAlign w:val="center"/>
          </w:tcPr>
          <w:p w14:paraId="34A5FAD1">
            <w:pPr>
              <w:pStyle w:val="9"/>
              <w:keepNext w:val="0"/>
              <w:keepLines w:val="0"/>
              <w:widowControl/>
              <w:suppressLineNumbers w:val="0"/>
              <w:spacing w:before="0" w:beforeAutospacing="0" w:after="0" w:afterAutospacing="0"/>
              <w:ind w:left="0" w:right="0"/>
              <w:jc w:val="both"/>
              <w:rPr>
                <w:rFonts w:hint="eastAsia" w:ascii="宋体" w:hAnsi="宋体" w:eastAsia="宋体" w:cs="宋体"/>
                <w:b/>
                <w:bCs/>
                <w:color w:val="000000"/>
                <w:sz w:val="24"/>
                <w:szCs w:val="20"/>
                <w:lang w:val="en-US" w:eastAsia="zh-CN"/>
              </w:rPr>
            </w:pPr>
            <w:r>
              <w:rPr>
                <w:rFonts w:hint="eastAsia" w:ascii="宋体" w:hAnsi="宋体" w:eastAsia="宋体" w:cs="宋体"/>
                <w:b/>
                <w:bCs/>
                <w:color w:val="000000"/>
                <w:sz w:val="24"/>
                <w:szCs w:val="20"/>
                <w:lang w:val="en-US" w:eastAsia="zh-CN"/>
              </w:rPr>
              <w:t>数据质量监测：</w:t>
            </w:r>
          </w:p>
          <w:p w14:paraId="6818E6DC">
            <w:pPr>
              <w:pStyle w:val="9"/>
              <w:keepNext w:val="0"/>
              <w:keepLines w:val="0"/>
              <w:widowControl/>
              <w:suppressLineNumbers w:val="0"/>
              <w:spacing w:before="0" w:beforeAutospacing="0" w:after="0" w:afterAutospacing="0" w:line="360" w:lineRule="auto"/>
              <w:ind w:left="0" w:right="0"/>
              <w:jc w:val="both"/>
              <w:rPr>
                <w:rFonts w:hint="default" w:ascii="宋体" w:hAnsi="宋体" w:eastAsia="宋体" w:cs="宋体"/>
                <w:color w:val="000000"/>
                <w:sz w:val="24"/>
                <w:szCs w:val="20"/>
                <w:lang w:val="en-US" w:eastAsia="zh-CN"/>
              </w:rPr>
            </w:pPr>
            <w:r>
              <w:rPr>
                <w:rFonts w:hint="eastAsia" w:ascii="宋体" w:hAnsi="宋体" w:eastAsia="宋体" w:cs="宋体"/>
                <w:color w:val="000000"/>
                <w:sz w:val="24"/>
                <w:szCs w:val="20"/>
                <w:lang w:val="en-US" w:eastAsia="zh-CN"/>
              </w:rPr>
              <w:t>1）支持质量规则管理，如</w:t>
            </w:r>
            <w:r>
              <w:rPr>
                <w:rFonts w:ascii="宋体" w:hAnsi="宋体" w:eastAsia="宋体" w:cs="宋体"/>
                <w:color w:val="000000"/>
                <w:sz w:val="24"/>
                <w:szCs w:val="20"/>
              </w:rPr>
              <w:t>表存在性与主键唯一性、表关联性、字典填充率、字典信息收集率、特殊类型数据质控、数据有效性、字典归一率、数据量同环比、字典收集率、医学规则校验、逻辑性质控、字段覆盖规则、值域有效性、明细数据量、联合字段空值率、数据有效性等指控规则等指控规则配置</w:t>
            </w:r>
          </w:p>
          <w:p w14:paraId="13BB058B">
            <w:pPr>
              <w:pStyle w:val="9"/>
              <w:keepNext w:val="0"/>
              <w:keepLines w:val="0"/>
              <w:widowControl/>
              <w:suppressLineNumbers w:val="0"/>
              <w:spacing w:before="0" w:beforeAutospacing="0" w:after="0" w:afterAutospacing="0" w:line="360" w:lineRule="auto"/>
              <w:ind w:left="0" w:right="0"/>
              <w:jc w:val="both"/>
              <w:rPr>
                <w:rFonts w:hint="eastAsia" w:ascii="宋体" w:hAnsi="宋体" w:eastAsia="宋体" w:cs="宋体"/>
                <w:color w:val="000000"/>
                <w:sz w:val="24"/>
                <w:szCs w:val="20"/>
                <w:lang w:eastAsia="zh-CN"/>
              </w:rPr>
            </w:pPr>
            <w:r>
              <w:rPr>
                <w:rFonts w:hint="eastAsia" w:ascii="宋体" w:hAnsi="宋体" w:eastAsia="宋体" w:cs="宋体"/>
                <w:color w:val="000000"/>
                <w:sz w:val="24"/>
                <w:szCs w:val="20"/>
                <w:lang w:val="en-US" w:eastAsia="zh-CN"/>
              </w:rPr>
              <w:t>2）</w:t>
            </w:r>
            <w:r>
              <w:rPr>
                <w:rFonts w:hint="eastAsia" w:ascii="宋体" w:hAnsi="宋体" w:eastAsia="宋体" w:cs="宋体"/>
                <w:color w:val="000000"/>
                <w:sz w:val="24"/>
                <w:szCs w:val="20"/>
              </w:rPr>
              <w:t>支持对项目发起的调度任务进行统一监控</w:t>
            </w:r>
            <w:r>
              <w:rPr>
                <w:rFonts w:hint="eastAsia" w:ascii="宋体" w:hAnsi="宋体" w:eastAsia="宋体" w:cs="宋体"/>
                <w:color w:val="000000"/>
                <w:sz w:val="24"/>
                <w:szCs w:val="20"/>
                <w:lang w:eastAsia="zh-CN"/>
              </w:rPr>
              <w:t>；</w:t>
            </w:r>
          </w:p>
          <w:p w14:paraId="56EC96AA">
            <w:pPr>
              <w:pStyle w:val="9"/>
              <w:keepNext w:val="0"/>
              <w:keepLines w:val="0"/>
              <w:widowControl/>
              <w:suppressLineNumbers w:val="0"/>
              <w:spacing w:before="0" w:beforeAutospacing="0" w:after="0" w:afterAutospacing="0" w:line="360" w:lineRule="auto"/>
              <w:ind w:left="0" w:right="0"/>
              <w:jc w:val="both"/>
              <w:rPr>
                <w:rFonts w:hint="default" w:ascii="仿宋" w:hAnsi="仿宋" w:eastAsia="仿宋"/>
                <w:bCs/>
                <w:sz w:val="24"/>
                <w:szCs w:val="20"/>
                <w:lang w:val="en-US" w:eastAsia="zh-CN"/>
              </w:rPr>
            </w:pPr>
            <w:r>
              <w:rPr>
                <w:rFonts w:hint="eastAsia" w:ascii="宋体" w:hAnsi="宋体" w:eastAsia="宋体" w:cs="宋体"/>
                <w:color w:val="000000"/>
                <w:sz w:val="24"/>
                <w:szCs w:val="20"/>
                <w:lang w:val="en-US" w:eastAsia="zh-CN"/>
              </w:rPr>
              <w:t>3）</w:t>
            </w:r>
            <w:r>
              <w:rPr>
                <w:rFonts w:hint="eastAsia" w:ascii="宋体" w:hAnsi="宋体" w:eastAsia="宋体" w:cs="宋体"/>
                <w:color w:val="000000"/>
                <w:sz w:val="24"/>
                <w:szCs w:val="20"/>
              </w:rPr>
              <w:t>支持对项目执行调度任务进行统一监控</w:t>
            </w:r>
            <w:r>
              <w:rPr>
                <w:rFonts w:hint="eastAsia" w:ascii="宋体" w:hAnsi="宋体" w:eastAsia="宋体" w:cs="宋体"/>
                <w:color w:val="000000"/>
                <w:sz w:val="24"/>
                <w:szCs w:val="20"/>
                <w:lang w:eastAsia="zh-CN"/>
              </w:rPr>
              <w:t>；</w:t>
            </w:r>
          </w:p>
        </w:tc>
      </w:tr>
      <w:tr w14:paraId="2F77D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451" w:type="dxa"/>
            <w:vMerge w:val="continue"/>
            <w:vAlign w:val="center"/>
          </w:tcPr>
          <w:p w14:paraId="2D833718">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61A61768">
            <w:pPr>
              <w:keepNext w:val="0"/>
              <w:keepLines w:val="0"/>
              <w:widowControl/>
              <w:suppressLineNumbers w:val="0"/>
              <w:spacing w:before="0" w:beforeAutospacing="0" w:afterAutospacing="0"/>
              <w:ind w:left="0" w:right="0"/>
              <w:jc w:val="both"/>
              <w:rPr>
                <w:rFonts w:hint="eastAsia" w:ascii="宋体" w:hAnsi="宋体" w:eastAsia="宋体" w:cs="宋体"/>
                <w:sz w:val="24"/>
                <w:szCs w:val="24"/>
                <w:lang w:val="en-US" w:eastAsia="zh-CN"/>
              </w:rPr>
            </w:pPr>
          </w:p>
        </w:tc>
        <w:tc>
          <w:tcPr>
            <w:tcW w:w="6393" w:type="dxa"/>
            <w:vAlign w:val="center"/>
          </w:tcPr>
          <w:p w14:paraId="70F30468">
            <w:pPr>
              <w:pStyle w:val="9"/>
              <w:keepNext w:val="0"/>
              <w:keepLines w:val="0"/>
              <w:widowControl/>
              <w:suppressLineNumbers w:val="0"/>
              <w:spacing w:before="0" w:beforeAutospacing="0" w:after="0" w:afterAutospacing="0" w:line="360" w:lineRule="auto"/>
              <w:ind w:left="0" w:right="0"/>
              <w:jc w:val="both"/>
              <w:rPr>
                <w:rFonts w:hint="eastAsia" w:ascii="宋体" w:hAnsi="宋体" w:eastAsia="宋体" w:cs="宋体"/>
                <w:b/>
                <w:sz w:val="24"/>
                <w:szCs w:val="20"/>
                <w:lang w:val="en-US" w:eastAsia="zh-CN"/>
              </w:rPr>
            </w:pPr>
            <w:r>
              <w:rPr>
                <w:rFonts w:ascii="宋体" w:hAnsi="宋体" w:eastAsia="宋体" w:cs="宋体"/>
                <w:b/>
                <w:sz w:val="24"/>
                <w:szCs w:val="20"/>
              </w:rPr>
              <w:t>标准医学术语治理</w:t>
            </w:r>
            <w:r>
              <w:rPr>
                <w:rFonts w:hint="eastAsia" w:ascii="宋体" w:hAnsi="宋体" w:eastAsia="宋体" w:cs="宋体"/>
                <w:b/>
                <w:sz w:val="24"/>
                <w:szCs w:val="20"/>
                <w:lang w:eastAsia="zh-CN"/>
              </w:rPr>
              <w:t>：</w:t>
            </w:r>
            <w:r>
              <w:rPr>
                <w:rFonts w:ascii="宋体" w:hAnsi="宋体" w:eastAsia="宋体" w:cs="宋体"/>
                <w:b/>
                <w:color w:val="000000"/>
                <w:sz w:val="24"/>
                <w:szCs w:val="20"/>
              </w:rPr>
              <w:t>代码归一</w:t>
            </w:r>
            <w:r>
              <w:rPr>
                <w:rFonts w:hint="eastAsia" w:ascii="宋体" w:hAnsi="宋体" w:eastAsia="宋体" w:cs="宋体"/>
                <w:b/>
                <w:color w:val="000000"/>
                <w:sz w:val="24"/>
                <w:szCs w:val="20"/>
                <w:lang w:val="en-US" w:eastAsia="zh-CN"/>
              </w:rPr>
              <w:t>处理：</w:t>
            </w:r>
            <w:r>
              <w:rPr>
                <w:rFonts w:ascii="宋体" w:hAnsi="宋体" w:eastAsia="宋体" w:cs="宋体"/>
                <w:color w:val="000000"/>
                <w:sz w:val="24"/>
                <w:szCs w:val="20"/>
              </w:rPr>
              <w:t>实现各个不同业务系统的代码对照和归一：要求展示基准代码系统和对照代码系统中已对照的字典项比例。</w:t>
            </w:r>
          </w:p>
        </w:tc>
      </w:tr>
      <w:tr w14:paraId="20C23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451" w:type="dxa"/>
            <w:vMerge w:val="continue"/>
            <w:vAlign w:val="center"/>
          </w:tcPr>
          <w:p w14:paraId="5ADA0D12">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0F92E139">
            <w:pPr>
              <w:keepNext w:val="0"/>
              <w:keepLines w:val="0"/>
              <w:widowControl/>
              <w:suppressLineNumbers w:val="0"/>
              <w:spacing w:before="0" w:beforeAutospacing="0" w:afterAutospacing="0"/>
              <w:ind w:left="0" w:right="0"/>
              <w:jc w:val="both"/>
              <w:rPr>
                <w:rFonts w:hint="eastAsia" w:ascii="宋体" w:hAnsi="宋体" w:eastAsia="宋体" w:cs="宋体"/>
                <w:sz w:val="24"/>
                <w:szCs w:val="24"/>
                <w:lang w:val="en-US" w:eastAsia="zh-CN"/>
              </w:rPr>
            </w:pPr>
          </w:p>
        </w:tc>
        <w:tc>
          <w:tcPr>
            <w:tcW w:w="6393" w:type="dxa"/>
            <w:vAlign w:val="center"/>
          </w:tcPr>
          <w:p w14:paraId="6AFDC10F">
            <w:pPr>
              <w:pStyle w:val="9"/>
              <w:keepNext w:val="0"/>
              <w:keepLines w:val="0"/>
              <w:widowControl/>
              <w:suppressLineNumbers w:val="0"/>
              <w:spacing w:before="0" w:beforeAutospacing="0" w:after="0" w:afterAutospacing="0" w:line="360" w:lineRule="auto"/>
              <w:ind w:left="0" w:right="0"/>
              <w:jc w:val="both"/>
              <w:rPr>
                <w:sz w:val="20"/>
                <w:szCs w:val="20"/>
              </w:rPr>
            </w:pPr>
            <w:r>
              <w:rPr>
                <w:rFonts w:hint="eastAsia" w:ascii="宋体" w:hAnsi="宋体" w:eastAsia="宋体" w:cs="宋体"/>
                <w:b/>
                <w:bCs/>
                <w:color w:val="000000"/>
                <w:sz w:val="24"/>
                <w:szCs w:val="20"/>
                <w:lang w:val="en-US" w:eastAsia="zh-CN"/>
              </w:rPr>
              <w:t>结构化数据治理：</w:t>
            </w:r>
            <w:r>
              <w:rPr>
                <w:rFonts w:ascii="宋体" w:hAnsi="宋体" w:eastAsia="宋体" w:cs="宋体"/>
                <w:sz w:val="24"/>
                <w:szCs w:val="20"/>
              </w:rPr>
              <w:t>通过各种数据治理手段，结合标准的医疗术语的标准规范管理，实现数据的标准化、结构化，并实现数据治理过程中的完整性、自洽性、一致性；</w:t>
            </w:r>
            <w:r>
              <w:rPr>
                <w:rFonts w:ascii="宋体" w:hAnsi="宋体" w:eastAsia="宋体" w:cs="宋体"/>
                <w:color w:val="000000"/>
                <w:sz w:val="24"/>
                <w:szCs w:val="20"/>
              </w:rPr>
              <w:t>数据标准化：元数据统一、数据模型统一、基础字典标准化（包含科室、人员、收费项目等）。针对结构化数据校验内容有类型，长度，是否为空，精度，范围，格式等信息，如果数据不符合，会进行过滤，只有正确的数据才能继续使用；对于错误的数据，可以进行输出，包括错误原因和错误字段序号等信息，也可以进行自动重试并跟踪重试进度。</w:t>
            </w:r>
          </w:p>
          <w:p w14:paraId="537DF3F1">
            <w:pPr>
              <w:pStyle w:val="9"/>
              <w:keepNext w:val="0"/>
              <w:keepLines w:val="0"/>
              <w:widowControl/>
              <w:suppressLineNumbers w:val="0"/>
              <w:spacing w:before="0" w:beforeAutospacing="0" w:after="0" w:afterAutospacing="0" w:line="360" w:lineRule="auto"/>
              <w:ind w:left="0" w:right="0"/>
              <w:jc w:val="both"/>
              <w:rPr>
                <w:rFonts w:hint="default" w:ascii="宋体" w:hAnsi="宋体" w:eastAsia="宋体" w:cs="宋体"/>
                <w:color w:val="000000"/>
                <w:sz w:val="24"/>
                <w:szCs w:val="20"/>
                <w:lang w:val="en-US" w:eastAsia="zh-CN"/>
              </w:rPr>
            </w:pPr>
          </w:p>
        </w:tc>
      </w:tr>
      <w:tr w14:paraId="2650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451" w:type="dxa"/>
            <w:vMerge w:val="continue"/>
            <w:vAlign w:val="center"/>
          </w:tcPr>
          <w:p w14:paraId="0187CF09">
            <w:pPr>
              <w:keepNext w:val="0"/>
              <w:keepLines w:val="0"/>
              <w:widowControl/>
              <w:suppressLineNumbers w:val="0"/>
              <w:spacing w:before="0" w:beforeAutospacing="0" w:afterAutospacing="0"/>
              <w:ind w:left="0" w:right="0"/>
              <w:jc w:val="center"/>
              <w:rPr>
                <w:rFonts w:hint="eastAsia" w:ascii="宋体" w:hAnsi="宋体" w:eastAsia="宋体" w:cs="宋体"/>
                <w:sz w:val="24"/>
                <w:szCs w:val="24"/>
              </w:rPr>
            </w:pPr>
          </w:p>
        </w:tc>
        <w:tc>
          <w:tcPr>
            <w:tcW w:w="1508" w:type="dxa"/>
            <w:vMerge w:val="continue"/>
            <w:vAlign w:val="center"/>
          </w:tcPr>
          <w:p w14:paraId="2A2EF638">
            <w:pPr>
              <w:keepNext w:val="0"/>
              <w:keepLines w:val="0"/>
              <w:widowControl/>
              <w:suppressLineNumbers w:val="0"/>
              <w:spacing w:before="0" w:beforeAutospacing="0" w:afterAutospacing="0"/>
              <w:ind w:left="0" w:right="0"/>
              <w:jc w:val="both"/>
              <w:rPr>
                <w:rFonts w:hint="eastAsia" w:ascii="宋体" w:hAnsi="宋体" w:eastAsia="宋体" w:cs="宋体"/>
                <w:sz w:val="24"/>
                <w:szCs w:val="24"/>
                <w:lang w:val="en-US" w:eastAsia="zh-CN"/>
              </w:rPr>
            </w:pPr>
          </w:p>
        </w:tc>
        <w:tc>
          <w:tcPr>
            <w:tcW w:w="6393" w:type="dxa"/>
            <w:vAlign w:val="center"/>
          </w:tcPr>
          <w:p w14:paraId="1C4F69BF">
            <w:pPr>
              <w:pStyle w:val="9"/>
              <w:keepNext w:val="0"/>
              <w:keepLines w:val="0"/>
              <w:widowControl/>
              <w:suppressLineNumbers w:val="0"/>
              <w:spacing w:before="0" w:beforeAutospacing="0" w:after="0" w:afterAutospacing="0" w:line="360" w:lineRule="auto"/>
              <w:ind w:left="0" w:right="0"/>
              <w:jc w:val="both"/>
              <w:rPr>
                <w:rFonts w:hint="default" w:ascii="宋体" w:hAnsi="宋体" w:eastAsia="宋体" w:cs="宋体"/>
                <w:color w:val="000000"/>
                <w:sz w:val="24"/>
                <w:szCs w:val="20"/>
                <w:lang w:val="en-US" w:eastAsia="zh-CN"/>
              </w:rPr>
            </w:pPr>
            <w:r>
              <w:rPr>
                <w:rFonts w:hint="eastAsia" w:ascii="宋体" w:hAnsi="宋体" w:eastAsia="宋体" w:cs="宋体"/>
                <w:b/>
                <w:bCs/>
                <w:color w:val="000000"/>
                <w:sz w:val="24"/>
                <w:szCs w:val="20"/>
                <w:lang w:val="en-US" w:eastAsia="zh-CN"/>
              </w:rPr>
              <w:t>非结构化数据治理:</w:t>
            </w:r>
            <w:r>
              <w:rPr>
                <w:rFonts w:ascii="宋体" w:hAnsi="宋体" w:eastAsia="宋体" w:cs="宋体"/>
                <w:color w:val="000000"/>
                <w:sz w:val="24"/>
                <w:szCs w:val="20"/>
              </w:rPr>
              <w:t>支持非标准化概念与标准化概念间的映射转换，实现数据标准化应用</w:t>
            </w:r>
          </w:p>
        </w:tc>
      </w:tr>
    </w:tbl>
    <w:p w14:paraId="0D97325C">
      <w:pPr>
        <w:pStyle w:val="6"/>
        <w:keepNext/>
        <w:keepLines/>
        <w:pageBreakBefore w:val="0"/>
        <w:widowControl w:val="0"/>
        <w:kinsoku/>
        <w:wordWrap/>
        <w:overflowPunct/>
        <w:topLinePunct w:val="0"/>
        <w:autoSpaceDE/>
        <w:autoSpaceDN/>
        <w:bidi w:val="0"/>
        <w:adjustRightInd/>
        <w:snapToGrid/>
        <w:spacing w:before="20" w:after="20" w:line="240" w:lineRule="auto"/>
        <w:textAlignment w:val="auto"/>
        <w:rPr>
          <w:rFonts w:hint="eastAsia" w:ascii="宋体" w:hAnsi="宋体" w:eastAsia="宋体" w:cs="宋体"/>
          <w:sz w:val="24"/>
          <w:szCs w:val="24"/>
          <w:lang w:val="en-US" w:eastAsia="zh-CN"/>
        </w:rPr>
      </w:pPr>
      <w:bookmarkStart w:id="29" w:name="_Toc4657"/>
      <w:r>
        <w:rPr>
          <w:rFonts w:hint="eastAsia" w:ascii="宋体" w:hAnsi="宋体" w:eastAsia="宋体" w:cs="宋体"/>
          <w:sz w:val="24"/>
          <w:szCs w:val="24"/>
          <w:lang w:val="en-US" w:eastAsia="zh-CN"/>
        </w:rPr>
        <w:t>4.2指标统一管理</w:t>
      </w:r>
      <w:bookmarkEnd w:id="29"/>
    </w:p>
    <w:tbl>
      <w:tblPr>
        <w:tblStyle w:val="7"/>
        <w:tblpPr w:leftFromText="180" w:rightFromText="180" w:vertAnchor="text" w:tblpXSpec="left" w:tblpY="1"/>
        <w:tblOverlap w:val="never"/>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1515"/>
        <w:gridCol w:w="6480"/>
      </w:tblGrid>
      <w:tr w14:paraId="5AEFD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344" w:type="dxa"/>
            <w:vAlign w:val="center"/>
          </w:tcPr>
          <w:p w14:paraId="2BD99180">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功能模块</w:t>
            </w:r>
          </w:p>
        </w:tc>
        <w:tc>
          <w:tcPr>
            <w:tcW w:w="1515" w:type="dxa"/>
            <w:vAlign w:val="center"/>
          </w:tcPr>
          <w:p w14:paraId="046F9E00">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功能点</w:t>
            </w:r>
          </w:p>
        </w:tc>
        <w:tc>
          <w:tcPr>
            <w:tcW w:w="6480" w:type="dxa"/>
            <w:vAlign w:val="center"/>
          </w:tcPr>
          <w:p w14:paraId="022E4B27">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功能描述</w:t>
            </w:r>
          </w:p>
        </w:tc>
      </w:tr>
      <w:tr w14:paraId="6F899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restart"/>
            <w:vAlign w:val="center"/>
          </w:tcPr>
          <w:p w14:paraId="24E99E8D">
            <w:pPr>
              <w:keepNext w:val="0"/>
              <w:keepLines w:val="0"/>
              <w:widowControl/>
              <w:suppressLineNumbers w:val="0"/>
              <w:adjustRightInd/>
              <w:snapToGrid/>
              <w:spacing w:before="0" w:beforeAutospacing="0" w:after="0" w:afterAutospacing="0" w:line="360" w:lineRule="auto"/>
              <w:ind w:left="0" w:right="0"/>
              <w:jc w:val="center"/>
              <w:rPr>
                <w:rFonts w:hint="default"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指标统一管理</w:t>
            </w:r>
          </w:p>
        </w:tc>
        <w:tc>
          <w:tcPr>
            <w:tcW w:w="1515" w:type="dxa"/>
            <w:vAlign w:val="center"/>
          </w:tcPr>
          <w:p w14:paraId="425865C8">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color w:val="000000"/>
                <w:kern w:val="2"/>
                <w:sz w:val="21"/>
                <w:szCs w:val="21"/>
              </w:rPr>
            </w:pPr>
            <w:r>
              <w:rPr>
                <w:rFonts w:hint="eastAsia" w:ascii="宋体" w:hAnsi="宋体" w:eastAsia="宋体" w:cs="宋体"/>
                <w:i w:val="0"/>
                <w:iCs w:val="0"/>
                <w:color w:val="000000"/>
                <w:kern w:val="0"/>
                <w:sz w:val="21"/>
                <w:szCs w:val="21"/>
                <w:u w:val="none"/>
                <w:lang w:val="en-US" w:eastAsia="zh-CN" w:bidi="ar"/>
              </w:rPr>
              <w:t>指标概览</w:t>
            </w:r>
          </w:p>
        </w:tc>
        <w:tc>
          <w:tcPr>
            <w:tcW w:w="6480" w:type="dxa"/>
            <w:vAlign w:val="top"/>
          </w:tcPr>
          <w:p w14:paraId="4805FAAA">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color w:val="000000"/>
                <w:kern w:val="2"/>
                <w:sz w:val="21"/>
                <w:szCs w:val="21"/>
              </w:rPr>
            </w:pPr>
            <w:r>
              <w:rPr>
                <w:rFonts w:hint="eastAsia" w:ascii="宋体" w:hAnsi="宋体" w:eastAsia="宋体" w:cs="宋体"/>
                <w:i w:val="0"/>
                <w:iCs w:val="0"/>
                <w:color w:val="000000"/>
                <w:kern w:val="0"/>
                <w:sz w:val="21"/>
                <w:szCs w:val="21"/>
                <w:u w:val="none"/>
                <w:lang w:val="en-US" w:eastAsia="zh-CN" w:bidi="ar"/>
              </w:rPr>
              <w:t>用于总体浏览全组织建立的整体指标类别及对应的详细内容。</w:t>
            </w:r>
          </w:p>
        </w:tc>
      </w:tr>
      <w:tr w14:paraId="52692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36FB52CB">
            <w:pPr>
              <w:keepNext w:val="0"/>
              <w:keepLines w:val="0"/>
              <w:widowControl/>
              <w:suppressLineNumbers w:val="0"/>
              <w:adjustRightInd/>
              <w:snapToGrid/>
              <w:spacing w:before="0" w:beforeAutospacing="0" w:after="0" w:afterAutospacing="0" w:line="360" w:lineRule="auto"/>
              <w:ind w:left="0" w:right="0"/>
              <w:jc w:val="center"/>
              <w:rPr>
                <w:rFonts w:hint="eastAsia" w:ascii="宋体" w:hAnsi="宋体" w:eastAsia="宋体" w:cs="宋体"/>
                <w:color w:val="000000"/>
                <w:kern w:val="2"/>
                <w:sz w:val="21"/>
                <w:szCs w:val="21"/>
                <w:lang w:val="en-US" w:eastAsia="zh-CN"/>
              </w:rPr>
            </w:pPr>
          </w:p>
        </w:tc>
        <w:tc>
          <w:tcPr>
            <w:tcW w:w="1515" w:type="dxa"/>
            <w:vAlign w:val="center"/>
          </w:tcPr>
          <w:p w14:paraId="7CF04E55">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i w:val="0"/>
                <w:iCs/>
                <w:color w:val="auto"/>
                <w:sz w:val="21"/>
                <w:szCs w:val="21"/>
                <w:lang w:val="en-US" w:eastAsia="zh-CN"/>
              </w:rPr>
            </w:pPr>
            <w:r>
              <w:rPr>
                <w:rFonts w:hint="eastAsia" w:ascii="宋体" w:hAnsi="宋体" w:eastAsia="宋体" w:cs="宋体"/>
                <w:i w:val="0"/>
                <w:iCs w:val="0"/>
                <w:color w:val="000000"/>
                <w:kern w:val="0"/>
                <w:sz w:val="21"/>
                <w:szCs w:val="21"/>
                <w:u w:val="none"/>
                <w:lang w:val="en-US" w:eastAsia="zh-CN" w:bidi="ar"/>
              </w:rPr>
              <w:t>指标设置</w:t>
            </w:r>
          </w:p>
        </w:tc>
        <w:tc>
          <w:tcPr>
            <w:tcW w:w="6480" w:type="dxa"/>
            <w:vAlign w:val="top"/>
          </w:tcPr>
          <w:p w14:paraId="64C3416A">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color w:val="000000"/>
                <w:sz w:val="21"/>
                <w:szCs w:val="21"/>
                <w:lang w:val="en-US" w:eastAsia="zh-CN"/>
              </w:rPr>
            </w:pPr>
            <w:r>
              <w:rPr>
                <w:rFonts w:hint="eastAsia" w:ascii="宋体" w:hAnsi="宋体" w:eastAsia="宋体" w:cs="宋体"/>
                <w:i w:val="0"/>
                <w:iCs w:val="0"/>
                <w:color w:val="000000"/>
                <w:kern w:val="0"/>
                <w:sz w:val="21"/>
                <w:szCs w:val="21"/>
                <w:u w:val="none"/>
                <w:lang w:val="en-US" w:eastAsia="zh-CN" w:bidi="ar"/>
              </w:rPr>
              <w:t>指标可以分为政策指标与业务自定义指标两类，其中政策指标中大部分指标定义内容由政策确定，项目上不可编辑；业务自定义指标由项目上需求确定，可以自由编辑；产品定义标准版指标取数可以在各项目上灵活调整。</w:t>
            </w:r>
          </w:p>
        </w:tc>
      </w:tr>
      <w:tr w14:paraId="56A10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6FB4D7BE">
            <w:pPr>
              <w:keepNext w:val="0"/>
              <w:keepLines w:val="0"/>
              <w:widowControl/>
              <w:suppressLineNumbers w:val="0"/>
              <w:adjustRightInd/>
              <w:snapToGrid/>
              <w:spacing w:before="0" w:beforeAutospacing="0" w:after="0" w:afterAutospacing="0" w:line="360" w:lineRule="auto"/>
              <w:ind w:left="0" w:right="0"/>
              <w:jc w:val="center"/>
              <w:rPr>
                <w:rFonts w:hint="eastAsia" w:ascii="宋体" w:hAnsi="宋体" w:eastAsia="宋体" w:cs="宋体"/>
                <w:color w:val="000000"/>
                <w:kern w:val="2"/>
                <w:sz w:val="21"/>
                <w:szCs w:val="21"/>
                <w:lang w:val="en-US" w:eastAsia="zh-CN"/>
              </w:rPr>
            </w:pPr>
          </w:p>
        </w:tc>
        <w:tc>
          <w:tcPr>
            <w:tcW w:w="1515" w:type="dxa"/>
            <w:vAlign w:val="center"/>
          </w:tcPr>
          <w:p w14:paraId="6A035AA2">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i w:val="0"/>
                <w:iCs/>
                <w:color w:val="auto"/>
                <w:sz w:val="21"/>
                <w:szCs w:val="21"/>
                <w:lang w:val="en-US" w:eastAsia="zh-CN"/>
              </w:rPr>
            </w:pPr>
            <w:r>
              <w:rPr>
                <w:rFonts w:hint="eastAsia" w:ascii="宋体" w:hAnsi="宋体" w:eastAsia="宋体" w:cs="宋体"/>
                <w:i w:val="0"/>
                <w:iCs w:val="0"/>
                <w:color w:val="000000"/>
                <w:kern w:val="0"/>
                <w:sz w:val="21"/>
                <w:szCs w:val="21"/>
                <w:u w:val="none"/>
                <w:lang w:val="en-US" w:eastAsia="zh-CN" w:bidi="ar"/>
              </w:rPr>
              <w:t>指标填报</w:t>
            </w:r>
          </w:p>
        </w:tc>
        <w:tc>
          <w:tcPr>
            <w:tcW w:w="6480" w:type="dxa"/>
            <w:vAlign w:val="top"/>
          </w:tcPr>
          <w:p w14:paraId="48B56640">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color w:val="000000"/>
                <w:sz w:val="21"/>
                <w:szCs w:val="21"/>
                <w:lang w:val="en-US" w:eastAsia="zh-CN"/>
              </w:rPr>
            </w:pPr>
            <w:r>
              <w:rPr>
                <w:rFonts w:hint="eastAsia" w:ascii="宋体" w:hAnsi="宋体" w:eastAsia="宋体" w:cs="宋体"/>
                <w:i w:val="0"/>
                <w:iCs w:val="0"/>
                <w:color w:val="000000"/>
                <w:kern w:val="0"/>
                <w:sz w:val="21"/>
                <w:szCs w:val="21"/>
                <w:u w:val="none"/>
                <w:lang w:val="en-US" w:eastAsia="zh-CN" w:bidi="ar"/>
              </w:rPr>
              <w:t>指标填报模块需支持用户针对不同指标按照不同时间维度(年、季、月、日)和填报组织层级维度(院、科)完成指标的填报工作。</w:t>
            </w:r>
          </w:p>
        </w:tc>
      </w:tr>
      <w:tr w14:paraId="4E1E8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25D00289">
            <w:pPr>
              <w:keepNext w:val="0"/>
              <w:keepLines w:val="0"/>
              <w:widowControl/>
              <w:suppressLineNumbers w:val="0"/>
              <w:adjustRightInd/>
              <w:snapToGrid/>
              <w:spacing w:before="0" w:beforeAutospacing="0" w:after="0" w:afterAutospacing="0" w:line="360" w:lineRule="auto"/>
              <w:ind w:left="0" w:right="0"/>
              <w:jc w:val="center"/>
              <w:rPr>
                <w:rFonts w:hint="eastAsia" w:ascii="宋体" w:hAnsi="宋体" w:eastAsia="宋体" w:cs="宋体"/>
                <w:color w:val="000000"/>
                <w:kern w:val="2"/>
                <w:sz w:val="21"/>
                <w:szCs w:val="21"/>
                <w:lang w:val="en-US" w:eastAsia="zh-CN"/>
              </w:rPr>
            </w:pPr>
          </w:p>
        </w:tc>
        <w:tc>
          <w:tcPr>
            <w:tcW w:w="1515" w:type="dxa"/>
            <w:vAlign w:val="center"/>
          </w:tcPr>
          <w:p w14:paraId="67850589">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目标值管理</w:t>
            </w:r>
          </w:p>
        </w:tc>
        <w:tc>
          <w:tcPr>
            <w:tcW w:w="6480" w:type="dxa"/>
            <w:vAlign w:val="top"/>
          </w:tcPr>
          <w:p w14:paraId="74D12007">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指标目标值可以对于量化指标进行目标设定，从而更好地帮助用户明确指标的达标情况，可以定义指标不同层级的目标值。</w:t>
            </w:r>
          </w:p>
        </w:tc>
      </w:tr>
      <w:tr w14:paraId="49E23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61A98066">
            <w:pPr>
              <w:keepNext w:val="0"/>
              <w:keepLines w:val="0"/>
              <w:widowControl/>
              <w:suppressLineNumbers w:val="0"/>
              <w:adjustRightInd/>
              <w:snapToGrid/>
              <w:spacing w:before="0" w:beforeAutospacing="0" w:after="0" w:afterAutospacing="0" w:line="360" w:lineRule="auto"/>
              <w:ind w:left="0" w:right="0"/>
              <w:jc w:val="center"/>
              <w:rPr>
                <w:rFonts w:hint="eastAsia" w:ascii="宋体" w:hAnsi="宋体" w:eastAsia="宋体" w:cs="宋体"/>
                <w:color w:val="000000"/>
                <w:kern w:val="2"/>
                <w:sz w:val="21"/>
                <w:szCs w:val="21"/>
                <w:lang w:val="en-US" w:eastAsia="zh-CN"/>
              </w:rPr>
            </w:pPr>
          </w:p>
        </w:tc>
        <w:tc>
          <w:tcPr>
            <w:tcW w:w="1515" w:type="dxa"/>
            <w:vAlign w:val="center"/>
          </w:tcPr>
          <w:p w14:paraId="0FCFED12">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指标固化</w:t>
            </w:r>
          </w:p>
        </w:tc>
        <w:tc>
          <w:tcPr>
            <w:tcW w:w="6480" w:type="dxa"/>
            <w:vAlign w:val="top"/>
          </w:tcPr>
          <w:p w14:paraId="56CFD480">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避免并发数据查询影响实际业务，支持对于部分指标进行预处理，完成汇总统计，并进行指标结果的固化。</w:t>
            </w:r>
          </w:p>
        </w:tc>
      </w:tr>
      <w:tr w14:paraId="7583A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143F25D1">
            <w:pPr>
              <w:keepNext w:val="0"/>
              <w:keepLines w:val="0"/>
              <w:widowControl/>
              <w:suppressLineNumbers w:val="0"/>
              <w:adjustRightInd/>
              <w:snapToGrid/>
              <w:spacing w:before="0" w:beforeAutospacing="0" w:after="0" w:afterAutospacing="0" w:line="360" w:lineRule="auto"/>
              <w:ind w:left="0" w:right="0"/>
              <w:jc w:val="center"/>
              <w:rPr>
                <w:rFonts w:hint="eastAsia" w:ascii="宋体" w:hAnsi="宋体" w:eastAsia="宋体" w:cs="宋体"/>
                <w:color w:val="000000"/>
                <w:kern w:val="2"/>
                <w:sz w:val="21"/>
                <w:szCs w:val="21"/>
                <w:lang w:val="en-US" w:eastAsia="zh-CN"/>
              </w:rPr>
            </w:pPr>
          </w:p>
        </w:tc>
        <w:tc>
          <w:tcPr>
            <w:tcW w:w="1515" w:type="dxa"/>
            <w:vAlign w:val="center"/>
          </w:tcPr>
          <w:p w14:paraId="0090FBE6">
            <w:pPr>
              <w:keepNext w:val="0"/>
              <w:keepLines w:val="0"/>
              <w:widowControl/>
              <w:suppressLineNumbers w:val="0"/>
              <w:spacing w:before="0" w:beforeAutospacing="0" w:afterAutospacing="0" w:line="360" w:lineRule="auto"/>
              <w:ind w:left="0" w:right="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权限管理</w:t>
            </w:r>
          </w:p>
        </w:tc>
        <w:tc>
          <w:tcPr>
            <w:tcW w:w="6480" w:type="dxa"/>
            <w:vAlign w:val="top"/>
          </w:tcPr>
          <w:p w14:paraId="6B6B7990">
            <w:pPr>
              <w:keepNext w:val="0"/>
              <w:keepLines w:val="0"/>
              <w:widowControl/>
              <w:suppressLineNumbers w:val="0"/>
              <w:spacing w:before="0" w:beforeAutospacing="0" w:afterAutospacing="0" w:line="360" w:lineRule="auto"/>
              <w:ind w:left="0" w:right="0"/>
              <w:jc w:val="left"/>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通过角色关联用户，进行统一的权限管理。支持角色管理、用户管理、菜单管理；通过对用户账号权限设置，可限制业务系统展示的相关数据范围、菜单范围等。</w:t>
            </w:r>
          </w:p>
        </w:tc>
      </w:tr>
    </w:tbl>
    <w:p w14:paraId="5839F5A0">
      <w:pPr>
        <w:bidi w:val="0"/>
        <w:rPr>
          <w:rFonts w:hint="eastAsia"/>
          <w:lang w:val="en-US" w:eastAsia="zh-CN"/>
        </w:rPr>
      </w:pPr>
    </w:p>
    <w:p w14:paraId="749E4BCC">
      <w:pPr>
        <w:keepNext/>
        <w:keepLines/>
        <w:pageBreakBefore w:val="0"/>
        <w:widowControl w:val="0"/>
        <w:kinsoku/>
        <w:wordWrap/>
        <w:overflowPunct/>
        <w:topLinePunct w:val="0"/>
        <w:autoSpaceDE/>
        <w:autoSpaceDN/>
        <w:bidi w:val="0"/>
        <w:adjustRightInd/>
        <w:snapToGrid/>
        <w:spacing w:before="20" w:beforeLines="0" w:beforeAutospacing="0" w:after="20" w:afterLines="0" w:afterAutospacing="0" w:line="360" w:lineRule="auto"/>
        <w:jc w:val="both"/>
        <w:textAlignment w:val="auto"/>
        <w:outlineLvl w:val="1"/>
        <w:rPr>
          <w:rFonts w:hint="default" w:ascii="宋体" w:hAnsi="宋体" w:eastAsia="宋体" w:cs="宋体"/>
          <w:b/>
          <w:kern w:val="2"/>
          <w:sz w:val="24"/>
          <w:szCs w:val="24"/>
          <w:lang w:val="en-US" w:eastAsia="zh-CN" w:bidi="ar-SA"/>
        </w:rPr>
      </w:pPr>
      <w:bookmarkStart w:id="30" w:name="_Toc25794"/>
      <w:r>
        <w:rPr>
          <w:rFonts w:hint="eastAsia" w:ascii="宋体" w:hAnsi="宋体" w:eastAsia="宋体" w:cs="宋体"/>
          <w:b/>
          <w:kern w:val="2"/>
          <w:sz w:val="24"/>
          <w:szCs w:val="24"/>
          <w:lang w:val="en-US" w:eastAsia="zh-CN" w:bidi="ar-SA"/>
        </w:rPr>
        <w:t>4.3医疗质量与安全管理</w:t>
      </w:r>
      <w:bookmarkEnd w:id="30"/>
    </w:p>
    <w:p w14:paraId="096208E8">
      <w:pPr>
        <w:keepNext/>
        <w:keepLines/>
        <w:pageBreakBefore w:val="0"/>
        <w:widowControl w:val="0"/>
        <w:kinsoku/>
        <w:wordWrap/>
        <w:overflowPunct/>
        <w:topLinePunct w:val="0"/>
        <w:autoSpaceDE/>
        <w:autoSpaceDN/>
        <w:bidi w:val="0"/>
        <w:adjustRightInd/>
        <w:snapToGrid/>
        <w:spacing w:before="20" w:beforeLines="0" w:beforeAutospacing="0" w:after="20" w:afterLines="0" w:afterAutospacing="0" w:line="360" w:lineRule="auto"/>
        <w:jc w:val="both"/>
        <w:textAlignment w:val="auto"/>
        <w:outlineLvl w:val="2"/>
        <w:rPr>
          <w:rFonts w:hint="default" w:ascii="宋体" w:hAnsi="宋体" w:eastAsia="宋体" w:cs="宋体"/>
          <w:b/>
          <w:kern w:val="2"/>
          <w:sz w:val="24"/>
          <w:szCs w:val="24"/>
          <w:lang w:val="en-US" w:eastAsia="zh-CN" w:bidi="ar-SA"/>
        </w:rPr>
      </w:pPr>
      <w:bookmarkStart w:id="31" w:name="_Toc8870"/>
      <w:r>
        <w:rPr>
          <w:rFonts w:hint="eastAsia" w:ascii="宋体" w:hAnsi="宋体" w:eastAsia="宋体" w:cs="宋体"/>
          <w:b/>
          <w:kern w:val="2"/>
          <w:sz w:val="24"/>
          <w:szCs w:val="24"/>
          <w:lang w:val="en-US" w:eastAsia="zh-CN" w:bidi="ar-SA"/>
        </w:rPr>
        <w:t>4.3.1医疗质量统计报表分析</w:t>
      </w:r>
      <w:bookmarkEnd w:id="31"/>
    </w:p>
    <w:tbl>
      <w:tblPr>
        <w:tblStyle w:val="7"/>
        <w:tblpPr w:leftFromText="180" w:rightFromText="180" w:vertAnchor="text" w:tblpXSpec="left" w:tblpY="1"/>
        <w:tblOverlap w:val="never"/>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1515"/>
        <w:gridCol w:w="6480"/>
      </w:tblGrid>
      <w:tr w14:paraId="193E2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344" w:type="dxa"/>
            <w:vAlign w:val="center"/>
          </w:tcPr>
          <w:p w14:paraId="6EA68B37">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bookmarkStart w:id="32" w:name="_Toc14962"/>
            <w:bookmarkStart w:id="33" w:name="_Toc7750"/>
            <w:bookmarkStart w:id="34" w:name="_Toc8160"/>
            <w:bookmarkStart w:id="35" w:name="_Toc16683"/>
            <w:bookmarkStart w:id="36" w:name="_Toc23036"/>
            <w:bookmarkStart w:id="37" w:name="_Toc12758"/>
            <w:bookmarkStart w:id="38" w:name="_Toc2764"/>
            <w:r>
              <w:rPr>
                <w:rFonts w:hint="eastAsia" w:ascii="宋体" w:hAnsi="宋体" w:eastAsia="宋体" w:cs="宋体"/>
                <w:b/>
                <w:bCs/>
                <w:sz w:val="24"/>
                <w:szCs w:val="24"/>
                <w:lang w:val="en-US" w:eastAsia="zh-CN"/>
              </w:rPr>
              <w:t>功能模块</w:t>
            </w:r>
            <w:bookmarkEnd w:id="32"/>
            <w:bookmarkEnd w:id="33"/>
            <w:bookmarkEnd w:id="34"/>
            <w:bookmarkEnd w:id="35"/>
            <w:bookmarkEnd w:id="36"/>
            <w:bookmarkEnd w:id="37"/>
            <w:bookmarkEnd w:id="38"/>
          </w:p>
        </w:tc>
        <w:tc>
          <w:tcPr>
            <w:tcW w:w="1515" w:type="dxa"/>
            <w:vAlign w:val="center"/>
          </w:tcPr>
          <w:p w14:paraId="39C231AC">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bookmarkStart w:id="39" w:name="_Toc28314"/>
            <w:bookmarkStart w:id="40" w:name="_Toc23813"/>
            <w:bookmarkStart w:id="41" w:name="_Toc1611"/>
            <w:bookmarkStart w:id="42" w:name="_Toc10273"/>
            <w:bookmarkStart w:id="43" w:name="_Toc19315"/>
            <w:bookmarkStart w:id="44" w:name="_Toc180"/>
            <w:bookmarkStart w:id="45" w:name="_Toc11390"/>
            <w:r>
              <w:rPr>
                <w:rFonts w:hint="eastAsia" w:ascii="宋体" w:hAnsi="宋体" w:eastAsia="宋体" w:cs="宋体"/>
                <w:b/>
                <w:bCs/>
                <w:sz w:val="24"/>
                <w:szCs w:val="24"/>
                <w:lang w:val="en-US" w:eastAsia="zh-CN"/>
              </w:rPr>
              <w:t>功能点</w:t>
            </w:r>
            <w:bookmarkEnd w:id="39"/>
            <w:bookmarkEnd w:id="40"/>
            <w:bookmarkEnd w:id="41"/>
            <w:bookmarkEnd w:id="42"/>
            <w:bookmarkEnd w:id="43"/>
            <w:bookmarkEnd w:id="44"/>
            <w:bookmarkEnd w:id="45"/>
          </w:p>
        </w:tc>
        <w:tc>
          <w:tcPr>
            <w:tcW w:w="6480" w:type="dxa"/>
            <w:vAlign w:val="center"/>
          </w:tcPr>
          <w:p w14:paraId="26607F8F">
            <w:pPr>
              <w:keepNext w:val="0"/>
              <w:keepLines w:val="0"/>
              <w:widowControl/>
              <w:suppressLineNumbers w:val="0"/>
              <w:spacing w:before="0" w:beforeAutospacing="0" w:afterAutospacing="0"/>
              <w:ind w:left="0" w:right="0"/>
              <w:jc w:val="center"/>
              <w:rPr>
                <w:rFonts w:hint="eastAsia" w:ascii="宋体" w:hAnsi="宋体" w:eastAsia="宋体" w:cs="宋体"/>
                <w:b/>
                <w:bCs/>
                <w:sz w:val="24"/>
                <w:szCs w:val="24"/>
                <w:lang w:val="en-US" w:eastAsia="zh-CN"/>
              </w:rPr>
            </w:pPr>
            <w:bookmarkStart w:id="46" w:name="_Toc14167"/>
            <w:bookmarkStart w:id="47" w:name="_Toc19291"/>
            <w:bookmarkStart w:id="48" w:name="_Toc17398"/>
            <w:bookmarkStart w:id="49" w:name="_Toc11539"/>
            <w:bookmarkStart w:id="50" w:name="_Toc19755"/>
            <w:bookmarkStart w:id="51" w:name="_Toc26374"/>
            <w:bookmarkStart w:id="52" w:name="_Toc11434"/>
            <w:r>
              <w:rPr>
                <w:rFonts w:hint="eastAsia" w:ascii="宋体" w:hAnsi="宋体" w:eastAsia="宋体" w:cs="宋体"/>
                <w:b/>
                <w:bCs/>
                <w:sz w:val="24"/>
                <w:szCs w:val="24"/>
                <w:lang w:val="en-US" w:eastAsia="zh-CN"/>
              </w:rPr>
              <w:t>功能描述</w:t>
            </w:r>
            <w:bookmarkEnd w:id="46"/>
            <w:bookmarkEnd w:id="47"/>
            <w:bookmarkEnd w:id="48"/>
            <w:bookmarkEnd w:id="49"/>
            <w:bookmarkEnd w:id="50"/>
            <w:bookmarkEnd w:id="51"/>
            <w:bookmarkEnd w:id="52"/>
          </w:p>
        </w:tc>
      </w:tr>
      <w:tr w14:paraId="33685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restart"/>
            <w:vAlign w:val="center"/>
          </w:tcPr>
          <w:p w14:paraId="3D05A313">
            <w:pPr>
              <w:keepNext w:val="0"/>
              <w:keepLines w:val="0"/>
              <w:widowControl/>
              <w:suppressLineNumbers w:val="0"/>
              <w:adjustRightInd/>
              <w:snapToGrid/>
              <w:spacing w:before="0" w:beforeAutospacing="0" w:after="0" w:afterAutospacing="0"/>
              <w:ind w:left="0" w:right="0"/>
              <w:jc w:val="center"/>
              <w:rPr>
                <w:rFonts w:hint="default" w:ascii="宋体" w:hAnsi="宋体" w:eastAsia="宋体" w:cs="宋体"/>
                <w:color w:val="000000"/>
                <w:kern w:val="2"/>
                <w:sz w:val="24"/>
                <w:szCs w:val="24"/>
                <w:lang w:val="en-US" w:eastAsia="zh-CN"/>
              </w:rPr>
            </w:pPr>
            <w:r>
              <w:rPr>
                <w:rFonts w:hint="eastAsia" w:ascii="宋体" w:hAnsi="宋体" w:eastAsia="宋体" w:cs="宋体"/>
                <w:color w:val="000000"/>
                <w:kern w:val="2"/>
                <w:sz w:val="24"/>
                <w:szCs w:val="24"/>
                <w:lang w:val="en-US" w:eastAsia="zh-CN"/>
              </w:rPr>
              <w:t>医疗质量统计报表分析</w:t>
            </w:r>
          </w:p>
        </w:tc>
        <w:tc>
          <w:tcPr>
            <w:tcW w:w="1515" w:type="dxa"/>
            <w:vMerge w:val="restart"/>
            <w:vAlign w:val="center"/>
          </w:tcPr>
          <w:p w14:paraId="6458FA5B">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color w:val="000000"/>
                <w:kern w:val="2"/>
                <w:sz w:val="24"/>
                <w:szCs w:val="24"/>
              </w:rPr>
            </w:pPr>
            <w:r>
              <w:rPr>
                <w:rFonts w:hint="eastAsia" w:ascii="宋体" w:hAnsi="宋体" w:eastAsia="宋体" w:cs="宋体"/>
                <w:i w:val="0"/>
                <w:iCs/>
                <w:color w:val="auto"/>
                <w:sz w:val="24"/>
                <w:szCs w:val="24"/>
                <w:lang w:val="en-US" w:eastAsia="zh-CN"/>
              </w:rPr>
              <w:t>会诊质量统计分析</w:t>
            </w:r>
          </w:p>
        </w:tc>
        <w:tc>
          <w:tcPr>
            <w:tcW w:w="6480" w:type="dxa"/>
          </w:tcPr>
          <w:p w14:paraId="2AF32B7F">
            <w:pPr>
              <w:keepNext w:val="0"/>
              <w:keepLines w:val="0"/>
              <w:widowControl/>
              <w:suppressLineNumbers w:val="0"/>
              <w:adjustRightInd/>
              <w:snapToGrid/>
              <w:spacing w:before="0" w:beforeAutospacing="0" w:after="0" w:afterAutospacing="0"/>
              <w:ind w:left="0" w:right="0"/>
              <w:jc w:val="both"/>
              <w:rPr>
                <w:rFonts w:hint="eastAsia" w:ascii="宋体" w:hAnsi="宋体" w:eastAsia="宋体" w:cs="宋体"/>
                <w:color w:val="000000"/>
                <w:kern w:val="2"/>
                <w:sz w:val="24"/>
                <w:szCs w:val="24"/>
              </w:rPr>
            </w:pPr>
            <w:r>
              <w:rPr>
                <w:rFonts w:hint="eastAsia" w:ascii="宋体" w:hAnsi="宋体" w:eastAsia="宋体" w:cs="宋体"/>
                <w:color w:val="000000"/>
                <w:sz w:val="24"/>
                <w:szCs w:val="24"/>
                <w:lang w:val="en-US" w:eastAsia="zh-CN"/>
              </w:rPr>
              <w:t>会诊申请情况统计分析功能，包括按科室展示普通会诊、多科室联合会诊、院外大会诊开展情况并统计各类型会诊申请率、接收率、完成率</w:t>
            </w:r>
          </w:p>
        </w:tc>
      </w:tr>
      <w:tr w14:paraId="18276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344" w:type="dxa"/>
            <w:vMerge w:val="continue"/>
            <w:vAlign w:val="center"/>
          </w:tcPr>
          <w:p w14:paraId="48B6BD28">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lang w:val="en-US" w:eastAsia="zh-CN"/>
              </w:rPr>
            </w:pPr>
          </w:p>
        </w:tc>
        <w:tc>
          <w:tcPr>
            <w:tcW w:w="1515" w:type="dxa"/>
            <w:vMerge w:val="continue"/>
            <w:vAlign w:val="center"/>
          </w:tcPr>
          <w:p w14:paraId="2D562A72">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i w:val="0"/>
                <w:iCs/>
                <w:color w:val="auto"/>
                <w:sz w:val="24"/>
                <w:szCs w:val="24"/>
                <w:lang w:val="en-US" w:eastAsia="zh-CN"/>
              </w:rPr>
            </w:pPr>
          </w:p>
        </w:tc>
        <w:tc>
          <w:tcPr>
            <w:tcW w:w="6480" w:type="dxa"/>
          </w:tcPr>
          <w:p w14:paraId="612CFBDF">
            <w:pPr>
              <w:keepNext w:val="0"/>
              <w:keepLines w:val="0"/>
              <w:widowControl/>
              <w:suppressLineNumbers w:val="0"/>
              <w:adjustRightInd/>
              <w:snapToGrid/>
              <w:spacing w:before="0" w:beforeAutospacing="0" w:after="0" w:afterAutospacing="0"/>
              <w:ind w:left="0" w:right="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会诊开展质量情况统计分析功能，包括按科室对各类型会诊统计会诊完成情况、按时完成情况、会诊评价满意率</w:t>
            </w:r>
          </w:p>
        </w:tc>
      </w:tr>
      <w:tr w14:paraId="260F4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1344" w:type="dxa"/>
            <w:vMerge w:val="continue"/>
            <w:vAlign w:val="center"/>
          </w:tcPr>
          <w:p w14:paraId="0AD7C03C">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lang w:val="en-US" w:eastAsia="zh-CN"/>
              </w:rPr>
            </w:pPr>
          </w:p>
        </w:tc>
        <w:tc>
          <w:tcPr>
            <w:tcW w:w="1515" w:type="dxa"/>
            <w:vAlign w:val="center"/>
          </w:tcPr>
          <w:p w14:paraId="4CA8A805">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i w:val="0"/>
                <w:iCs/>
                <w:color w:val="auto"/>
                <w:sz w:val="24"/>
                <w:szCs w:val="24"/>
                <w:lang w:val="en-US" w:eastAsia="zh-CN"/>
              </w:rPr>
            </w:pPr>
            <w:r>
              <w:rPr>
                <w:rFonts w:hint="eastAsia" w:ascii="宋体" w:hAnsi="宋体" w:eastAsia="宋体" w:cs="宋体"/>
                <w:i w:val="0"/>
                <w:iCs/>
                <w:color w:val="auto"/>
                <w:sz w:val="24"/>
                <w:szCs w:val="24"/>
                <w:lang w:val="en-US" w:eastAsia="zh-CN"/>
              </w:rPr>
              <w:t>临床路径质量统计分析</w:t>
            </w:r>
          </w:p>
          <w:p w14:paraId="584E80E0">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6480" w:type="dxa"/>
          </w:tcPr>
          <w:p w14:paraId="2C5915E0">
            <w:pPr>
              <w:keepNext w:val="0"/>
              <w:keepLines w:val="0"/>
              <w:widowControl/>
              <w:suppressLineNumbers w:val="0"/>
              <w:bidi w:val="0"/>
              <w:spacing w:before="0" w:beforeAutospacing="0" w:afterAutospacing="0"/>
              <w:ind w:left="0" w:right="0"/>
              <w:rPr>
                <w:rFonts w:hint="eastAsia" w:ascii="宋体" w:hAnsi="宋体" w:eastAsia="宋体" w:cs="宋体"/>
                <w:kern w:val="2"/>
                <w:szCs w:val="24"/>
              </w:rPr>
            </w:pPr>
            <w:r>
              <w:rPr>
                <w:rFonts w:hint="eastAsia"/>
                <w:lang w:val="en-US" w:eastAsia="zh-CN"/>
              </w:rPr>
              <w:t>临床路径相关核心监测指标统计分析功能，按科室、病种维度展示入径率、完成率、退出率、退出率、变异率等。</w:t>
            </w:r>
          </w:p>
        </w:tc>
      </w:tr>
      <w:tr w14:paraId="501B5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1344" w:type="dxa"/>
            <w:vMerge w:val="continue"/>
          </w:tcPr>
          <w:p w14:paraId="11CB79CB">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1515" w:type="dxa"/>
            <w:vMerge w:val="restart"/>
            <w:vAlign w:val="center"/>
          </w:tcPr>
          <w:p w14:paraId="5CE14FC2">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i w:val="0"/>
                <w:iCs/>
                <w:color w:val="auto"/>
                <w:sz w:val="24"/>
                <w:szCs w:val="24"/>
                <w:lang w:val="en-US" w:eastAsia="zh-CN"/>
              </w:rPr>
            </w:pPr>
            <w:r>
              <w:rPr>
                <w:rFonts w:hint="eastAsia" w:ascii="宋体" w:hAnsi="宋体" w:eastAsia="宋体" w:cs="宋体"/>
                <w:i w:val="0"/>
                <w:iCs/>
                <w:color w:val="auto"/>
                <w:sz w:val="24"/>
                <w:szCs w:val="24"/>
                <w:lang w:val="en-US" w:eastAsia="zh-CN"/>
              </w:rPr>
              <w:t>抗菌药物统计分析</w:t>
            </w:r>
          </w:p>
          <w:p w14:paraId="64379908">
            <w:pPr>
              <w:keepNext w:val="0"/>
              <w:keepLines w:val="0"/>
              <w:widowControl/>
              <w:suppressLineNumbers w:val="0"/>
              <w:adjustRightInd/>
              <w:snapToGrid/>
              <w:spacing w:before="0" w:beforeAutospacing="0" w:after="0" w:afterAutospacing="0" w:line="400" w:lineRule="exact"/>
              <w:ind w:left="0" w:right="0"/>
              <w:jc w:val="both"/>
              <w:rPr>
                <w:rFonts w:hint="eastAsia" w:ascii="宋体" w:hAnsi="宋体" w:eastAsia="宋体" w:cs="宋体"/>
                <w:color w:val="000000"/>
                <w:kern w:val="2"/>
                <w:sz w:val="24"/>
                <w:szCs w:val="24"/>
              </w:rPr>
            </w:pPr>
          </w:p>
        </w:tc>
        <w:tc>
          <w:tcPr>
            <w:tcW w:w="6480" w:type="dxa"/>
          </w:tcPr>
          <w:p w14:paraId="518F9453">
            <w:pPr>
              <w:keepNext w:val="0"/>
              <w:keepLines w:val="0"/>
              <w:widowControl/>
              <w:suppressLineNumbers w:val="0"/>
              <w:adjustRightInd/>
              <w:snapToGrid/>
              <w:spacing w:before="0" w:beforeAutospacing="0" w:after="0" w:afterAutospacing="0"/>
              <w:ind w:left="0" w:right="0"/>
              <w:jc w:val="both"/>
              <w:rPr>
                <w:rFonts w:hint="eastAsia" w:ascii="宋体" w:hAnsi="宋体" w:eastAsia="宋体" w:cs="宋体"/>
                <w:color w:val="000000"/>
                <w:kern w:val="2"/>
                <w:sz w:val="24"/>
                <w:szCs w:val="24"/>
              </w:rPr>
            </w:pPr>
            <w:r>
              <w:rPr>
                <w:rFonts w:hint="eastAsia" w:ascii="宋体" w:hAnsi="宋体" w:eastAsia="宋体" w:cs="宋体"/>
                <w:color w:val="000000"/>
                <w:sz w:val="24"/>
                <w:szCs w:val="24"/>
                <w:lang w:val="en-US" w:eastAsia="zh-CN"/>
              </w:rPr>
              <w:t>门急诊抗菌药物、住院抗菌药物、手术抗菌药物相关质量指标统计分析，包括使用人次、使用强度、使用品种</w:t>
            </w:r>
          </w:p>
        </w:tc>
      </w:tr>
      <w:tr w14:paraId="2B696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344" w:type="dxa"/>
            <w:vMerge w:val="continue"/>
          </w:tcPr>
          <w:p w14:paraId="0C510896">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1515" w:type="dxa"/>
            <w:vMerge w:val="continue"/>
          </w:tcPr>
          <w:p w14:paraId="7FA31D3B">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6480" w:type="dxa"/>
          </w:tcPr>
          <w:p w14:paraId="6EFB798A">
            <w:pPr>
              <w:pStyle w:val="11"/>
              <w:keepNext w:val="0"/>
              <w:keepLines w:val="0"/>
              <w:widowControl w:val="0"/>
              <w:suppressLineNumbers w:val="0"/>
              <w:kinsoku/>
              <w:wordWrap/>
              <w:overflowPunct/>
              <w:topLinePunct w:val="0"/>
              <w:autoSpaceDE/>
              <w:autoSpaceDN/>
              <w:bidi w:val="0"/>
              <w:snapToGrid w:val="0"/>
              <w:spacing w:before="0" w:beforeAutospacing="0" w:afterAutospacing="0" w:line="360" w:lineRule="auto"/>
              <w:ind w:left="0" w:leftChars="0" w:right="0" w:firstLine="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门(急)诊抗菌药物情况多维度统计分析功能，包括按科室、医生分别展示抗菌药物处方人次、抗菌药物静脉使用人次、抗菌药物费用、人均使用抗菌药物品种数。</w:t>
            </w:r>
          </w:p>
          <w:p w14:paraId="4C4ADA2E">
            <w:pPr>
              <w:keepNext w:val="0"/>
              <w:keepLines w:val="0"/>
              <w:widowControl/>
              <w:suppressLineNumbers w:val="0"/>
              <w:adjustRightInd/>
              <w:snapToGrid/>
              <w:spacing w:before="0" w:beforeAutospacing="0" w:after="0" w:afterAutospacing="0"/>
              <w:ind w:left="0" w:right="0" w:firstLine="480" w:firstLineChars="200"/>
              <w:jc w:val="both"/>
              <w:rPr>
                <w:rFonts w:hint="eastAsia" w:ascii="宋体" w:hAnsi="宋体" w:eastAsia="宋体" w:cs="宋体"/>
                <w:color w:val="000000"/>
                <w:kern w:val="2"/>
                <w:sz w:val="24"/>
                <w:szCs w:val="24"/>
              </w:rPr>
            </w:pPr>
          </w:p>
        </w:tc>
      </w:tr>
      <w:tr w14:paraId="63469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344" w:type="dxa"/>
            <w:vMerge w:val="continue"/>
          </w:tcPr>
          <w:p w14:paraId="7BD97F31">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1515" w:type="dxa"/>
            <w:vMerge w:val="continue"/>
          </w:tcPr>
          <w:p w14:paraId="5191A97F">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6480" w:type="dxa"/>
          </w:tcPr>
          <w:p w14:paraId="1A5F171F">
            <w:pPr>
              <w:keepNext w:val="0"/>
              <w:keepLines w:val="0"/>
              <w:widowControl/>
              <w:suppressLineNumbers w:val="0"/>
              <w:adjustRightInd/>
              <w:snapToGrid/>
              <w:spacing w:before="0" w:beforeAutospacing="0" w:after="0" w:afterAutospacing="0"/>
              <w:ind w:left="0" w:right="0"/>
              <w:jc w:val="both"/>
              <w:rPr>
                <w:rFonts w:hint="eastAsia" w:ascii="宋体" w:hAnsi="宋体" w:eastAsia="宋体" w:cs="宋体"/>
                <w:color w:val="000000"/>
                <w:kern w:val="2"/>
                <w:sz w:val="24"/>
                <w:szCs w:val="24"/>
              </w:rPr>
            </w:pPr>
            <w:r>
              <w:rPr>
                <w:rFonts w:hint="eastAsia" w:ascii="宋体" w:hAnsi="宋体" w:eastAsia="宋体" w:cs="宋体"/>
                <w:color w:val="000000"/>
                <w:sz w:val="24"/>
                <w:szCs w:val="24"/>
                <w:lang w:val="en-US" w:eastAsia="zh-CN"/>
              </w:rPr>
              <w:t>住院抗菌药物使用情况多维度统计分析功能，包括按科室、医生分别展示人均使用抗菌药物费用、住院患者抗菌药物使用强度、住院抗菌药物使用率、特殊使用级抗菌药物使用率。</w:t>
            </w:r>
          </w:p>
        </w:tc>
      </w:tr>
      <w:tr w14:paraId="3E055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344" w:type="dxa"/>
            <w:vMerge w:val="continue"/>
          </w:tcPr>
          <w:p w14:paraId="4C6468ED">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1515" w:type="dxa"/>
            <w:vMerge w:val="continue"/>
          </w:tcPr>
          <w:p w14:paraId="78E9CB78">
            <w:pPr>
              <w:keepNext w:val="0"/>
              <w:keepLines w:val="0"/>
              <w:widowControl/>
              <w:suppressLineNumbers w:val="0"/>
              <w:adjustRightInd/>
              <w:snapToGrid/>
              <w:spacing w:before="0" w:beforeAutospacing="0" w:after="0" w:afterAutospacing="0" w:line="400" w:lineRule="exact"/>
              <w:ind w:left="0" w:right="0"/>
              <w:jc w:val="center"/>
              <w:rPr>
                <w:rFonts w:hint="eastAsia" w:ascii="宋体" w:hAnsi="宋体" w:eastAsia="宋体" w:cs="宋体"/>
                <w:color w:val="000000"/>
                <w:kern w:val="2"/>
                <w:sz w:val="24"/>
                <w:szCs w:val="24"/>
              </w:rPr>
            </w:pPr>
          </w:p>
        </w:tc>
        <w:tc>
          <w:tcPr>
            <w:tcW w:w="6480" w:type="dxa"/>
          </w:tcPr>
          <w:p w14:paraId="7141398F">
            <w:pPr>
              <w:keepNext w:val="0"/>
              <w:keepLines w:val="0"/>
              <w:widowControl/>
              <w:suppressLineNumbers w:val="0"/>
              <w:adjustRightInd/>
              <w:snapToGrid/>
              <w:spacing w:before="0" w:beforeAutospacing="0" w:after="0" w:afterAutospacing="0"/>
              <w:ind w:left="0" w:right="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手术患者抗菌药物情况多维度统计分析功能，包括按科室、医生分别展示I类切口患者使用抗菌药物例次及占比、I类切口手术预防使用抗菌药物例次及占比、手术患者使用抗菌药物例次及占比。</w:t>
            </w:r>
          </w:p>
        </w:tc>
      </w:tr>
      <w:tr w14:paraId="6889C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1344" w:type="dxa"/>
            <w:vMerge w:val="continue"/>
            <w:vAlign w:val="center"/>
          </w:tcPr>
          <w:p w14:paraId="03C6ED20">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1515" w:type="dxa"/>
            <w:vAlign w:val="center"/>
          </w:tcPr>
          <w:p w14:paraId="1B6C38B4">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i w:val="0"/>
                <w:iCs/>
                <w:color w:val="auto"/>
                <w:sz w:val="24"/>
                <w:szCs w:val="24"/>
                <w:lang w:val="en-US" w:eastAsia="zh-CN"/>
              </w:rPr>
            </w:pPr>
            <w:r>
              <w:rPr>
                <w:rFonts w:hint="eastAsia" w:ascii="宋体" w:hAnsi="宋体" w:eastAsia="宋体" w:cs="宋体"/>
                <w:i w:val="0"/>
                <w:iCs/>
                <w:color w:val="auto"/>
                <w:sz w:val="24"/>
                <w:szCs w:val="24"/>
                <w:lang w:val="en-US" w:eastAsia="zh-CN"/>
              </w:rPr>
              <w:t>输血质量统计分析</w:t>
            </w:r>
          </w:p>
          <w:p w14:paraId="62D03CA4">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6480" w:type="dxa"/>
            <w:vAlign w:val="center"/>
          </w:tcPr>
          <w:p w14:paraId="31DD33B9">
            <w:pPr>
              <w:pStyle w:val="11"/>
              <w:keepNext w:val="0"/>
              <w:keepLines w:val="0"/>
              <w:widowControl w:val="0"/>
              <w:suppressLineNumbers w:val="0"/>
              <w:kinsoku/>
              <w:wordWrap/>
              <w:overflowPunct/>
              <w:topLinePunct w:val="0"/>
              <w:autoSpaceDE/>
              <w:autoSpaceDN/>
              <w:bidi w:val="0"/>
              <w:snapToGrid w:val="0"/>
              <w:spacing w:before="0" w:beforeAutospacing="0" w:afterAutospacing="0" w:line="360" w:lineRule="auto"/>
              <w:ind w:left="0" w:right="0" w:firstLine="480"/>
              <w:textAlignment w:val="auto"/>
              <w:rPr>
                <w:rFonts w:hint="eastAsia" w:ascii="宋体" w:hAnsi="宋体" w:eastAsia="宋体" w:cs="宋体"/>
                <w:kern w:val="2"/>
                <w:sz w:val="24"/>
                <w:szCs w:val="24"/>
              </w:rPr>
            </w:pPr>
            <w:r>
              <w:rPr>
                <w:rFonts w:hint="eastAsia" w:ascii="宋体" w:hAnsi="宋体" w:eastAsia="宋体" w:cs="宋体"/>
                <w:color w:val="000000"/>
                <w:sz w:val="24"/>
                <w:szCs w:val="24"/>
                <w:lang w:val="en-US" w:eastAsia="zh-CN"/>
              </w:rPr>
              <w:t>输血量情况多维度统计分析功能，包括按科室、血液分类分别展示不同血液类型输血量、不同血型输血量。</w:t>
            </w:r>
          </w:p>
        </w:tc>
      </w:tr>
      <w:tr w14:paraId="36F8D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1344" w:type="dxa"/>
            <w:vAlign w:val="center"/>
          </w:tcPr>
          <w:p w14:paraId="161A2462">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1515" w:type="dxa"/>
            <w:vMerge w:val="restart"/>
            <w:vAlign w:val="center"/>
          </w:tcPr>
          <w:p w14:paraId="6BAA8572">
            <w:pPr>
              <w:keepNext w:val="0"/>
              <w:keepLines w:val="0"/>
              <w:widowControl w:val="0"/>
              <w:numPr>
                <w:ilvl w:val="0"/>
                <w:numId w:val="0"/>
              </w:numPr>
              <w:suppressLineNumbers w:val="0"/>
              <w:tabs>
                <w:tab w:val="left" w:pos="312"/>
              </w:tabs>
              <w:kinsoku/>
              <w:wordWrap/>
              <w:overflowPunct/>
              <w:topLinePunct w:val="0"/>
              <w:autoSpaceDE/>
              <w:autoSpaceDN/>
              <w:bidi w:val="0"/>
              <w:spacing w:before="0" w:beforeAutospacing="0" w:afterAutospacing="0" w:line="360" w:lineRule="auto"/>
              <w:ind w:left="0" w:right="0"/>
              <w:textAlignment w:val="auto"/>
              <w:rPr>
                <w:rFonts w:hint="eastAsia" w:ascii="宋体" w:hAnsi="宋体" w:eastAsia="宋体" w:cs="宋体"/>
                <w:i w:val="0"/>
                <w:iCs/>
                <w:color w:val="auto"/>
                <w:sz w:val="24"/>
                <w:szCs w:val="24"/>
                <w:lang w:val="en-US" w:eastAsia="zh-CN"/>
              </w:rPr>
            </w:pPr>
            <w:r>
              <w:rPr>
                <w:rFonts w:hint="eastAsia" w:ascii="宋体" w:hAnsi="宋体" w:eastAsia="宋体" w:cs="宋体"/>
                <w:i w:val="0"/>
                <w:iCs/>
                <w:color w:val="auto"/>
                <w:sz w:val="24"/>
                <w:szCs w:val="24"/>
                <w:lang w:val="en-US" w:eastAsia="zh-CN"/>
              </w:rPr>
              <w:t>危急值质量统计分析</w:t>
            </w:r>
          </w:p>
          <w:p w14:paraId="011669D0">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6480" w:type="dxa"/>
            <w:vAlign w:val="center"/>
          </w:tcPr>
          <w:p w14:paraId="29A7FB1A">
            <w:pPr>
              <w:pStyle w:val="11"/>
              <w:keepNext w:val="0"/>
              <w:keepLines w:val="0"/>
              <w:widowControl w:val="0"/>
              <w:suppressLineNumbers w:val="0"/>
              <w:kinsoku/>
              <w:wordWrap/>
              <w:overflowPunct/>
              <w:topLinePunct w:val="0"/>
              <w:autoSpaceDE/>
              <w:autoSpaceDN/>
              <w:bidi w:val="0"/>
              <w:snapToGrid w:val="0"/>
              <w:spacing w:before="0" w:beforeAutospacing="0" w:afterAutospacing="0" w:line="360" w:lineRule="auto"/>
              <w:ind w:left="0" w:leftChars="0" w:right="0" w:firstLine="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门诊危急值报告监测及多维度统计分析功能，包括按科室、医生分别展示门诊危急值报告发布例数、接收情况及用时、处理情况及用时</w:t>
            </w:r>
          </w:p>
        </w:tc>
      </w:tr>
      <w:tr w14:paraId="269A0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1344" w:type="dxa"/>
            <w:vAlign w:val="center"/>
          </w:tcPr>
          <w:p w14:paraId="41E11B12">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1515" w:type="dxa"/>
            <w:vMerge w:val="continue"/>
            <w:vAlign w:val="center"/>
          </w:tcPr>
          <w:p w14:paraId="3A29A365">
            <w:pPr>
              <w:keepNext w:val="0"/>
              <w:keepLines w:val="0"/>
              <w:widowControl/>
              <w:suppressLineNumbers w:val="0"/>
              <w:adjustRightInd/>
              <w:snapToGrid/>
              <w:spacing w:before="0" w:beforeAutospacing="0" w:after="0" w:afterAutospacing="0"/>
              <w:ind w:left="0" w:right="0"/>
              <w:jc w:val="center"/>
              <w:rPr>
                <w:rFonts w:hint="eastAsia" w:ascii="宋体" w:hAnsi="宋体" w:eastAsia="宋体" w:cs="宋体"/>
                <w:color w:val="000000"/>
                <w:kern w:val="2"/>
                <w:sz w:val="24"/>
                <w:szCs w:val="24"/>
              </w:rPr>
            </w:pPr>
          </w:p>
        </w:tc>
        <w:tc>
          <w:tcPr>
            <w:tcW w:w="6480" w:type="dxa"/>
            <w:vAlign w:val="center"/>
          </w:tcPr>
          <w:p w14:paraId="00222CB6">
            <w:pPr>
              <w:pStyle w:val="11"/>
              <w:keepNext w:val="0"/>
              <w:keepLines w:val="0"/>
              <w:widowControl w:val="0"/>
              <w:suppressLineNumbers w:val="0"/>
              <w:kinsoku/>
              <w:wordWrap/>
              <w:overflowPunct/>
              <w:topLinePunct w:val="0"/>
              <w:autoSpaceDE/>
              <w:autoSpaceDN/>
              <w:bidi w:val="0"/>
              <w:snapToGrid w:val="0"/>
              <w:spacing w:before="0" w:beforeAutospacing="0" w:afterAutospacing="0" w:line="360" w:lineRule="auto"/>
              <w:ind w:left="0" w:leftChars="0" w:right="0" w:firstLine="0" w:firstLineChars="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住院危急值报告监测及多维度统计分析功能，包括按科室、病区、医生、发布科室分别展示住院危急值报告发布例数、接收情况及用时、处理情况及用时。</w:t>
            </w:r>
          </w:p>
        </w:tc>
      </w:tr>
    </w:tbl>
    <w:p w14:paraId="6B19321B">
      <w:pPr>
        <w:keepNext/>
        <w:keepLines/>
        <w:pageBreakBefore w:val="0"/>
        <w:widowControl w:val="0"/>
        <w:kinsoku/>
        <w:wordWrap/>
        <w:overflowPunct/>
        <w:topLinePunct w:val="0"/>
        <w:autoSpaceDE/>
        <w:autoSpaceDN/>
        <w:bidi w:val="0"/>
        <w:adjustRightInd/>
        <w:snapToGrid/>
        <w:spacing w:before="20" w:beforeLines="0" w:beforeAutospacing="0" w:after="20" w:afterLines="0" w:afterAutospacing="0" w:line="360" w:lineRule="auto"/>
        <w:jc w:val="both"/>
        <w:textAlignment w:val="auto"/>
        <w:outlineLvl w:val="2"/>
        <w:rPr>
          <w:rFonts w:hint="eastAsia" w:asciiTheme="minorHAnsi" w:hAnsiTheme="minorHAnsi" w:eastAsiaTheme="minorEastAsia" w:cstheme="minorBidi"/>
          <w:b/>
          <w:kern w:val="2"/>
          <w:sz w:val="24"/>
          <w:szCs w:val="24"/>
          <w:lang w:val="en-US" w:eastAsia="zh-CN" w:bidi="ar-SA"/>
        </w:rPr>
      </w:pPr>
      <w:bookmarkStart w:id="53" w:name="_Toc8931"/>
      <w:r>
        <w:rPr>
          <w:rFonts w:hint="eastAsia" w:asciiTheme="minorHAnsi" w:hAnsiTheme="minorHAnsi" w:eastAsiaTheme="minorEastAsia" w:cstheme="minorBidi"/>
          <w:b/>
          <w:kern w:val="2"/>
          <w:sz w:val="24"/>
          <w:szCs w:val="24"/>
          <w:lang w:val="en-US" w:eastAsia="zh-CN" w:bidi="ar-SA"/>
        </w:rPr>
        <w:t>4.3.2台帐本管理</w:t>
      </w:r>
      <w:bookmarkEnd w:id="53"/>
    </w:p>
    <w:p w14:paraId="64C5858A">
      <w:bookmarkStart w:id="54" w:name="_GoBack"/>
      <w:bookmarkEnd w:id="5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C406D"/>
    <w:multiLevelType w:val="multilevel"/>
    <w:tmpl w:val="153C406D"/>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
    <w:nsid w:val="19964078"/>
    <w:multiLevelType w:val="multilevel"/>
    <w:tmpl w:val="19964078"/>
    <w:lvl w:ilvl="0" w:tentative="0">
      <w:start w:val="1"/>
      <w:numFmt w:val="bullet"/>
      <w:lvlText w:val=""/>
      <w:lvlJc w:val="left"/>
      <w:pPr>
        <w:ind w:left="982" w:hanging="420"/>
      </w:pPr>
      <w:rPr>
        <w:rFonts w:hint="default" w:ascii="Wingdings" w:hAnsi="Wingdings"/>
      </w:rPr>
    </w:lvl>
    <w:lvl w:ilvl="1" w:tentative="0">
      <w:start w:val="1"/>
      <w:numFmt w:val="bullet"/>
      <w:lvlText w:val=""/>
      <w:lvlJc w:val="left"/>
      <w:pPr>
        <w:ind w:left="1402" w:hanging="420"/>
      </w:pPr>
      <w:rPr>
        <w:rFonts w:hint="default" w:ascii="Wingdings" w:hAnsi="Wingdings"/>
      </w:rPr>
    </w:lvl>
    <w:lvl w:ilvl="2" w:tentative="0">
      <w:start w:val="1"/>
      <w:numFmt w:val="bullet"/>
      <w:lvlText w:val=""/>
      <w:lvlJc w:val="left"/>
      <w:pPr>
        <w:ind w:left="1822" w:hanging="420"/>
      </w:pPr>
      <w:rPr>
        <w:rFonts w:hint="default" w:ascii="Wingdings" w:hAnsi="Wingdings"/>
      </w:rPr>
    </w:lvl>
    <w:lvl w:ilvl="3" w:tentative="0">
      <w:start w:val="1"/>
      <w:numFmt w:val="bullet"/>
      <w:lvlText w:val=""/>
      <w:lvlJc w:val="left"/>
      <w:pPr>
        <w:ind w:left="2242" w:hanging="420"/>
      </w:pPr>
      <w:rPr>
        <w:rFonts w:hint="default" w:ascii="Wingdings" w:hAnsi="Wingdings"/>
      </w:rPr>
    </w:lvl>
    <w:lvl w:ilvl="4" w:tentative="0">
      <w:start w:val="1"/>
      <w:numFmt w:val="bullet"/>
      <w:lvlText w:val=""/>
      <w:lvlJc w:val="left"/>
      <w:pPr>
        <w:ind w:left="2662" w:hanging="420"/>
      </w:pPr>
      <w:rPr>
        <w:rFonts w:hint="default" w:ascii="Wingdings" w:hAnsi="Wingdings"/>
      </w:rPr>
    </w:lvl>
    <w:lvl w:ilvl="5" w:tentative="0">
      <w:start w:val="1"/>
      <w:numFmt w:val="bullet"/>
      <w:lvlText w:val=""/>
      <w:lvlJc w:val="left"/>
      <w:pPr>
        <w:ind w:left="3082" w:hanging="420"/>
      </w:pPr>
      <w:rPr>
        <w:rFonts w:hint="default" w:ascii="Wingdings" w:hAnsi="Wingdings"/>
      </w:rPr>
    </w:lvl>
    <w:lvl w:ilvl="6" w:tentative="0">
      <w:start w:val="1"/>
      <w:numFmt w:val="bullet"/>
      <w:lvlText w:val=""/>
      <w:lvlJc w:val="left"/>
      <w:pPr>
        <w:ind w:left="3502" w:hanging="420"/>
      </w:pPr>
      <w:rPr>
        <w:rFonts w:hint="default" w:ascii="Wingdings" w:hAnsi="Wingdings"/>
      </w:rPr>
    </w:lvl>
    <w:lvl w:ilvl="7" w:tentative="0">
      <w:start w:val="1"/>
      <w:numFmt w:val="bullet"/>
      <w:lvlText w:val=""/>
      <w:lvlJc w:val="left"/>
      <w:pPr>
        <w:ind w:left="3922" w:hanging="420"/>
      </w:pPr>
      <w:rPr>
        <w:rFonts w:hint="default" w:ascii="Wingdings" w:hAnsi="Wingdings"/>
      </w:rPr>
    </w:lvl>
    <w:lvl w:ilvl="8" w:tentative="0">
      <w:start w:val="1"/>
      <w:numFmt w:val="bullet"/>
      <w:lvlText w:val=""/>
      <w:lvlJc w:val="left"/>
      <w:pPr>
        <w:ind w:left="4342" w:hanging="420"/>
      </w:pPr>
      <w:rPr>
        <w:rFonts w:hint="default" w:ascii="Wingdings" w:hAnsi="Wingdings"/>
      </w:rPr>
    </w:lvl>
  </w:abstractNum>
  <w:abstractNum w:abstractNumId="2">
    <w:nsid w:val="37AB4BD8"/>
    <w:multiLevelType w:val="multilevel"/>
    <w:tmpl w:val="37AB4BD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40FE06E6"/>
    <w:multiLevelType w:val="multilevel"/>
    <w:tmpl w:val="40FE06E6"/>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B2866"/>
    <w:rsid w:val="0DDB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5">
    <w:name w:val="heading 1"/>
    <w:basedOn w:val="1"/>
    <w:next w:val="1"/>
    <w:qFormat/>
    <w:uiPriority w:val="0"/>
    <w:pPr>
      <w:keepNext/>
      <w:keepLines/>
      <w:spacing w:before="340" w:after="330" w:line="576" w:lineRule="auto"/>
      <w:outlineLvl w:val="0"/>
    </w:pPr>
    <w:rPr>
      <w:b/>
      <w:kern w:val="44"/>
      <w:sz w:val="44"/>
    </w:rPr>
  </w:style>
  <w:style w:type="paragraph" w:styleId="6">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cs="Times New Roman"/>
    </w:rPr>
  </w:style>
  <w:style w:type="paragraph" w:customStyle="1" w:styleId="3">
    <w:name w:val="style4"/>
    <w:basedOn w:val="1"/>
    <w:next w:val="4"/>
    <w:qFormat/>
    <w:uiPriority w:val="0"/>
    <w:pPr>
      <w:widowControl/>
      <w:spacing w:before="280" w:after="280"/>
    </w:pPr>
    <w:rPr>
      <w:rFonts w:ascii="宋体"/>
      <w:sz w:val="18"/>
    </w:rPr>
  </w:style>
  <w:style w:type="paragraph" w:customStyle="1" w:styleId="4">
    <w:name w:val="2"/>
    <w:next w:val="1"/>
    <w:qFormat/>
    <w:uiPriority w:val="0"/>
    <w:pPr>
      <w:widowControl w:val="0"/>
      <w:jc w:val="both"/>
    </w:pPr>
    <w:rPr>
      <w:rFonts w:ascii="Times New Roman" w:hAnsi="Times New Roman" w:eastAsia="宋体" w:cs="Times New Roman"/>
      <w:sz w:val="21"/>
      <w:szCs w:val="22"/>
      <w:lang w:val="en-US" w:eastAsia="zh-CN" w:bidi="ar-SA"/>
    </w:rPr>
  </w:style>
  <w:style w:type="paragraph" w:customStyle="1" w:styleId="9">
    <w:name w:val="null3"/>
    <w:hidden/>
    <w:qFormat/>
    <w:uiPriority w:val="0"/>
    <w:rPr>
      <w:rFonts w:hint="eastAsia" w:asciiTheme="minorHAnsi" w:hAnsiTheme="minorHAnsi" w:eastAsiaTheme="minorEastAsia" w:cstheme="minorBidi"/>
      <w:lang w:val="en-US" w:eastAsia="zh-Hans"/>
    </w:rPr>
  </w:style>
  <w:style w:type="paragraph" w:customStyle="1" w:styleId="10">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styleId="11">
    <w:name w:val="List Paragraph"/>
    <w:basedOn w:val="1"/>
    <w:qFormat/>
    <w:uiPriority w:val="99"/>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2025-05-06T02:40:00Z</dcterms:created>
  <dc:creator>admin</dc:creator>
  <cp:lastModifiedBy>admin</cp:lastModifiedBy>
  <dcterms:modified xsi:type="dcterms:W3CDTF">2025-05-06T02:40:37Z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55FAC452F89443689FC19DF1825ECF4D_11</vt:lpwstr>
  </property>
  <property fmtid="{D5CDD505-2E9C-101B-9397-08002B2CF9AE}" pid="4" name="KSOTemplateDocerSaveRecord">
    <vt:lpwstr>eyJoZGlkIjoiMzJmNDNkMjMyMjU0ZDhkOGU4NGZlY2M3ZjI4ZGU3YjYiLCJ1c2VySWQiOiIyOTg4NDg0MyJ9</vt:lpwstr>
  </property>
</Properties>
</file>