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2015D8">
      <w:pPr>
        <w:jc w:val="center"/>
        <w:rPr>
          <w:rFonts w:hint="eastAsia"/>
          <w:lang w:val="en-US" w:eastAsia="zh-CN"/>
        </w:rPr>
      </w:pPr>
      <w:r>
        <w:rPr>
          <w:rFonts w:hint="eastAsia"/>
          <w:lang w:val="en-US" w:eastAsia="zh-CN"/>
        </w:rPr>
        <w:t>省三医疗质控需求</w:t>
      </w:r>
    </w:p>
    <w:p w14:paraId="4A0FC2B9">
      <w:pPr>
        <w:pStyle w:val="2"/>
        <w:pageBreakBefore w:val="0"/>
        <w:widowControl w:val="0"/>
        <w:numPr>
          <w:ilvl w:val="0"/>
          <w:numId w:val="0"/>
        </w:numPr>
        <w:kinsoku/>
        <w:wordWrap/>
        <w:overflowPunct/>
        <w:topLinePunct w:val="0"/>
        <w:autoSpaceDE/>
        <w:autoSpaceDN/>
        <w:bidi w:val="0"/>
        <w:adjustRightInd w:val="0"/>
        <w:snapToGrid/>
        <w:spacing w:line="360" w:lineRule="auto"/>
        <w:ind w:leftChars="0"/>
        <w:textAlignment w:val="auto"/>
        <w:rPr>
          <w:rFonts w:hint="eastAsia"/>
          <w:lang w:val="en-US" w:eastAsia="zh-CN"/>
        </w:rPr>
      </w:pPr>
      <w:r>
        <w:rPr>
          <w:rFonts w:hint="eastAsia" w:ascii="宋体" w:hAnsi="宋体" w:eastAsia="宋体" w:cs="宋体"/>
          <w:sz w:val="24"/>
          <w:szCs w:val="24"/>
          <w:lang w:val="en-US" w:eastAsia="zh-CN"/>
        </w:rPr>
        <w:t>1</w:t>
      </w:r>
      <w:r>
        <w:rPr>
          <w:rFonts w:hint="eastAsia" w:ascii="宋体" w:hAnsi="宋体" w:cs="宋体"/>
          <w:sz w:val="24"/>
          <w:szCs w:val="24"/>
          <w:lang w:val="en-US" w:eastAsia="zh-CN"/>
        </w:rPr>
        <w:t>医疗质量管理系统</w:t>
      </w:r>
    </w:p>
    <w:p w14:paraId="44E4EF98">
      <w:pPr>
        <w:pStyle w:val="8"/>
        <w:rPr>
          <w:rFonts w:hint="eastAsia"/>
          <w:lang w:val="en-US" w:eastAsia="zh-CN"/>
        </w:rPr>
      </w:pPr>
      <w:r>
        <w:rPr>
          <w:rFonts w:hint="eastAsia"/>
          <w:lang w:val="en-US" w:eastAsia="zh-CN"/>
        </w:rPr>
        <w:drawing>
          <wp:inline distT="0" distB="0" distL="114300" distR="114300">
            <wp:extent cx="5273675" cy="3051175"/>
            <wp:effectExtent l="0" t="0" r="9525" b="9525"/>
            <wp:docPr id="9" name="图片 9" descr="173951995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39519959698"/>
                    <pic:cNvPicPr>
                      <a:picLocks noChangeAspect="1"/>
                    </pic:cNvPicPr>
                  </pic:nvPicPr>
                  <pic:blipFill>
                    <a:blip r:embed="rId4"/>
                    <a:stretch>
                      <a:fillRect/>
                    </a:stretch>
                  </pic:blipFill>
                  <pic:spPr>
                    <a:xfrm>
                      <a:off x="0" y="0"/>
                      <a:ext cx="5273675" cy="3051175"/>
                    </a:xfrm>
                    <a:prstGeom prst="rect">
                      <a:avLst/>
                    </a:prstGeom>
                  </pic:spPr>
                </pic:pic>
              </a:graphicData>
            </a:graphic>
          </wp:inline>
        </w:drawing>
      </w:r>
    </w:p>
    <w:p w14:paraId="07B6BF98">
      <w:pPr>
        <w:pStyle w:val="3"/>
        <w:pageBreakBefore w:val="0"/>
        <w:widowControl w:val="0"/>
        <w:numPr>
          <w:ilvl w:val="0"/>
          <w:numId w:val="1"/>
        </w:numPr>
        <w:kinsoku/>
        <w:wordWrap/>
        <w:overflowPunct/>
        <w:topLinePunct w:val="0"/>
        <w:autoSpaceDE/>
        <w:autoSpaceDN/>
        <w:bidi w:val="0"/>
        <w:adjustRightInd w:val="0"/>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一．产品概况简介</w:t>
      </w:r>
      <w:r>
        <w:rPr>
          <w:rFonts w:hint="eastAsia" w:ascii="宋体" w:hAnsi="宋体" w:eastAsia="宋体" w:cs="宋体"/>
          <w:b w:val="0"/>
          <w:bCs/>
          <w:sz w:val="24"/>
          <w:szCs w:val="24"/>
          <w:lang w:val="en-US" w:eastAsia="zh-CN"/>
        </w:rPr>
        <w:t>(包括但不限于应用范围、用途、功能、成效等)</w:t>
      </w:r>
    </w:p>
    <w:p w14:paraId="72C5F471">
      <w:pPr>
        <w:ind w:firstLine="48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系统以《公立医院高质量发展促进行动（2021-2025年）》为要求，并围绕医院日常诊疗行为、患者评估、三级查房、合理用药、检查检验、病历质量、会诊行为、危重症救治、患者安全管理、护理服务、院感防控等11个关键环节或行为的质量安全为目标，与此同时为新一轮的三甲复评提供信息化支撑。</w:t>
      </w:r>
    </w:p>
    <w:p w14:paraId="5EAC13AD">
      <w:pPr>
        <w:ind w:firstLine="48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系统以“十八项核心制度”为要求，建立起针对各类专项医疗质控指标进行监管监测，指标预警分析，并实现院科两级综合评价的，基于数据驱动的医疗质量监管监测平台。</w:t>
      </w:r>
    </w:p>
    <w:p w14:paraId="1F289313">
      <w:pPr>
        <w:pStyle w:val="3"/>
        <w:pageBreakBefore w:val="0"/>
        <w:widowControl w:val="0"/>
        <w:numPr>
          <w:ilvl w:val="0"/>
          <w:numId w:val="1"/>
        </w:numPr>
        <w:kinsoku/>
        <w:wordWrap/>
        <w:overflowPunct/>
        <w:topLinePunct w:val="0"/>
        <w:autoSpaceDE/>
        <w:autoSpaceDN/>
        <w:bidi w:val="0"/>
        <w:adjustRightInd w:val="0"/>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二．优势</w:t>
      </w:r>
    </w:p>
    <w:p w14:paraId="7B3718A4">
      <w:pPr>
        <w:pStyle w:val="3"/>
        <w:pageBreakBefore w:val="0"/>
        <w:widowControl w:val="0"/>
        <w:numPr>
          <w:ilvl w:val="0"/>
          <w:numId w:val="2"/>
        </w:numPr>
        <w:kinsoku/>
        <w:wordWrap/>
        <w:overflowPunct/>
        <w:topLinePunct w:val="0"/>
        <w:autoSpaceDE/>
        <w:autoSpaceDN/>
        <w:bidi w:val="0"/>
        <w:adjustRightInd w:val="0"/>
        <w:snapToGrid/>
        <w:spacing w:line="360" w:lineRule="auto"/>
        <w:ind w:leftChars="0"/>
        <w:textAlignment w:val="auto"/>
        <w:rPr>
          <w:rFonts w:hint="default" w:ascii="宋体" w:hAnsi="宋体" w:eastAsia="宋体" w:cs="宋体"/>
          <w:color w:val="000000"/>
          <w:sz w:val="24"/>
          <w:szCs w:val="24"/>
          <w:lang w:val="en-US" w:eastAsia="zh-CN" w:bidi="ar"/>
        </w:rPr>
      </w:pPr>
      <w:r>
        <w:rPr>
          <w:rFonts w:hint="eastAsia" w:ascii="宋体" w:hAnsi="宋体" w:eastAsia="宋体" w:cs="宋体"/>
          <w:b/>
          <w:bCs/>
          <w:sz w:val="24"/>
          <w:szCs w:val="24"/>
        </w:rPr>
        <w:t>建立院科两级三层网络架构医疗质</w:t>
      </w:r>
      <w:r>
        <w:rPr>
          <w:rFonts w:hint="eastAsia" w:ascii="宋体" w:hAnsi="宋体" w:eastAsia="宋体" w:cs="宋体"/>
          <w:b/>
          <w:bCs/>
          <w:sz w:val="24"/>
          <w:szCs w:val="24"/>
          <w:lang w:val="en-US" w:eastAsia="zh-CN"/>
        </w:rPr>
        <w:t>量</w:t>
      </w:r>
      <w:r>
        <w:rPr>
          <w:rFonts w:hint="eastAsia" w:ascii="宋体" w:hAnsi="宋体" w:eastAsia="宋体" w:cs="宋体"/>
          <w:b/>
          <w:bCs/>
          <w:sz w:val="24"/>
          <w:szCs w:val="24"/>
        </w:rPr>
        <w:t>管理体系</w:t>
      </w:r>
      <w:r>
        <w:rPr>
          <w:rFonts w:hint="eastAsia" w:ascii="宋体" w:hAnsi="宋体" w:eastAsia="宋体" w:cs="宋体"/>
          <w:b/>
          <w:bCs/>
          <w:sz w:val="24"/>
          <w:szCs w:val="24"/>
          <w:lang w:eastAsia="zh-CN"/>
        </w:rPr>
        <w:t>：</w:t>
      </w:r>
      <w:r>
        <w:rPr>
          <w:rFonts w:hint="eastAsia" w:ascii="宋体" w:hAnsi="宋体" w:eastAsia="宋体" w:cs="宋体"/>
          <w:b w:val="0"/>
          <w:bCs/>
          <w:sz w:val="24"/>
          <w:szCs w:val="24"/>
          <w:lang w:val="en-US" w:eastAsia="zh-CN"/>
        </w:rPr>
        <w:t>以医疗质量为中心，建立围绕医疗质量委员会的组织体系，制度体系，质量标准体系，质控监管体系，质控考核评价体系五位一体的精细化医疗质量组织管理。</w:t>
      </w:r>
    </w:p>
    <w:p w14:paraId="32DC6EDC">
      <w:pPr>
        <w:pStyle w:val="3"/>
        <w:pageBreakBefore w:val="0"/>
        <w:widowControl w:val="0"/>
        <w:numPr>
          <w:ilvl w:val="0"/>
          <w:numId w:val="2"/>
        </w:numPr>
        <w:kinsoku/>
        <w:wordWrap/>
        <w:overflowPunct/>
        <w:topLinePunct w:val="0"/>
        <w:autoSpaceDE/>
        <w:autoSpaceDN/>
        <w:bidi w:val="0"/>
        <w:adjustRightInd w:val="0"/>
        <w:snapToGrid/>
        <w:spacing w:line="360" w:lineRule="auto"/>
        <w:ind w:left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建立基于数据驱动，构建重点医疗质量指标监测与分析平台：</w:t>
      </w:r>
      <w:r>
        <w:rPr>
          <w:rFonts w:hint="eastAsia" w:ascii="宋体" w:hAnsi="宋体" w:eastAsia="宋体" w:cs="宋体"/>
          <w:b w:val="0"/>
          <w:bCs/>
          <w:color w:val="000000"/>
          <w:sz w:val="24"/>
          <w:szCs w:val="24"/>
          <w:lang w:val="en-US" w:eastAsia="zh-CN" w:bidi="ar"/>
        </w:rPr>
        <w:t>结合国家医疗质量安全改进目标、专业控制指标或用户可根据自身需求定义其他指标进行配置，支持对每一项指标进行监测频次（年，月，季）；使用图形化看板展示指标分析和对比。方便临床科主任以及质控科了解整体质量情况。</w:t>
      </w:r>
    </w:p>
    <w:p w14:paraId="3FEB0854">
      <w:pPr>
        <w:pStyle w:val="3"/>
        <w:pageBreakBefore w:val="0"/>
        <w:widowControl w:val="0"/>
        <w:numPr>
          <w:ilvl w:val="0"/>
          <w:numId w:val="2"/>
        </w:numPr>
        <w:kinsoku/>
        <w:wordWrap/>
        <w:overflowPunct/>
        <w:topLinePunct w:val="0"/>
        <w:autoSpaceDE/>
        <w:autoSpaceDN/>
        <w:bidi w:val="0"/>
        <w:adjustRightInd w:val="0"/>
        <w:snapToGrid/>
        <w:spacing w:line="360" w:lineRule="auto"/>
        <w:ind w:leftChars="0"/>
        <w:textAlignment w:val="auto"/>
        <w:rPr>
          <w:rFonts w:hint="eastAsia" w:ascii="宋体" w:hAnsi="宋体" w:eastAsia="宋体" w:cs="宋体"/>
          <w:sz w:val="24"/>
          <w:szCs w:val="24"/>
        </w:rPr>
      </w:pPr>
      <w:r>
        <w:rPr>
          <w:rFonts w:hint="eastAsia" w:ascii="宋体" w:hAnsi="宋体" w:eastAsia="宋体" w:cs="宋体"/>
          <w:b w:val="0"/>
          <w:bCs/>
          <w:color w:val="000000"/>
          <w:sz w:val="24"/>
          <w:szCs w:val="24"/>
          <w:lang w:val="en-US" w:eastAsia="zh-CN" w:bidi="ar"/>
        </w:rPr>
        <w:t>建立</w:t>
      </w:r>
      <w:r>
        <w:rPr>
          <w:rFonts w:hint="eastAsia" w:ascii="宋体" w:hAnsi="宋体" w:eastAsia="宋体" w:cs="宋体"/>
          <w:b/>
          <w:bCs/>
          <w:sz w:val="24"/>
          <w:szCs w:val="24"/>
          <w:lang w:val="en-US" w:eastAsia="zh-CN"/>
        </w:rPr>
        <w:t>PDCA的院科两级质控督查反馈平台：</w:t>
      </w:r>
      <w:r>
        <w:rPr>
          <w:rFonts w:hint="eastAsia" w:ascii="宋体" w:hAnsi="宋体" w:eastAsia="宋体" w:cs="宋体"/>
          <w:b w:val="0"/>
          <w:bCs w:val="0"/>
          <w:sz w:val="24"/>
          <w:szCs w:val="24"/>
        </w:rPr>
        <w:t>以PDCA</w:t>
      </w:r>
      <w:r>
        <w:rPr>
          <w:rFonts w:hint="eastAsia" w:ascii="宋体" w:hAnsi="宋体" w:eastAsia="宋体" w:cs="宋体"/>
          <w:b w:val="0"/>
          <w:bCs w:val="0"/>
          <w:sz w:val="24"/>
          <w:szCs w:val="24"/>
          <w:lang w:val="en-US" w:eastAsia="zh-CN"/>
        </w:rPr>
        <w:t>为</w:t>
      </w:r>
      <w:r>
        <w:rPr>
          <w:rFonts w:hint="eastAsia" w:ascii="宋体" w:hAnsi="宋体" w:eastAsia="宋体" w:cs="宋体"/>
          <w:b w:val="0"/>
          <w:bCs w:val="0"/>
          <w:sz w:val="24"/>
          <w:szCs w:val="24"/>
        </w:rPr>
        <w:t>理念</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建立院科两级三层网络的核心制度质控督查反馈平台</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实现</w:t>
      </w:r>
      <w:r>
        <w:rPr>
          <w:rFonts w:hint="eastAsia" w:ascii="宋体" w:hAnsi="宋体" w:eastAsia="宋体" w:cs="宋体"/>
          <w:b w:val="0"/>
          <w:bCs w:val="0"/>
          <w:sz w:val="24"/>
          <w:szCs w:val="24"/>
          <w:lang w:val="en-US" w:eastAsia="zh-CN"/>
        </w:rPr>
        <w:t>以</w:t>
      </w:r>
      <w:r>
        <w:rPr>
          <w:rFonts w:hint="eastAsia" w:ascii="宋体" w:hAnsi="宋体" w:eastAsia="宋体" w:cs="宋体"/>
          <w:b w:val="0"/>
          <w:bCs w:val="0"/>
          <w:sz w:val="24"/>
          <w:szCs w:val="24"/>
        </w:rPr>
        <w:t>医疗核心制度</w:t>
      </w:r>
      <w:r>
        <w:rPr>
          <w:rFonts w:hint="eastAsia" w:ascii="宋体" w:hAnsi="宋体" w:eastAsia="宋体" w:cs="宋体"/>
          <w:b w:val="0"/>
          <w:bCs w:val="0"/>
          <w:sz w:val="24"/>
          <w:szCs w:val="24"/>
          <w:lang w:val="en-US" w:eastAsia="zh-CN"/>
        </w:rPr>
        <w:t>为重点</w:t>
      </w:r>
      <w:r>
        <w:rPr>
          <w:rFonts w:hint="eastAsia" w:ascii="宋体" w:hAnsi="宋体" w:eastAsia="宋体" w:cs="宋体"/>
          <w:b w:val="0"/>
          <w:bCs w:val="0"/>
          <w:sz w:val="24"/>
          <w:szCs w:val="24"/>
        </w:rPr>
        <w:t>的检查，问题汇总，分析，反馈，评价的全过程信息化管理</w:t>
      </w:r>
      <w:r>
        <w:rPr>
          <w:rFonts w:hint="eastAsia" w:ascii="宋体" w:hAnsi="宋体" w:eastAsia="宋体" w:cs="宋体"/>
          <w:sz w:val="24"/>
          <w:szCs w:val="24"/>
        </w:rPr>
        <w:t>。</w:t>
      </w:r>
    </w:p>
    <w:p w14:paraId="3AFA25F6">
      <w:pPr>
        <w:pStyle w:val="4"/>
        <w:rPr>
          <w:rFonts w:hint="default"/>
          <w:lang w:val="en-US" w:eastAsia="zh-CN"/>
        </w:rPr>
      </w:pPr>
    </w:p>
    <w:p w14:paraId="6B01D0A9"/>
    <w:p w14:paraId="7D739AF3">
      <w:pPr>
        <w:pStyle w:val="2"/>
        <w:pageBreakBefore w:val="0"/>
        <w:widowControl w:val="0"/>
        <w:numPr>
          <w:ilvl w:val="0"/>
          <w:numId w:val="0"/>
        </w:numPr>
        <w:kinsoku/>
        <w:wordWrap/>
        <w:overflowPunct/>
        <w:topLinePunct w:val="0"/>
        <w:autoSpaceDE/>
        <w:autoSpaceDN/>
        <w:bidi w:val="0"/>
        <w:adjustRightInd w:val="0"/>
        <w:snapToGrid/>
        <w:spacing w:line="360" w:lineRule="auto"/>
        <w:ind w:leftChars="0"/>
        <w:textAlignment w:val="auto"/>
        <w:rPr>
          <w:rFonts w:hint="default" w:ascii="宋体" w:hAnsi="宋体" w:eastAsia="宋体" w:cs="宋体"/>
          <w:sz w:val="24"/>
          <w:szCs w:val="24"/>
          <w:lang w:val="en-US" w:eastAsia="zh-CN"/>
        </w:rPr>
      </w:pPr>
      <w:bookmarkStart w:id="0" w:name="_Toc3372"/>
      <w:bookmarkStart w:id="21" w:name="_GoBack"/>
      <w:bookmarkEnd w:id="21"/>
      <w:r>
        <w:rPr>
          <w:rFonts w:hint="eastAsia" w:ascii="宋体" w:hAnsi="宋体" w:eastAsia="宋体" w:cs="宋体"/>
          <w:sz w:val="24"/>
          <w:szCs w:val="24"/>
          <w:lang w:val="en-US" w:eastAsia="zh-CN"/>
        </w:rPr>
        <w:t>2医疗质控综合分析系统</w:t>
      </w:r>
      <w:bookmarkEnd w:id="0"/>
    </w:p>
    <w:tbl>
      <w:tblPr>
        <w:tblStyle w:val="5"/>
        <w:tblW w:w="9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1508"/>
        <w:gridCol w:w="6756"/>
      </w:tblGrid>
      <w:tr w14:paraId="4E02E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451" w:type="dxa"/>
            <w:vAlign w:val="center"/>
          </w:tcPr>
          <w:p w14:paraId="4EEC0126">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rPr>
            </w:pPr>
            <w:bookmarkStart w:id="1" w:name="_Toc32560"/>
            <w:bookmarkStart w:id="2" w:name="_Toc6466"/>
            <w:bookmarkStart w:id="3" w:name="_Toc20044"/>
            <w:bookmarkStart w:id="4" w:name="_Toc27609"/>
            <w:bookmarkStart w:id="5" w:name="_Toc3757"/>
            <w:r>
              <w:rPr>
                <w:rFonts w:hint="eastAsia" w:ascii="宋体" w:hAnsi="宋体" w:eastAsia="宋体" w:cs="宋体"/>
                <w:b/>
                <w:bCs/>
                <w:sz w:val="24"/>
                <w:szCs w:val="24"/>
              </w:rPr>
              <w:t>功能模块</w:t>
            </w:r>
            <w:bookmarkEnd w:id="1"/>
            <w:bookmarkEnd w:id="2"/>
            <w:bookmarkEnd w:id="3"/>
            <w:bookmarkEnd w:id="4"/>
            <w:bookmarkEnd w:id="5"/>
          </w:p>
        </w:tc>
        <w:tc>
          <w:tcPr>
            <w:tcW w:w="1508" w:type="dxa"/>
            <w:vAlign w:val="center"/>
          </w:tcPr>
          <w:p w14:paraId="6A027474">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rPr>
            </w:pPr>
            <w:bookmarkStart w:id="6" w:name="_Toc12847"/>
            <w:bookmarkStart w:id="7" w:name="_Toc16654"/>
            <w:bookmarkStart w:id="8" w:name="_Toc11221"/>
            <w:bookmarkStart w:id="9" w:name="_Toc676"/>
            <w:bookmarkStart w:id="10" w:name="_Toc15846"/>
            <w:r>
              <w:rPr>
                <w:rFonts w:hint="eastAsia" w:ascii="宋体" w:hAnsi="宋体" w:eastAsia="宋体" w:cs="宋体"/>
                <w:b/>
                <w:bCs/>
                <w:sz w:val="24"/>
                <w:szCs w:val="24"/>
              </w:rPr>
              <w:t>功能点</w:t>
            </w:r>
            <w:bookmarkEnd w:id="6"/>
            <w:bookmarkEnd w:id="7"/>
            <w:bookmarkEnd w:id="8"/>
            <w:bookmarkEnd w:id="9"/>
            <w:bookmarkEnd w:id="10"/>
          </w:p>
        </w:tc>
        <w:tc>
          <w:tcPr>
            <w:tcW w:w="6756" w:type="dxa"/>
            <w:vAlign w:val="center"/>
          </w:tcPr>
          <w:p w14:paraId="7BAB3DF5">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rPr>
            </w:pPr>
            <w:bookmarkStart w:id="11" w:name="_Toc8357"/>
            <w:bookmarkStart w:id="12" w:name="_Toc19989"/>
            <w:bookmarkStart w:id="13" w:name="_Toc15636"/>
            <w:bookmarkStart w:id="14" w:name="_Toc21603"/>
            <w:bookmarkStart w:id="15" w:name="_Toc747"/>
            <w:r>
              <w:rPr>
                <w:rFonts w:hint="eastAsia" w:ascii="宋体" w:hAnsi="宋体" w:eastAsia="宋体" w:cs="宋体"/>
                <w:b/>
                <w:bCs/>
                <w:sz w:val="24"/>
                <w:szCs w:val="24"/>
              </w:rPr>
              <w:t>功能描述</w:t>
            </w:r>
            <w:bookmarkEnd w:id="11"/>
            <w:bookmarkEnd w:id="12"/>
            <w:bookmarkEnd w:id="13"/>
            <w:bookmarkEnd w:id="14"/>
            <w:bookmarkEnd w:id="15"/>
          </w:p>
        </w:tc>
      </w:tr>
      <w:tr w14:paraId="14DD2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restart"/>
            <w:vAlign w:val="center"/>
          </w:tcPr>
          <w:p w14:paraId="15DAC9C4">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基础管理</w:t>
            </w:r>
          </w:p>
        </w:tc>
        <w:tc>
          <w:tcPr>
            <w:tcW w:w="1508" w:type="dxa"/>
            <w:vMerge w:val="restart"/>
            <w:vAlign w:val="center"/>
          </w:tcPr>
          <w:p w14:paraId="2E703CDE">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配置管理</w:t>
            </w:r>
          </w:p>
        </w:tc>
        <w:tc>
          <w:tcPr>
            <w:tcW w:w="6756" w:type="dxa"/>
            <w:vAlign w:val="center"/>
          </w:tcPr>
          <w:p w14:paraId="54A7FB9E">
            <w:pPr>
              <w:kinsoku/>
              <w:autoSpaceDE/>
              <w:autoSpaceDN/>
              <w:spacing w:line="360" w:lineRule="auto"/>
              <w:textAlignment w:val="center"/>
              <w:rPr>
                <w:rFonts w:hint="eastAsia"/>
                <w:b/>
                <w:bCs/>
                <w:sz w:val="21"/>
                <w:szCs w:val="21"/>
              </w:rPr>
            </w:pPr>
            <w:r>
              <w:rPr>
                <w:rFonts w:hint="eastAsia" w:ascii="宋体" w:hAnsi="宋体" w:cs="宋体"/>
                <w:color w:val="auto"/>
                <w:sz w:val="21"/>
                <w:szCs w:val="21"/>
                <w:lang w:eastAsia="zh-CN" w:bidi="ar"/>
              </w:rPr>
              <w:t>1）临床科室管理：依据医院管理要求，依据绩效管理的临床科室对象，提供对各级临床科室基础数据的管理；</w:t>
            </w:r>
          </w:p>
        </w:tc>
      </w:tr>
      <w:tr w14:paraId="329EB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4FEF181E">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vAlign w:val="center"/>
          </w:tcPr>
          <w:p w14:paraId="145F1597">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rPr>
            </w:pPr>
          </w:p>
        </w:tc>
        <w:tc>
          <w:tcPr>
            <w:tcW w:w="6756" w:type="dxa"/>
            <w:vAlign w:val="center"/>
          </w:tcPr>
          <w:p w14:paraId="21050A2C">
            <w:pPr>
              <w:kinsoku/>
              <w:autoSpaceDE/>
              <w:autoSpaceDN/>
              <w:spacing w:line="360" w:lineRule="auto"/>
              <w:textAlignment w:val="center"/>
              <w:rPr>
                <w:rFonts w:hint="eastAsia"/>
                <w:b/>
                <w:bCs/>
                <w:sz w:val="21"/>
                <w:szCs w:val="21"/>
              </w:rPr>
            </w:pPr>
            <w:r>
              <w:rPr>
                <w:rFonts w:hint="eastAsia" w:ascii="宋体" w:hAnsi="宋体" w:cs="宋体"/>
                <w:color w:val="auto"/>
                <w:sz w:val="21"/>
                <w:szCs w:val="21"/>
                <w:lang w:eastAsia="zh-CN" w:bidi="ar"/>
              </w:rPr>
              <w:t>2）出院病区管理：医院出院病区与临床科室的关联关系管理，以及变更操作编辑；</w:t>
            </w:r>
          </w:p>
        </w:tc>
      </w:tr>
      <w:tr w14:paraId="40B24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1EFC9370">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vAlign w:val="center"/>
          </w:tcPr>
          <w:p w14:paraId="15DB8CEC">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rPr>
            </w:pPr>
          </w:p>
        </w:tc>
        <w:tc>
          <w:tcPr>
            <w:tcW w:w="6756" w:type="dxa"/>
            <w:vAlign w:val="center"/>
          </w:tcPr>
          <w:p w14:paraId="30FD931C">
            <w:pPr>
              <w:kinsoku/>
              <w:autoSpaceDE/>
              <w:autoSpaceDN/>
              <w:spacing w:line="360" w:lineRule="auto"/>
              <w:textAlignment w:val="center"/>
              <w:rPr>
                <w:rFonts w:hint="eastAsia"/>
                <w:b/>
                <w:bCs/>
                <w:sz w:val="21"/>
                <w:szCs w:val="21"/>
              </w:rPr>
            </w:pPr>
            <w:r>
              <w:rPr>
                <w:rFonts w:hint="eastAsia" w:ascii="宋体" w:hAnsi="宋体" w:cs="宋体"/>
                <w:color w:val="auto"/>
                <w:sz w:val="21"/>
                <w:szCs w:val="21"/>
                <w:lang w:eastAsia="zh-CN" w:bidi="ar"/>
              </w:rPr>
              <w:t>3）医师管理：医院医师与临床科室的关联关系管理，以及变更操作编辑；</w:t>
            </w:r>
          </w:p>
        </w:tc>
      </w:tr>
      <w:tr w14:paraId="0670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0F0A1F57">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vAlign w:val="center"/>
          </w:tcPr>
          <w:p w14:paraId="2E7AEFD3">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rPr>
            </w:pPr>
          </w:p>
        </w:tc>
        <w:tc>
          <w:tcPr>
            <w:tcW w:w="6756" w:type="dxa"/>
            <w:vAlign w:val="center"/>
          </w:tcPr>
          <w:p w14:paraId="53063382">
            <w:pPr>
              <w:keepNext w:val="0"/>
              <w:keepLines w:val="0"/>
              <w:widowControl/>
              <w:suppressLineNumbers w:val="0"/>
              <w:spacing w:before="0" w:beforeAutospacing="0" w:afterAutospacing="0" w:line="360" w:lineRule="auto"/>
              <w:ind w:left="0" w:right="0"/>
              <w:rPr>
                <w:rFonts w:hint="eastAsia"/>
                <w:b/>
                <w:bCs/>
                <w:sz w:val="21"/>
                <w:szCs w:val="21"/>
              </w:rPr>
            </w:pPr>
            <w:r>
              <w:rPr>
                <w:rFonts w:hint="eastAsia" w:ascii="宋体" w:hAnsi="宋体" w:cs="宋体"/>
                <w:color w:val="auto"/>
                <w:sz w:val="21"/>
                <w:szCs w:val="21"/>
                <w:lang w:eastAsia="zh-CN" w:bidi="ar"/>
              </w:rPr>
              <w:t>4）临床科室对应关系管理：提供门诊科室与临床科室的对应关系管理；提供住院科室与临床科室的对应关系管理；</w:t>
            </w:r>
          </w:p>
        </w:tc>
      </w:tr>
      <w:tr w14:paraId="65DE8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137BC04C">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restart"/>
            <w:vAlign w:val="center"/>
          </w:tcPr>
          <w:p w14:paraId="264C7AD9">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指标管理</w:t>
            </w:r>
          </w:p>
        </w:tc>
        <w:tc>
          <w:tcPr>
            <w:tcW w:w="6756" w:type="dxa"/>
            <w:vAlign w:val="center"/>
          </w:tcPr>
          <w:p w14:paraId="3E3D72C6">
            <w:pPr>
              <w:keepNext w:val="0"/>
              <w:keepLines w:val="0"/>
              <w:widowControl/>
              <w:suppressLineNumbers w:val="0"/>
              <w:spacing w:before="0" w:beforeAutospacing="0" w:afterAutospacing="0" w:line="360" w:lineRule="auto"/>
              <w:ind w:left="0" w:right="0"/>
              <w:rPr>
                <w:rFonts w:hint="default" w:ascii="宋体" w:hAnsi="宋体" w:cs="宋体"/>
                <w:color w:val="auto"/>
                <w:sz w:val="21"/>
                <w:szCs w:val="21"/>
                <w:lang w:val="en-US" w:eastAsia="zh-CN" w:bidi="ar"/>
              </w:rPr>
            </w:pPr>
            <w:r>
              <w:rPr>
                <w:rFonts w:hint="eastAsia" w:ascii="宋体" w:hAnsi="宋体" w:cs="宋体"/>
                <w:color w:val="auto"/>
                <w:sz w:val="21"/>
                <w:szCs w:val="21"/>
                <w:lang w:val="en-US" w:eastAsia="zh-CN" w:bidi="ar"/>
              </w:rPr>
              <w:t>1）指标字典库：定义指标的名称、依据、属性（高优、低优、范围）、数据来源、计算方法；建立医院指标字典库</w:t>
            </w:r>
          </w:p>
        </w:tc>
      </w:tr>
      <w:tr w14:paraId="1BA58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084178C7">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vAlign w:val="center"/>
          </w:tcPr>
          <w:p w14:paraId="21ABCAC9">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rPr>
            </w:pPr>
          </w:p>
        </w:tc>
        <w:tc>
          <w:tcPr>
            <w:tcW w:w="6756" w:type="dxa"/>
            <w:vAlign w:val="center"/>
          </w:tcPr>
          <w:p w14:paraId="15FCBFF2">
            <w:pPr>
              <w:keepNext w:val="0"/>
              <w:keepLines w:val="0"/>
              <w:widowControl/>
              <w:suppressLineNumbers w:val="0"/>
              <w:spacing w:before="0" w:beforeAutospacing="0" w:afterAutospacing="0" w:line="360" w:lineRule="auto"/>
              <w:ind w:left="0" w:right="0"/>
              <w:rPr>
                <w:rFonts w:hint="default" w:ascii="宋体" w:hAnsi="宋体" w:cs="宋体"/>
                <w:color w:val="auto"/>
                <w:sz w:val="21"/>
                <w:szCs w:val="21"/>
                <w:lang w:val="en-US" w:eastAsia="zh-CN" w:bidi="ar"/>
              </w:rPr>
            </w:pPr>
            <w:r>
              <w:rPr>
                <w:rFonts w:hint="eastAsia" w:ascii="宋体" w:hAnsi="宋体" w:cs="宋体"/>
                <w:color w:val="auto"/>
                <w:sz w:val="21"/>
                <w:szCs w:val="21"/>
                <w:lang w:val="en-US" w:eastAsia="zh-CN" w:bidi="ar"/>
              </w:rPr>
              <w:t>2）指标库：结合医院发展，按年度的要求生成医院指标监测信息库，主要包括指标名称，目标值，对比值，预警值进行设置。</w:t>
            </w:r>
          </w:p>
        </w:tc>
      </w:tr>
      <w:tr w14:paraId="66F4B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09467052">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vAlign w:val="center"/>
          </w:tcPr>
          <w:p w14:paraId="75945841">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rPr>
            </w:pPr>
          </w:p>
        </w:tc>
        <w:tc>
          <w:tcPr>
            <w:tcW w:w="6756" w:type="dxa"/>
            <w:vAlign w:val="center"/>
          </w:tcPr>
          <w:p w14:paraId="6DBA2A6E">
            <w:pPr>
              <w:keepNext w:val="0"/>
              <w:keepLines w:val="0"/>
              <w:widowControl/>
              <w:suppressLineNumbers w:val="0"/>
              <w:spacing w:before="0" w:beforeAutospacing="0" w:afterAutospacing="0" w:line="360" w:lineRule="auto"/>
              <w:ind w:left="0" w:right="0"/>
              <w:rPr>
                <w:rFonts w:hint="default" w:ascii="宋体" w:hAnsi="宋体" w:cs="宋体"/>
                <w:color w:val="auto"/>
                <w:sz w:val="21"/>
                <w:szCs w:val="21"/>
                <w:lang w:val="en-US" w:eastAsia="zh-CN" w:bidi="ar"/>
              </w:rPr>
            </w:pPr>
            <w:r>
              <w:rPr>
                <w:rFonts w:hint="eastAsia" w:ascii="宋体" w:hAnsi="宋体" w:cs="宋体"/>
                <w:color w:val="auto"/>
                <w:sz w:val="21"/>
                <w:szCs w:val="21"/>
                <w:lang w:val="en-US" w:eastAsia="zh-CN" w:bidi="ar"/>
              </w:rPr>
              <w:t>3）</w:t>
            </w:r>
            <w:r>
              <w:rPr>
                <w:rFonts w:hint="eastAsia" w:ascii="宋体" w:hAnsi="宋体" w:eastAsia="宋体" w:cs="宋体"/>
                <w:i w:val="0"/>
                <w:iCs w:val="0"/>
                <w:color w:val="000000"/>
                <w:kern w:val="0"/>
                <w:sz w:val="21"/>
                <w:szCs w:val="21"/>
                <w:u w:val="none"/>
                <w:lang w:val="en-US" w:eastAsia="zh-CN" w:bidi="ar"/>
              </w:rPr>
              <w:t>用于总体浏览全组织建立的整体指标类别及对应的详细内容。</w:t>
            </w:r>
          </w:p>
        </w:tc>
      </w:tr>
      <w:tr w14:paraId="6CFC6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73768C6A">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Align w:val="center"/>
          </w:tcPr>
          <w:p w14:paraId="401FC58A">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系统管理</w:t>
            </w:r>
          </w:p>
        </w:tc>
        <w:tc>
          <w:tcPr>
            <w:tcW w:w="6756" w:type="dxa"/>
            <w:vAlign w:val="center"/>
          </w:tcPr>
          <w:p w14:paraId="3F33B231">
            <w:pPr>
              <w:keepNext w:val="0"/>
              <w:keepLines w:val="0"/>
              <w:widowControl/>
              <w:suppressLineNumbers w:val="0"/>
              <w:spacing w:before="0" w:beforeAutospacing="0" w:afterAutospacing="0" w:line="360" w:lineRule="auto"/>
              <w:ind w:left="0" w:right="0"/>
              <w:rPr>
                <w:rFonts w:hint="eastAsia" w:ascii="宋体" w:hAnsi="宋体" w:cs="宋体"/>
                <w:color w:val="auto"/>
                <w:sz w:val="21"/>
                <w:szCs w:val="21"/>
                <w:lang w:eastAsia="zh-CN" w:bidi="ar"/>
              </w:rPr>
            </w:pPr>
            <w:r>
              <w:rPr>
                <w:rFonts w:hint="eastAsia" w:ascii="宋体" w:hAnsi="宋体" w:eastAsia="宋体" w:cs="宋体"/>
                <w:i w:val="0"/>
                <w:iCs w:val="0"/>
                <w:color w:val="000000"/>
                <w:kern w:val="0"/>
                <w:sz w:val="21"/>
                <w:szCs w:val="21"/>
                <w:u w:val="none"/>
                <w:lang w:val="en-US" w:eastAsia="zh-CN" w:bidi="ar"/>
              </w:rPr>
              <w:t>通过角色关联用户，进行统一的权限管理。支持角色管理、用户管理、菜单管理；通过对用户账号权限设置，可限制业务系统展示的相关数据范围、菜单范围</w:t>
            </w:r>
          </w:p>
        </w:tc>
      </w:tr>
      <w:tr w14:paraId="4B304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restart"/>
            <w:vAlign w:val="center"/>
          </w:tcPr>
          <w:p w14:paraId="48C33497">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数据采集管理</w:t>
            </w:r>
          </w:p>
        </w:tc>
        <w:tc>
          <w:tcPr>
            <w:tcW w:w="1508" w:type="dxa"/>
            <w:vMerge w:val="restart"/>
            <w:vAlign w:val="center"/>
          </w:tcPr>
          <w:p w14:paraId="07828C19">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数据集成</w:t>
            </w:r>
          </w:p>
          <w:p w14:paraId="24E47B67">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rPr>
            </w:pPr>
          </w:p>
        </w:tc>
        <w:tc>
          <w:tcPr>
            <w:tcW w:w="6756" w:type="dxa"/>
            <w:vAlign w:val="center"/>
          </w:tcPr>
          <w:p w14:paraId="1C8E4A7D">
            <w:pPr>
              <w:keepNext w:val="0"/>
              <w:keepLines w:val="0"/>
              <w:widowControl/>
              <w:suppressLineNumbers w:val="0"/>
              <w:spacing w:before="0" w:beforeAutospacing="0" w:afterAutospacing="0" w:line="360" w:lineRule="auto"/>
              <w:ind w:left="0" w:right="0"/>
              <w:rPr>
                <w:rFonts w:hint="eastAsia"/>
                <w:sz w:val="21"/>
                <w:szCs w:val="21"/>
                <w:lang w:eastAsia="zh-CN"/>
              </w:rPr>
            </w:pPr>
            <w:bookmarkStart w:id="16" w:name="_Toc2331"/>
            <w:bookmarkStart w:id="17" w:name="_Toc14893"/>
            <w:bookmarkStart w:id="18" w:name="_Toc6573"/>
            <w:bookmarkStart w:id="19" w:name="_Toc8993"/>
            <w:bookmarkStart w:id="20" w:name="_Toc10709"/>
            <w:r>
              <w:rPr>
                <w:rFonts w:hint="eastAsia"/>
                <w:b/>
                <w:bCs/>
                <w:sz w:val="21"/>
                <w:szCs w:val="21"/>
              </w:rPr>
              <w:t>数据源管理</w:t>
            </w:r>
            <w:r>
              <w:rPr>
                <w:rFonts w:hint="eastAsia"/>
                <w:b/>
                <w:bCs/>
                <w:sz w:val="21"/>
                <w:szCs w:val="21"/>
                <w:lang w:eastAsia="zh-CN"/>
              </w:rPr>
              <w:t>：</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lang w:val="en-US" w:eastAsia="zh-Hans"/>
              </w:rPr>
              <w:t>支持对目前市面上各类数据库的数据源进行采集，包括Mysql、Postgresql、Oracle、Sqlserver、restFul接口</w:t>
            </w:r>
            <w:bookmarkEnd w:id="16"/>
            <w:bookmarkEnd w:id="17"/>
            <w:bookmarkEnd w:id="18"/>
            <w:bookmarkEnd w:id="19"/>
            <w:bookmarkEnd w:id="20"/>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lang w:val="en-US" w:eastAsia="zh-Hans"/>
              </w:rPr>
              <w:t>支持对数据源的创建，包括数据源类型、数据源名称、描述、IP主机名、端口、用户名、数据库</w:t>
            </w:r>
          </w:p>
        </w:tc>
      </w:tr>
      <w:tr w14:paraId="37ABE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2D82FCCE">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vAlign w:val="center"/>
          </w:tcPr>
          <w:p w14:paraId="4BA538C7">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rPr>
            </w:pPr>
          </w:p>
        </w:tc>
        <w:tc>
          <w:tcPr>
            <w:tcW w:w="6756" w:type="dxa"/>
            <w:vAlign w:val="center"/>
          </w:tcPr>
          <w:p w14:paraId="5497A565">
            <w:pPr>
              <w:keepNext w:val="0"/>
              <w:keepLines w:val="0"/>
              <w:widowControl/>
              <w:suppressLineNumbers w:val="0"/>
              <w:spacing w:before="0" w:beforeAutospacing="0" w:afterAutospacing="0" w:line="360" w:lineRule="auto"/>
              <w:ind w:left="0" w:right="0"/>
              <w:rPr>
                <w:rFonts w:hint="eastAsia"/>
                <w:sz w:val="21"/>
                <w:szCs w:val="21"/>
                <w:lang w:val="en-US" w:eastAsia="zh-CN"/>
              </w:rPr>
            </w:pPr>
            <w:r>
              <w:rPr>
                <w:rFonts w:hint="eastAsia"/>
                <w:b/>
                <w:bCs/>
                <w:sz w:val="21"/>
                <w:szCs w:val="21"/>
                <w:lang w:val="en-US" w:eastAsia="zh-CN"/>
              </w:rPr>
              <w:t>数据集成</w:t>
            </w:r>
            <w:r>
              <w:rPr>
                <w:rFonts w:hint="eastAsia"/>
                <w:sz w:val="21"/>
                <w:szCs w:val="21"/>
                <w:lang w:val="en-US" w:eastAsia="zh-CN"/>
              </w:rPr>
              <w:t>：实现对临床主要数据的集成主要包括：</w:t>
            </w:r>
          </w:p>
          <w:p w14:paraId="2D55C895">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1）</w:t>
            </w:r>
            <w:r>
              <w:rPr>
                <w:rFonts w:ascii="宋体" w:hAnsi="宋体" w:eastAsia="宋体" w:cs="宋体"/>
                <w:color w:val="000000"/>
                <w:sz w:val="21"/>
                <w:szCs w:val="21"/>
              </w:rPr>
              <w:t>就诊信息：病人基本信息、门诊就诊记录、住院就诊记录、住院婴儿信息、住院转科记录</w:t>
            </w:r>
          </w:p>
          <w:p w14:paraId="50761CF6">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2）</w:t>
            </w:r>
            <w:r>
              <w:rPr>
                <w:rFonts w:ascii="宋体" w:hAnsi="宋体" w:eastAsia="宋体" w:cs="宋体"/>
                <w:color w:val="000000"/>
                <w:sz w:val="21"/>
                <w:szCs w:val="21"/>
              </w:rPr>
              <w:t>医嘱信息：门诊处方、住院用药医嘱、住院非药品医嘱</w:t>
            </w:r>
          </w:p>
          <w:p w14:paraId="560EE9F6">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3）</w:t>
            </w:r>
            <w:r>
              <w:rPr>
                <w:rFonts w:ascii="宋体" w:hAnsi="宋体" w:eastAsia="宋体" w:cs="宋体"/>
                <w:color w:val="000000"/>
                <w:sz w:val="21"/>
                <w:szCs w:val="21"/>
              </w:rPr>
              <w:t>诊断信息：病人诊断记录</w:t>
            </w:r>
          </w:p>
          <w:p w14:paraId="55B55CEE">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4）</w:t>
            </w:r>
            <w:r>
              <w:rPr>
                <w:rFonts w:ascii="宋体" w:hAnsi="宋体" w:eastAsia="宋体" w:cs="宋体"/>
                <w:color w:val="000000"/>
                <w:sz w:val="21"/>
                <w:szCs w:val="21"/>
              </w:rPr>
              <w:t>过敏信息：病人过敏记录</w:t>
            </w:r>
          </w:p>
          <w:p w14:paraId="35C65B19">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5）</w:t>
            </w:r>
            <w:r>
              <w:rPr>
                <w:rFonts w:ascii="宋体" w:hAnsi="宋体" w:eastAsia="宋体" w:cs="宋体"/>
                <w:color w:val="000000"/>
                <w:sz w:val="21"/>
                <w:szCs w:val="21"/>
              </w:rPr>
              <w:t>费用信息：门诊费用汇总、门诊费用明细、住院结算信息、住院费用明细</w:t>
            </w:r>
          </w:p>
          <w:p w14:paraId="51FF4E8F">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6）</w:t>
            </w:r>
            <w:r>
              <w:rPr>
                <w:rFonts w:ascii="宋体" w:hAnsi="宋体" w:eastAsia="宋体" w:cs="宋体"/>
                <w:color w:val="000000"/>
                <w:sz w:val="21"/>
                <w:szCs w:val="21"/>
              </w:rPr>
              <w:t>病历文书：门诊病历、住院病历、护理病历</w:t>
            </w:r>
          </w:p>
          <w:p w14:paraId="21708814">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7）</w:t>
            </w:r>
            <w:r>
              <w:rPr>
                <w:rFonts w:ascii="宋体" w:hAnsi="宋体" w:eastAsia="宋体" w:cs="宋体"/>
                <w:color w:val="000000"/>
                <w:sz w:val="21"/>
                <w:szCs w:val="21"/>
              </w:rPr>
              <w:t>检查信息：放射学报告、心电报告、内窥镜报告、超声报告、病理报告、其他检查报告</w:t>
            </w:r>
          </w:p>
          <w:p w14:paraId="6C257C4D">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8）</w:t>
            </w:r>
            <w:r>
              <w:rPr>
                <w:rFonts w:ascii="宋体" w:hAnsi="宋体" w:eastAsia="宋体" w:cs="宋体"/>
                <w:color w:val="000000"/>
                <w:sz w:val="21"/>
                <w:szCs w:val="21"/>
              </w:rPr>
              <w:t>实验室检查：检验报告、微生物报告</w:t>
            </w:r>
          </w:p>
          <w:p w14:paraId="1D9F7CCC">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9）</w:t>
            </w:r>
            <w:r>
              <w:rPr>
                <w:rFonts w:ascii="宋体" w:hAnsi="宋体" w:eastAsia="宋体" w:cs="宋体"/>
                <w:color w:val="000000"/>
                <w:sz w:val="21"/>
                <w:szCs w:val="21"/>
              </w:rPr>
              <w:t>手术信息：手术记录、麻醉记录</w:t>
            </w:r>
          </w:p>
          <w:p w14:paraId="4C165E74">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10）</w:t>
            </w:r>
            <w:r>
              <w:rPr>
                <w:rFonts w:ascii="宋体" w:hAnsi="宋体" w:eastAsia="宋体" w:cs="宋体"/>
                <w:color w:val="000000"/>
                <w:sz w:val="21"/>
                <w:szCs w:val="21"/>
              </w:rPr>
              <w:t>护理信息：体征记录、护理记录</w:t>
            </w:r>
          </w:p>
          <w:p w14:paraId="310899B4">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11）</w:t>
            </w:r>
            <w:r>
              <w:rPr>
                <w:rFonts w:ascii="宋体" w:hAnsi="宋体" w:eastAsia="宋体" w:cs="宋体"/>
                <w:color w:val="000000"/>
                <w:sz w:val="21"/>
                <w:szCs w:val="21"/>
              </w:rPr>
              <w:t>病案信息：病案首页、病案诊断、病案手术、病案婴儿</w:t>
            </w:r>
          </w:p>
          <w:p w14:paraId="21FF100C">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12）</w:t>
            </w:r>
            <w:r>
              <w:rPr>
                <w:rFonts w:ascii="宋体" w:hAnsi="宋体" w:eastAsia="宋体" w:cs="宋体"/>
                <w:color w:val="000000"/>
                <w:sz w:val="21"/>
                <w:szCs w:val="21"/>
              </w:rPr>
              <w:t>输血信息：输血申请、备血信息</w:t>
            </w:r>
          </w:p>
          <w:p w14:paraId="00175506">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12）</w:t>
            </w:r>
            <w:r>
              <w:rPr>
                <w:rFonts w:ascii="宋体" w:hAnsi="宋体" w:eastAsia="宋体" w:cs="宋体"/>
                <w:color w:val="000000"/>
                <w:sz w:val="21"/>
                <w:szCs w:val="21"/>
              </w:rPr>
              <w:t>不良事件信息：不良事件上报信息</w:t>
            </w:r>
          </w:p>
          <w:p w14:paraId="3EF892D7">
            <w:pPr>
              <w:pStyle w:val="7"/>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1"/>
                <w:szCs w:val="21"/>
              </w:rPr>
            </w:pPr>
            <w:r>
              <w:rPr>
                <w:rFonts w:hint="eastAsia" w:ascii="宋体" w:hAnsi="宋体" w:eastAsia="宋体" w:cs="宋体"/>
                <w:color w:val="000000"/>
                <w:sz w:val="21"/>
                <w:szCs w:val="21"/>
                <w:lang w:val="en-US" w:eastAsia="zh-CN"/>
              </w:rPr>
              <w:t>13）</w:t>
            </w:r>
            <w:r>
              <w:rPr>
                <w:rFonts w:ascii="宋体" w:hAnsi="宋体" w:eastAsia="宋体" w:cs="宋体"/>
                <w:color w:val="000000"/>
                <w:sz w:val="21"/>
                <w:szCs w:val="21"/>
              </w:rPr>
              <w:t>点评信息：点评审核信息</w:t>
            </w:r>
          </w:p>
          <w:p w14:paraId="76DB02FE">
            <w:pPr>
              <w:keepNext w:val="0"/>
              <w:keepLines w:val="0"/>
              <w:widowControl/>
              <w:suppressLineNumbers w:val="0"/>
              <w:spacing w:before="0" w:beforeAutospacing="0" w:afterAutospacing="0" w:line="360" w:lineRule="auto"/>
              <w:ind w:left="0" w:right="0"/>
              <w:rPr>
                <w:rFonts w:hint="eastAsia"/>
                <w:b/>
                <w:bCs/>
                <w:sz w:val="21"/>
                <w:szCs w:val="21"/>
              </w:rPr>
            </w:pPr>
            <w:r>
              <w:rPr>
                <w:rFonts w:hint="eastAsia" w:ascii="宋体" w:hAnsi="宋体" w:eastAsia="宋体" w:cs="宋体"/>
                <w:color w:val="000000"/>
                <w:sz w:val="21"/>
                <w:szCs w:val="21"/>
                <w:lang w:val="en-US" w:eastAsia="zh-CN"/>
              </w:rPr>
              <w:t>14）</w:t>
            </w:r>
            <w:r>
              <w:rPr>
                <w:rFonts w:ascii="宋体" w:hAnsi="宋体" w:eastAsia="宋体" w:cs="宋体"/>
                <w:color w:val="000000"/>
                <w:sz w:val="21"/>
                <w:szCs w:val="21"/>
              </w:rPr>
              <w:t>上报信息：院内单病种上报结果</w:t>
            </w:r>
          </w:p>
        </w:tc>
      </w:tr>
      <w:tr w14:paraId="09E39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22597939">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restart"/>
            <w:vAlign w:val="center"/>
          </w:tcPr>
          <w:p w14:paraId="392D322A">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rPr>
            </w:pPr>
            <w:r>
              <w:rPr>
                <w:rFonts w:hint="eastAsia" w:ascii="宋体" w:hAnsi="宋体" w:eastAsia="宋体" w:cs="宋体"/>
                <w:sz w:val="21"/>
                <w:szCs w:val="21"/>
                <w:lang w:val="en-US" w:eastAsia="zh-CN"/>
              </w:rPr>
              <w:t>数据治理</w:t>
            </w:r>
          </w:p>
        </w:tc>
        <w:tc>
          <w:tcPr>
            <w:tcW w:w="6756" w:type="dxa"/>
            <w:vAlign w:val="center"/>
          </w:tcPr>
          <w:p w14:paraId="70364B5A">
            <w:pPr>
              <w:keepNext w:val="0"/>
              <w:keepLines w:val="0"/>
              <w:widowControl/>
              <w:suppressLineNumbers w:val="0"/>
              <w:spacing w:before="0" w:beforeAutospacing="0" w:afterAutospacing="0" w:line="360" w:lineRule="auto"/>
              <w:ind w:left="0" w:leftChars="0" w:right="0" w:rightChars="0"/>
              <w:rPr>
                <w:rFonts w:hint="eastAsia" w:ascii="宋体" w:hAnsi="宋体" w:eastAsia="宋体" w:cs="宋体"/>
                <w:kern w:val="2"/>
                <w:sz w:val="21"/>
                <w:szCs w:val="21"/>
                <w:lang w:val="en-US" w:eastAsia="zh-CN" w:bidi="ar-SA"/>
              </w:rPr>
            </w:pPr>
            <w:r>
              <w:rPr>
                <w:rFonts w:hint="eastAsia" w:ascii="宋体" w:hAnsi="宋体" w:eastAsia="宋体" w:cs="宋体"/>
                <w:b/>
                <w:bCs/>
                <w:sz w:val="21"/>
                <w:szCs w:val="21"/>
                <w:lang w:val="en-US" w:eastAsia="zh-CN"/>
              </w:rPr>
              <w:t>数据治理引擎：</w:t>
            </w:r>
            <w:r>
              <w:rPr>
                <w:rFonts w:hint="default" w:ascii="宋体" w:hAnsi="宋体" w:eastAsia="宋体" w:cs="宋体"/>
                <w:color w:val="000000"/>
                <w:sz w:val="21"/>
                <w:szCs w:val="21"/>
              </w:rPr>
              <w:t>数据治理引擎为处理医院历史和实时数据提供一个可视化、高性能、高吞吐和低延迟的智能化工具。</w:t>
            </w:r>
          </w:p>
        </w:tc>
      </w:tr>
      <w:tr w14:paraId="0D2D4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613641DF">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vAlign w:val="center"/>
          </w:tcPr>
          <w:p w14:paraId="099EE0F3">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6756" w:type="dxa"/>
            <w:vAlign w:val="center"/>
          </w:tcPr>
          <w:p w14:paraId="42FB12A2">
            <w:pPr>
              <w:pStyle w:val="7"/>
              <w:keepNext w:val="0"/>
              <w:keepLines w:val="0"/>
              <w:widowControl/>
              <w:suppressLineNumbers w:val="0"/>
              <w:spacing w:before="0" w:beforeAutospacing="0" w:after="0" w:afterAutospacing="0" w:line="360" w:lineRule="auto"/>
              <w:ind w:left="0" w:right="0"/>
              <w:jc w:val="both"/>
              <w:rPr>
                <w:sz w:val="21"/>
                <w:szCs w:val="21"/>
              </w:rPr>
            </w:pPr>
            <w:r>
              <w:rPr>
                <w:rFonts w:hint="eastAsia" w:ascii="宋体" w:hAnsi="宋体" w:eastAsia="宋体" w:cs="宋体"/>
                <w:b/>
                <w:bCs/>
                <w:sz w:val="21"/>
                <w:szCs w:val="21"/>
                <w:lang w:val="en-US" w:eastAsia="zh-CN"/>
              </w:rPr>
              <w:t>数据治理管理：</w:t>
            </w:r>
            <w:r>
              <w:rPr>
                <w:rFonts w:ascii="宋体" w:hAnsi="宋体" w:eastAsia="宋体" w:cs="宋体"/>
                <w:color w:val="000000"/>
                <w:sz w:val="21"/>
                <w:szCs w:val="21"/>
              </w:rPr>
              <w:t>1.支持通过各类数据治理功能对采集的原始业务数据进行一定规则治理后落库到目标数据库</w:t>
            </w:r>
          </w:p>
          <w:p w14:paraId="0CDE6D68">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sz w:val="21"/>
                <w:szCs w:val="21"/>
                <w:lang w:val="en-US" w:eastAsia="zh-CN"/>
              </w:rPr>
            </w:pPr>
            <w:r>
              <w:rPr>
                <w:rFonts w:ascii="宋体" w:hAnsi="宋体" w:eastAsia="宋体" w:cs="宋体"/>
                <w:color w:val="000000"/>
                <w:sz w:val="21"/>
                <w:szCs w:val="21"/>
              </w:rPr>
              <w:t>2.支持给类数据治理节点，包括：输入节点、常量节点、通用转换、外部查询、SQL查询、输入过滤、过滤节点、JSON解析节点、XML解析节点、输出节点等，系统还支持导入各类治理模板</w:t>
            </w:r>
          </w:p>
        </w:tc>
      </w:tr>
      <w:tr w14:paraId="4CAD5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vAlign w:val="center"/>
          </w:tcPr>
          <w:p w14:paraId="38CF920E">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vAlign w:val="center"/>
          </w:tcPr>
          <w:p w14:paraId="5AF7F4FB">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6756" w:type="dxa"/>
            <w:vAlign w:val="center"/>
          </w:tcPr>
          <w:p w14:paraId="060A9458">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sz w:val="21"/>
                <w:szCs w:val="21"/>
                <w:lang w:val="en-US" w:eastAsia="zh-CN"/>
              </w:rPr>
            </w:pPr>
            <w:r>
              <w:rPr>
                <w:rFonts w:ascii="宋体" w:hAnsi="宋体" w:eastAsia="宋体" w:cs="宋体"/>
                <w:b/>
                <w:sz w:val="21"/>
                <w:szCs w:val="21"/>
              </w:rPr>
              <w:t>标准医学术语治理</w:t>
            </w:r>
            <w:r>
              <w:rPr>
                <w:rFonts w:hint="eastAsia" w:ascii="宋体" w:hAnsi="宋体" w:eastAsia="宋体" w:cs="宋体"/>
                <w:b/>
                <w:sz w:val="21"/>
                <w:szCs w:val="21"/>
                <w:lang w:eastAsia="zh-CN"/>
              </w:rPr>
              <w:t>：</w:t>
            </w:r>
            <w:r>
              <w:rPr>
                <w:rFonts w:ascii="宋体" w:hAnsi="宋体" w:eastAsia="宋体" w:cs="宋体"/>
                <w:b/>
                <w:color w:val="000000"/>
                <w:sz w:val="21"/>
                <w:szCs w:val="21"/>
              </w:rPr>
              <w:t>代码归一</w:t>
            </w:r>
            <w:r>
              <w:rPr>
                <w:rFonts w:hint="eastAsia" w:ascii="宋体" w:hAnsi="宋体" w:eastAsia="宋体" w:cs="宋体"/>
                <w:b/>
                <w:color w:val="000000"/>
                <w:sz w:val="21"/>
                <w:szCs w:val="21"/>
                <w:lang w:val="en-US" w:eastAsia="zh-CN"/>
              </w:rPr>
              <w:t>处理：</w:t>
            </w:r>
            <w:r>
              <w:rPr>
                <w:rFonts w:ascii="宋体" w:hAnsi="宋体" w:eastAsia="宋体" w:cs="宋体"/>
                <w:color w:val="000000"/>
                <w:sz w:val="21"/>
                <w:szCs w:val="21"/>
              </w:rPr>
              <w:t>实现各个不同业务系统的代码对照和归一：要求展示基准代码系统和对照代码系统中已对照的字典项比例。</w:t>
            </w:r>
          </w:p>
        </w:tc>
      </w:tr>
      <w:tr w14:paraId="5558E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2A4DC362">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tcPr>
          <w:p w14:paraId="6E189A68">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6756" w:type="dxa"/>
            <w:vAlign w:val="center"/>
          </w:tcPr>
          <w:p w14:paraId="2A26DB85">
            <w:pPr>
              <w:pStyle w:val="7"/>
              <w:keepNext w:val="0"/>
              <w:keepLines w:val="0"/>
              <w:widowControl/>
              <w:suppressLineNumbers w:val="0"/>
              <w:spacing w:before="0" w:beforeAutospacing="0" w:after="0" w:afterAutospacing="0" w:line="360" w:lineRule="auto"/>
              <w:ind w:left="0" w:right="0"/>
              <w:jc w:val="both"/>
              <w:rPr>
                <w:rFonts w:hint="default" w:ascii="宋体" w:hAnsi="宋体" w:eastAsia="宋体" w:cs="宋体"/>
                <w:color w:val="000000"/>
                <w:sz w:val="21"/>
                <w:szCs w:val="21"/>
                <w:lang w:val="en-US" w:eastAsia="zh-CN"/>
              </w:rPr>
            </w:pPr>
            <w:r>
              <w:rPr>
                <w:rFonts w:hint="eastAsia" w:ascii="宋体" w:hAnsi="宋体" w:eastAsia="宋体" w:cs="宋体"/>
                <w:b/>
                <w:bCs/>
                <w:color w:val="000000"/>
                <w:sz w:val="21"/>
                <w:szCs w:val="21"/>
                <w:lang w:val="en-US" w:eastAsia="zh-CN"/>
              </w:rPr>
              <w:t>结构化数据治理：</w:t>
            </w:r>
            <w:r>
              <w:rPr>
                <w:rFonts w:ascii="宋体" w:hAnsi="宋体" w:eastAsia="宋体" w:cs="宋体"/>
                <w:sz w:val="21"/>
                <w:szCs w:val="21"/>
              </w:rPr>
              <w:t>通过各种数据治理手段，结合标准的医疗术语的标准规范管理，实现数据的标准化、结构化，并实现数据治理过程中的完整性、自洽性、一致性；</w:t>
            </w:r>
            <w:r>
              <w:rPr>
                <w:rFonts w:ascii="宋体" w:hAnsi="宋体" w:eastAsia="宋体" w:cs="宋体"/>
                <w:color w:val="000000"/>
                <w:sz w:val="21"/>
                <w:szCs w:val="21"/>
              </w:rPr>
              <w:t>数据标准化：元数据统一、数据模型统一、基础字典标准化（包含科室、人员、收费项目等）。针对结构化数据校验内容有类型，长度，是否为空，精度，范围，格式等信息，如果数据不符合，会进行过滤，只有正确的数据才能继续使用；对于错误的数据，可以进行输出，包括错误原因和错误字段序号等信息，也可以进行自动重试并跟踪重试进度。</w:t>
            </w:r>
          </w:p>
        </w:tc>
      </w:tr>
      <w:tr w14:paraId="69E1C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09D5F1CE">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1508" w:type="dxa"/>
            <w:vMerge w:val="continue"/>
          </w:tcPr>
          <w:p w14:paraId="0E2C60B7">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p>
        </w:tc>
        <w:tc>
          <w:tcPr>
            <w:tcW w:w="6756" w:type="dxa"/>
            <w:vAlign w:val="center"/>
          </w:tcPr>
          <w:p w14:paraId="17C83A9C">
            <w:pPr>
              <w:pStyle w:val="7"/>
              <w:keepNext w:val="0"/>
              <w:keepLines w:val="0"/>
              <w:widowControl/>
              <w:suppressLineNumbers w:val="0"/>
              <w:spacing w:before="0" w:beforeAutospacing="0" w:after="0" w:afterAutospacing="0" w:line="360" w:lineRule="auto"/>
              <w:ind w:left="0" w:leftChars="0" w:right="0" w:rightChars="0"/>
              <w:jc w:val="both"/>
              <w:rPr>
                <w:rFonts w:hint="default" w:ascii="宋体" w:hAnsi="宋体" w:eastAsia="宋体" w:cs="宋体"/>
                <w:color w:val="000000"/>
                <w:sz w:val="21"/>
                <w:szCs w:val="21"/>
                <w:lang w:val="en-US" w:eastAsia="zh-CN"/>
              </w:rPr>
            </w:pPr>
            <w:r>
              <w:rPr>
                <w:rFonts w:hint="eastAsia" w:ascii="宋体" w:hAnsi="宋体" w:eastAsia="宋体" w:cs="宋体"/>
                <w:b/>
                <w:bCs/>
                <w:color w:val="000000"/>
                <w:sz w:val="21"/>
                <w:szCs w:val="21"/>
                <w:lang w:val="en-US" w:eastAsia="zh-CN"/>
              </w:rPr>
              <w:t>非结构化数据治理:</w:t>
            </w:r>
            <w:r>
              <w:rPr>
                <w:rFonts w:ascii="宋体" w:hAnsi="宋体" w:eastAsia="宋体" w:cs="宋体"/>
                <w:color w:val="000000"/>
                <w:sz w:val="21"/>
                <w:szCs w:val="21"/>
              </w:rPr>
              <w:t>支持非标准化概念与标准化概念间的映射转换，实现数据标准化应用</w:t>
            </w:r>
          </w:p>
        </w:tc>
      </w:tr>
      <w:tr w14:paraId="5358C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restart"/>
            <w:vAlign w:val="center"/>
          </w:tcPr>
          <w:p w14:paraId="40A0A5E2">
            <w:pPr>
              <w:keepNext w:val="0"/>
              <w:keepLines w:val="0"/>
              <w:widowControl/>
              <w:suppressLineNumbers w:val="0"/>
              <w:spacing w:before="0" w:beforeAutospacing="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医疗质量监测</w:t>
            </w:r>
          </w:p>
        </w:tc>
        <w:tc>
          <w:tcPr>
            <w:tcW w:w="1508" w:type="dxa"/>
          </w:tcPr>
          <w:p w14:paraId="61C27EA2">
            <w:pPr>
              <w:keepNext w:val="0"/>
              <w:keepLines w:val="0"/>
              <w:widowControl/>
              <w:suppressLineNumbers w:val="0"/>
              <w:spacing w:before="0" w:beforeAutospacing="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诊断质量监测</w:t>
            </w:r>
          </w:p>
        </w:tc>
        <w:tc>
          <w:tcPr>
            <w:tcW w:w="6756" w:type="dxa"/>
            <w:vAlign w:val="center"/>
          </w:tcPr>
          <w:p w14:paraId="5C62D600">
            <w:pPr>
              <w:pStyle w:val="7"/>
              <w:keepNext w:val="0"/>
              <w:keepLines w:val="0"/>
              <w:widowControl/>
              <w:suppressLineNumbers w:val="0"/>
              <w:spacing w:before="0" w:beforeAutospacing="0" w:after="0" w:afterAutospacing="0" w:line="360" w:lineRule="auto"/>
              <w:ind w:left="0" w:leftChars="0" w:right="0" w:rightChars="0"/>
              <w:jc w:val="both"/>
              <w:rPr>
                <w:rFonts w:hint="default"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实现医院诊断质量水平的监测按周，月，季，年进行监测</w:t>
            </w:r>
          </w:p>
          <w:p w14:paraId="48BF25A7">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门诊诊断与出院诊断符合率</w:t>
            </w:r>
          </w:p>
          <w:p w14:paraId="2DC1966B">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入院诊断与出院诊断符合率</w:t>
            </w:r>
          </w:p>
          <w:p w14:paraId="098935C9">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术前诊断与术后诊断符合率</w:t>
            </w:r>
          </w:p>
          <w:p w14:paraId="43DCF610">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三日确诊率等诊断指标的监测</w:t>
            </w:r>
          </w:p>
          <w:p w14:paraId="18F1035C">
            <w:pPr>
              <w:pStyle w:val="7"/>
              <w:keepNext w:val="0"/>
              <w:keepLines w:val="0"/>
              <w:widowControl/>
              <w:suppressLineNumbers w:val="0"/>
              <w:spacing w:before="0" w:beforeAutospacing="0" w:after="0" w:afterAutospacing="0" w:line="360" w:lineRule="auto"/>
              <w:ind w:left="0" w:leftChars="0" w:right="0" w:rightChars="0"/>
              <w:jc w:val="both"/>
              <w:rPr>
                <w:rFonts w:hint="default" w:ascii="宋体" w:hAnsi="宋体" w:eastAsia="宋体" w:cs="宋体"/>
                <w:b/>
                <w:bCs/>
                <w:color w:val="000000"/>
                <w:sz w:val="21"/>
                <w:szCs w:val="21"/>
                <w:lang w:val="en-US" w:eastAsia="zh-CN"/>
              </w:rPr>
            </w:pPr>
            <w:r>
              <w:rPr>
                <w:rFonts w:hint="eastAsia" w:ascii="宋体" w:hAnsi="宋体" w:eastAsia="宋体" w:cs="宋体"/>
                <w:b w:val="0"/>
                <w:bCs w:val="0"/>
                <w:color w:val="000000"/>
                <w:sz w:val="21"/>
                <w:szCs w:val="21"/>
                <w:lang w:val="en-US" w:eastAsia="zh-CN"/>
              </w:rPr>
              <w:t>支持下钻至科室</w:t>
            </w:r>
          </w:p>
        </w:tc>
      </w:tr>
      <w:tr w14:paraId="3BB6B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228EFEE9">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009FF0FA">
            <w:pPr>
              <w:keepNext w:val="0"/>
              <w:keepLines w:val="0"/>
              <w:widowControl/>
              <w:suppressLineNumbers w:val="0"/>
              <w:spacing w:before="0" w:beforeAutospacing="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手术质量监测</w:t>
            </w:r>
          </w:p>
        </w:tc>
        <w:tc>
          <w:tcPr>
            <w:tcW w:w="6756" w:type="dxa"/>
            <w:vAlign w:val="center"/>
          </w:tcPr>
          <w:p w14:paraId="42A376B6">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实现医院手术质量监测监测按周，月，季，年进行监测</w:t>
            </w:r>
          </w:p>
          <w:p w14:paraId="16CDF208">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手术并发症类指标(手术患者并发症发生率、术后肺栓塞发生率、术后深静脉血栓发生率、术后败血症发生率、术后出血或血肿发生率、手术伤口裂开发生率、术后猝死发生率、手术死亡患者手术并发症发生率、术后呼吸衰竭发生率、术后生理/代谢紊乱发生率、麻醉并发症发生率)</w:t>
            </w:r>
          </w:p>
          <w:p w14:paraId="6DE3C3FB">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全麻手术术前禁食医嘱未下达率</w:t>
            </w:r>
          </w:p>
          <w:p w14:paraId="2C512E87">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择期手未按期实施手术发生率</w:t>
            </w:r>
          </w:p>
          <w:p w14:paraId="24CB92F1">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非计划重返手术室再手术率</w:t>
            </w:r>
          </w:p>
          <w:p w14:paraId="21697297">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I 类切口手术抗菌药物预防使用率</w:t>
            </w:r>
          </w:p>
          <w:p w14:paraId="5A7A06D6">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日间手术占择期手术比例</w:t>
            </w:r>
          </w:p>
          <w:p w14:paraId="2CD22ACD">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住院手术患者VTE 发生率</w:t>
            </w:r>
          </w:p>
          <w:p w14:paraId="650F680D">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val="0"/>
                <w:bCs w:val="0"/>
                <w:color w:val="000000"/>
                <w:sz w:val="21"/>
                <w:szCs w:val="21"/>
                <w:lang w:val="en-US" w:eastAsia="zh-CN"/>
              </w:rPr>
              <w:t>支持下钻至科室</w:t>
            </w:r>
          </w:p>
        </w:tc>
      </w:tr>
      <w:tr w14:paraId="201BD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58BCA783">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55DA8F47">
            <w:pPr>
              <w:keepNext w:val="0"/>
              <w:keepLines w:val="0"/>
              <w:widowControl/>
              <w:suppressLineNumbers w:val="0"/>
              <w:spacing w:before="0" w:beforeAutospacing="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重返质量监测</w:t>
            </w:r>
          </w:p>
        </w:tc>
        <w:tc>
          <w:tcPr>
            <w:tcW w:w="6756" w:type="dxa"/>
            <w:vAlign w:val="center"/>
          </w:tcPr>
          <w:p w14:paraId="3F67FB97">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实现</w:t>
            </w:r>
            <w:r>
              <w:rPr>
                <w:rFonts w:hint="eastAsia" w:ascii="宋体" w:hAnsi="宋体" w:eastAsia="宋体" w:cs="宋体"/>
                <w:b/>
                <w:bCs/>
                <w:sz w:val="21"/>
                <w:szCs w:val="21"/>
                <w:lang w:val="en-US" w:eastAsia="zh-CN"/>
              </w:rPr>
              <w:t>重返质量监测</w:t>
            </w:r>
            <w:r>
              <w:rPr>
                <w:rFonts w:hint="eastAsia" w:ascii="宋体" w:hAnsi="宋体" w:eastAsia="宋体" w:cs="宋体"/>
                <w:b/>
                <w:bCs/>
                <w:color w:val="000000"/>
                <w:sz w:val="21"/>
                <w:szCs w:val="21"/>
                <w:lang w:val="en-US" w:eastAsia="zh-CN"/>
              </w:rPr>
              <w:t>按周，月，季，年进行监测</w:t>
            </w:r>
          </w:p>
          <w:p w14:paraId="208F96BF">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重返住院主要监测</w:t>
            </w:r>
          </w:p>
          <w:p w14:paraId="34031AC8">
            <w:pPr>
              <w:pStyle w:val="7"/>
              <w:keepNext w:val="0"/>
              <w:keepLines w:val="0"/>
              <w:widowControl/>
              <w:suppressLineNumbers w:val="0"/>
              <w:spacing w:before="0" w:beforeAutospacing="0" w:after="0" w:afterAutospacing="0" w:line="360" w:lineRule="auto"/>
              <w:ind w:left="0" w:leftChars="0" w:right="0" w:rightChars="0" w:firstLine="210" w:firstLineChars="10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住院患者出院31天内再住院率</w:t>
            </w:r>
          </w:p>
          <w:p w14:paraId="66396527">
            <w:pPr>
              <w:pStyle w:val="7"/>
              <w:keepNext w:val="0"/>
              <w:keepLines w:val="0"/>
              <w:widowControl/>
              <w:suppressLineNumbers w:val="0"/>
              <w:spacing w:before="0" w:beforeAutospacing="0" w:after="0" w:afterAutospacing="0" w:line="360" w:lineRule="auto"/>
              <w:ind w:left="0" w:leftChars="0" w:right="0" w:rightChars="0" w:firstLine="210" w:firstLineChars="10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住院患者出院当天再住院率</w:t>
            </w:r>
          </w:p>
          <w:p w14:paraId="3BFC9546">
            <w:pPr>
              <w:pStyle w:val="7"/>
              <w:keepNext w:val="0"/>
              <w:keepLines w:val="0"/>
              <w:widowControl/>
              <w:suppressLineNumbers w:val="0"/>
              <w:spacing w:before="0" w:beforeAutospacing="0" w:after="0" w:afterAutospacing="0" w:line="360" w:lineRule="auto"/>
              <w:ind w:left="0" w:leftChars="0" w:right="0" w:rightChars="0" w:firstLine="210" w:firstLineChars="10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住院患者出院2-15 天内再住院率</w:t>
            </w:r>
          </w:p>
          <w:p w14:paraId="7E95A181">
            <w:pPr>
              <w:pStyle w:val="7"/>
              <w:keepNext w:val="0"/>
              <w:keepLines w:val="0"/>
              <w:widowControl/>
              <w:suppressLineNumbers w:val="0"/>
              <w:spacing w:before="0" w:beforeAutospacing="0" w:after="0" w:afterAutospacing="0" w:line="360" w:lineRule="auto"/>
              <w:ind w:left="0" w:leftChars="0" w:right="0" w:rightChars="0" w:firstLine="210" w:firstLineChars="10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住院患者出院16-31天内再住院率</w:t>
            </w:r>
          </w:p>
          <w:p w14:paraId="6BD5E3D4">
            <w:pPr>
              <w:pStyle w:val="7"/>
              <w:keepNext w:val="0"/>
              <w:keepLines w:val="0"/>
              <w:widowControl/>
              <w:suppressLineNumbers w:val="0"/>
              <w:spacing w:before="0" w:beforeAutospacing="0" w:after="0" w:afterAutospacing="0" w:line="360" w:lineRule="auto"/>
              <w:ind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重返手术室主要监测</w:t>
            </w:r>
          </w:p>
          <w:p w14:paraId="76F95CB9">
            <w:pPr>
              <w:pStyle w:val="7"/>
              <w:keepNext w:val="0"/>
              <w:keepLines w:val="0"/>
              <w:widowControl/>
              <w:suppressLineNumbers w:val="0"/>
              <w:spacing w:before="0" w:beforeAutospacing="0" w:after="0" w:afterAutospacing="0" w:line="360" w:lineRule="auto"/>
              <w:ind w:left="0" w:leftChars="0" w:right="0" w:rightChars="0" w:firstLine="210" w:firstLineChars="10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手术患者手术后48 小时内重返手术室再手术率</w:t>
            </w:r>
          </w:p>
          <w:p w14:paraId="69130DB8">
            <w:pPr>
              <w:pStyle w:val="7"/>
              <w:keepNext w:val="0"/>
              <w:keepLines w:val="0"/>
              <w:widowControl/>
              <w:suppressLineNumbers w:val="0"/>
              <w:spacing w:before="0" w:beforeAutospacing="0" w:after="0" w:afterAutospacing="0" w:line="360" w:lineRule="auto"/>
              <w:ind w:left="0" w:leftChars="0" w:right="0" w:rightChars="0" w:firstLine="210" w:firstLineChars="10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手术患者手术后 3-16 天内重返手术室再手术率;</w:t>
            </w:r>
          </w:p>
          <w:p w14:paraId="6E5606CE">
            <w:pPr>
              <w:pStyle w:val="7"/>
              <w:keepNext w:val="0"/>
              <w:keepLines w:val="0"/>
              <w:widowControl/>
              <w:suppressLineNumbers w:val="0"/>
              <w:spacing w:before="0" w:beforeAutospacing="0" w:after="0" w:afterAutospacing="0" w:line="360" w:lineRule="auto"/>
              <w:ind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重返 ICU 主要监测重症监护室</w:t>
            </w:r>
          </w:p>
          <w:p w14:paraId="32B3E27F">
            <w:pPr>
              <w:pStyle w:val="7"/>
              <w:keepNext w:val="0"/>
              <w:keepLines w:val="0"/>
              <w:widowControl/>
              <w:suppressLineNumbers w:val="0"/>
              <w:spacing w:before="0" w:beforeAutospacing="0" w:after="0" w:afterAutospacing="0" w:line="360" w:lineRule="auto"/>
              <w:ind w:left="0" w:leftChars="0" w:right="0" w:rightChars="0" w:firstLine="210" w:firstLineChars="10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患者转出后 24 小时内重返重症监护室发生率</w:t>
            </w:r>
          </w:p>
          <w:p w14:paraId="017692CF">
            <w:pPr>
              <w:pStyle w:val="7"/>
              <w:keepNext w:val="0"/>
              <w:keepLines w:val="0"/>
              <w:widowControl/>
              <w:suppressLineNumbers w:val="0"/>
              <w:spacing w:before="0" w:beforeAutospacing="0" w:after="0" w:afterAutospacing="0" w:line="360" w:lineRule="auto"/>
              <w:ind w:left="0" w:leftChars="0" w:right="0" w:rightChars="0" w:firstLine="210" w:firstLineChars="10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重症监护室患者转出后 48 小时内重返重症监护室发生率</w:t>
            </w:r>
          </w:p>
          <w:p w14:paraId="6638A4FF">
            <w:pPr>
              <w:pStyle w:val="7"/>
              <w:keepNext w:val="0"/>
              <w:keepLines w:val="0"/>
              <w:widowControl/>
              <w:suppressLineNumbers w:val="0"/>
              <w:spacing w:before="0" w:beforeAutospacing="0" w:after="0" w:afterAutospacing="0" w:line="360" w:lineRule="auto"/>
              <w:ind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bCs/>
                <w:color w:val="000000"/>
                <w:sz w:val="21"/>
                <w:szCs w:val="21"/>
                <w:lang w:val="en-US" w:eastAsia="zh-CN"/>
              </w:rPr>
              <w:t>支持下钻至科室</w:t>
            </w:r>
          </w:p>
        </w:tc>
      </w:tr>
      <w:tr w14:paraId="30A45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02506FEC">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6CFBF490">
            <w:pPr>
              <w:keepNext w:val="0"/>
              <w:keepLines w:val="0"/>
              <w:widowControl/>
              <w:suppressLineNumbers w:val="0"/>
              <w:spacing w:before="0" w:beforeAutospacing="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治疗质量监测</w:t>
            </w:r>
          </w:p>
        </w:tc>
        <w:tc>
          <w:tcPr>
            <w:tcW w:w="6756" w:type="dxa"/>
            <w:vAlign w:val="center"/>
          </w:tcPr>
          <w:p w14:paraId="1291B1E2">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实现治疗质量监测按周，月，季，年，进行监测</w:t>
            </w:r>
          </w:p>
          <w:p w14:paraId="4BF62CF7">
            <w:pPr>
              <w:pStyle w:val="7"/>
              <w:keepNext w:val="0"/>
              <w:keepLines w:val="0"/>
              <w:widowControl/>
              <w:numPr>
                <w:ilvl w:val="0"/>
                <w:numId w:val="3"/>
              </w:numPr>
              <w:suppressLineNumbers w:val="0"/>
              <w:spacing w:before="0" w:beforeAutospacing="0" w:after="0" w:afterAutospacing="0" w:line="360" w:lineRule="auto"/>
              <w:ind w:left="0" w:leftChars="0" w:right="0" w:rightChars="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提供治愈好转率</w:t>
            </w:r>
          </w:p>
          <w:p w14:paraId="55EC3FFC">
            <w:pPr>
              <w:pStyle w:val="7"/>
              <w:keepNext w:val="0"/>
              <w:keepLines w:val="0"/>
              <w:widowControl/>
              <w:numPr>
                <w:ilvl w:val="0"/>
                <w:numId w:val="3"/>
              </w:numPr>
              <w:suppressLineNumbers w:val="0"/>
              <w:spacing w:before="0" w:beforeAutospacing="0" w:after="0" w:afterAutospacing="0" w:line="360" w:lineRule="auto"/>
              <w:ind w:left="0" w:leftChars="0" w:right="0" w:rightChars="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抢救成功率</w:t>
            </w:r>
          </w:p>
          <w:p w14:paraId="19DF8308">
            <w:pPr>
              <w:pStyle w:val="7"/>
              <w:keepNext w:val="0"/>
              <w:keepLines w:val="0"/>
              <w:widowControl/>
              <w:numPr>
                <w:ilvl w:val="0"/>
                <w:numId w:val="3"/>
              </w:numPr>
              <w:suppressLineNumbers w:val="0"/>
              <w:spacing w:before="0" w:beforeAutospacing="0" w:after="0" w:afterAutospacing="0" w:line="360" w:lineRule="auto"/>
              <w:ind w:left="0" w:leftChars="0" w:right="0" w:rightChars="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住院总死亡率</w:t>
            </w:r>
          </w:p>
          <w:p w14:paraId="67785BAF">
            <w:pPr>
              <w:pStyle w:val="7"/>
              <w:keepNext w:val="0"/>
              <w:keepLines w:val="0"/>
              <w:widowControl/>
              <w:numPr>
                <w:ilvl w:val="0"/>
                <w:numId w:val="4"/>
              </w:numPr>
              <w:suppressLineNumbers w:val="0"/>
              <w:spacing w:before="0" w:beforeAutospacing="0" w:after="0" w:afterAutospacing="0" w:line="360" w:lineRule="auto"/>
              <w:ind w:right="0" w:rightChars="0" w:firstLine="420" w:firstLineChars="20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新生儿患者住院死亡率</w:t>
            </w:r>
          </w:p>
          <w:p w14:paraId="0827FBDD">
            <w:pPr>
              <w:pStyle w:val="7"/>
              <w:keepNext w:val="0"/>
              <w:keepLines w:val="0"/>
              <w:widowControl/>
              <w:numPr>
                <w:ilvl w:val="0"/>
                <w:numId w:val="4"/>
              </w:numPr>
              <w:suppressLineNumbers w:val="0"/>
              <w:spacing w:before="0" w:beforeAutospacing="0" w:after="0" w:afterAutospacing="0" w:line="360" w:lineRule="auto"/>
              <w:ind w:right="0" w:rightChars="0" w:firstLine="420" w:firstLineChars="20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孕产妇患者住院死亡率</w:t>
            </w:r>
          </w:p>
          <w:p w14:paraId="38EFCB79">
            <w:pPr>
              <w:pStyle w:val="7"/>
              <w:keepNext w:val="0"/>
              <w:keepLines w:val="0"/>
              <w:widowControl/>
              <w:numPr>
                <w:ilvl w:val="0"/>
                <w:numId w:val="4"/>
              </w:numPr>
              <w:suppressLineNumbers w:val="0"/>
              <w:spacing w:before="0" w:beforeAutospacing="0" w:after="0" w:afterAutospacing="0" w:line="360" w:lineRule="auto"/>
              <w:ind w:right="0" w:rightChars="0" w:firstLine="420" w:firstLineChars="20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手术患者住院死亡率</w:t>
            </w:r>
          </w:p>
          <w:p w14:paraId="10A179DE">
            <w:pPr>
              <w:pStyle w:val="7"/>
              <w:keepNext w:val="0"/>
              <w:keepLines w:val="0"/>
              <w:widowControl/>
              <w:numPr>
                <w:ilvl w:val="0"/>
                <w:numId w:val="4"/>
              </w:numPr>
              <w:suppressLineNumbers w:val="0"/>
              <w:spacing w:before="0" w:beforeAutospacing="0" w:after="0" w:afterAutospacing="0" w:line="360" w:lineRule="auto"/>
              <w:ind w:right="0" w:rightChars="0" w:firstLine="420" w:firstLineChars="20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重点病种住院死亡率</w:t>
            </w:r>
          </w:p>
          <w:p w14:paraId="081D6C6A">
            <w:pPr>
              <w:pStyle w:val="7"/>
              <w:keepNext w:val="0"/>
              <w:keepLines w:val="0"/>
              <w:widowControl/>
              <w:numPr>
                <w:ilvl w:val="0"/>
                <w:numId w:val="4"/>
              </w:numPr>
              <w:suppressLineNumbers w:val="0"/>
              <w:spacing w:before="0" w:beforeAutospacing="0" w:after="0" w:afterAutospacing="0" w:line="360" w:lineRule="auto"/>
              <w:ind w:right="0" w:rightChars="0" w:firstLine="420" w:firstLineChars="20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重点手术住院死亡率</w:t>
            </w:r>
          </w:p>
          <w:p w14:paraId="0E27BAD7">
            <w:pPr>
              <w:pStyle w:val="7"/>
              <w:keepNext w:val="0"/>
              <w:keepLines w:val="0"/>
              <w:widowControl/>
              <w:numPr>
                <w:ilvl w:val="0"/>
                <w:numId w:val="4"/>
              </w:numPr>
              <w:suppressLineNumbers w:val="0"/>
              <w:spacing w:before="0" w:beforeAutospacing="0" w:after="0" w:afterAutospacing="0" w:line="360" w:lineRule="auto"/>
              <w:ind w:right="0" w:rightChars="0" w:firstLine="420" w:firstLineChars="200"/>
              <w:jc w:val="both"/>
              <w:rPr>
                <w:rFonts w:hint="default" w:ascii="宋体" w:hAnsi="宋体" w:eastAsia="宋体" w:cs="宋体"/>
                <w:b w:val="0"/>
                <w:bCs w:val="0"/>
                <w:color w:val="000000"/>
                <w:sz w:val="21"/>
                <w:szCs w:val="21"/>
                <w:lang w:val="en-US" w:eastAsia="zh-CN"/>
              </w:rPr>
            </w:pPr>
            <w:r>
              <w:rPr>
                <w:rFonts w:hint="default" w:ascii="宋体" w:hAnsi="宋体" w:eastAsia="宋体" w:cs="宋体"/>
                <w:b w:val="0"/>
                <w:bCs w:val="0"/>
                <w:color w:val="000000"/>
                <w:sz w:val="21"/>
                <w:szCs w:val="21"/>
                <w:lang w:val="en-US" w:eastAsia="zh-CN"/>
              </w:rPr>
              <w:t>115个低风险病种死亡等死亡类</w:t>
            </w:r>
          </w:p>
          <w:p w14:paraId="34896878">
            <w:pPr>
              <w:pStyle w:val="7"/>
              <w:keepNext w:val="0"/>
              <w:keepLines w:val="0"/>
              <w:widowControl/>
              <w:numPr>
                <w:ilvl w:val="0"/>
                <w:numId w:val="0"/>
              </w:numPr>
              <w:suppressLineNumbers w:val="0"/>
              <w:spacing w:before="0" w:beforeAutospacing="0" w:after="0" w:afterAutospacing="0" w:line="360" w:lineRule="auto"/>
              <w:ind w:right="0" w:rightChars="0"/>
              <w:jc w:val="both"/>
              <w:rPr>
                <w:rFonts w:hint="default"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支持下钻至科室</w:t>
            </w:r>
          </w:p>
        </w:tc>
      </w:tr>
      <w:tr w14:paraId="5E0DA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75CA5490">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786250F7">
            <w:pPr>
              <w:keepNext w:val="0"/>
              <w:keepLines w:val="0"/>
              <w:widowControl/>
              <w:suppressLineNumbers w:val="0"/>
              <w:spacing w:before="0" w:beforeAutospacing="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医疗服务质量</w:t>
            </w:r>
          </w:p>
        </w:tc>
        <w:tc>
          <w:tcPr>
            <w:tcW w:w="6756" w:type="dxa"/>
            <w:vAlign w:val="center"/>
          </w:tcPr>
          <w:p w14:paraId="279E4EF1">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实现以患者全诊疗过程的数据为基础，进行医疗服务质量按周，月，季，年进行监测</w:t>
            </w:r>
          </w:p>
          <w:p w14:paraId="7A38651A">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门诊量</w:t>
            </w:r>
          </w:p>
          <w:p w14:paraId="29531BD3">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急诊量</w:t>
            </w:r>
          </w:p>
          <w:p w14:paraId="3D6ADF62">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收治量</w:t>
            </w:r>
          </w:p>
          <w:p w14:paraId="0F92231A">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手术量</w:t>
            </w:r>
          </w:p>
          <w:p w14:paraId="509C088E">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出院患者手术占比</w:t>
            </w:r>
          </w:p>
          <w:p w14:paraId="07267B09">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四级手术占比</w:t>
            </w:r>
          </w:p>
          <w:p w14:paraId="22E035B9">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日间手术占比</w:t>
            </w:r>
          </w:p>
          <w:p w14:paraId="3E91F0F2">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微创手术占比</w:t>
            </w:r>
          </w:p>
          <w:p w14:paraId="4E2ADB79">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平均住院日</w:t>
            </w:r>
          </w:p>
          <w:p w14:paraId="2C4251BF">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平均住院费用</w:t>
            </w:r>
          </w:p>
          <w:p w14:paraId="10C8A9DF">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平均每张床位工作日同比</w:t>
            </w:r>
          </w:p>
          <w:p w14:paraId="48647318">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床位使用率（%）同比</w:t>
            </w:r>
          </w:p>
          <w:p w14:paraId="7EC13B48">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床位周转次</w:t>
            </w:r>
          </w:p>
          <w:p w14:paraId="566C8C2A">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出院患者实际占用总床日数</w:t>
            </w:r>
          </w:p>
          <w:p w14:paraId="589810C2">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支持下钻至科室</w:t>
            </w:r>
          </w:p>
        </w:tc>
      </w:tr>
      <w:tr w14:paraId="17F1F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534B7286">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0B81E36E">
            <w:pPr>
              <w:keepNext w:val="0"/>
              <w:keepLines w:val="0"/>
              <w:widowControl/>
              <w:suppressLineNumbers w:val="0"/>
              <w:spacing w:before="0" w:beforeAutospacing="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核心制度质量</w:t>
            </w:r>
          </w:p>
        </w:tc>
        <w:tc>
          <w:tcPr>
            <w:tcW w:w="6756" w:type="dxa"/>
            <w:vAlign w:val="center"/>
          </w:tcPr>
          <w:p w14:paraId="6D8FBDE5">
            <w:pPr>
              <w:pStyle w:val="7"/>
              <w:keepNext w:val="0"/>
              <w:keepLines w:val="0"/>
              <w:widowControl/>
              <w:suppressLineNumbers w:val="0"/>
              <w:spacing w:before="0" w:beforeAutospacing="0" w:after="0" w:afterAutospacing="0" w:line="360" w:lineRule="auto"/>
              <w:ind w:left="0" w:leftChars="0" w:right="0" w:rightChars="0"/>
              <w:jc w:val="both"/>
              <w:rPr>
                <w:rFonts w:hint="default"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实现对核心制度质量进行按季，年结合核心制度执行情况</w:t>
            </w:r>
          </w:p>
          <w:p w14:paraId="1984B3E3">
            <w:pPr>
              <w:pStyle w:val="7"/>
              <w:keepNext w:val="0"/>
              <w:keepLines w:val="0"/>
              <w:widowControl/>
              <w:suppressLineNumbers w:val="0"/>
              <w:spacing w:before="0" w:beforeAutospacing="0" w:after="0" w:afterAutospacing="0" w:line="360" w:lineRule="auto"/>
              <w:ind w:left="240" w:leftChars="100" w:right="0" w:rightChars="0"/>
              <w:jc w:val="both"/>
              <w:rPr>
                <w:rFonts w:hint="default"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危急值处理</w:t>
            </w:r>
          </w:p>
          <w:p w14:paraId="2C0DA5A9">
            <w:pPr>
              <w:pStyle w:val="7"/>
              <w:keepNext w:val="0"/>
              <w:keepLines w:val="0"/>
              <w:widowControl/>
              <w:suppressLineNumbers w:val="0"/>
              <w:spacing w:before="0" w:beforeAutospacing="0" w:after="0" w:afterAutospacing="0" w:line="360" w:lineRule="auto"/>
              <w:ind w:left="240" w:leftChars="100" w:right="0" w:rightChars="0"/>
              <w:jc w:val="both"/>
              <w:rPr>
                <w:rFonts w:hint="default"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会诊制度执行</w:t>
            </w:r>
          </w:p>
          <w:p w14:paraId="44ED315A">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疑难病历讨论制度</w:t>
            </w:r>
          </w:p>
          <w:p w14:paraId="206A7F69">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死亡病历讨论制度</w:t>
            </w:r>
          </w:p>
          <w:p w14:paraId="2BB8CFE2">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术前讨论制度</w:t>
            </w:r>
          </w:p>
          <w:p w14:paraId="16AF363A">
            <w:pPr>
              <w:pStyle w:val="7"/>
              <w:keepNext w:val="0"/>
              <w:keepLines w:val="0"/>
              <w:widowControl/>
              <w:suppressLineNumbers w:val="0"/>
              <w:spacing w:before="0" w:beforeAutospacing="0" w:after="0" w:afterAutospacing="0" w:line="360" w:lineRule="auto"/>
              <w:ind w:left="0" w:leftChars="0" w:right="0" w:rightChars="0"/>
              <w:jc w:val="both"/>
              <w:rPr>
                <w:rFonts w:hint="default"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进行可量化分析</w:t>
            </w:r>
          </w:p>
        </w:tc>
      </w:tr>
      <w:tr w14:paraId="7D1CC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2B30D9A6">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327E02CE">
            <w:pPr>
              <w:keepNext w:val="0"/>
              <w:keepLines w:val="0"/>
              <w:widowControl/>
              <w:suppressLineNumbers w:val="0"/>
              <w:spacing w:before="0" w:beforeAutospacing="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重点专项质量</w:t>
            </w:r>
          </w:p>
        </w:tc>
        <w:tc>
          <w:tcPr>
            <w:tcW w:w="6756" w:type="dxa"/>
            <w:vAlign w:val="center"/>
          </w:tcPr>
          <w:p w14:paraId="40352477">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单病种分析</w:t>
            </w:r>
          </w:p>
          <w:p w14:paraId="0CD06468">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住院手术次数、排名（按ICD10码统计、分亚类、扩展码）</w:t>
            </w:r>
          </w:p>
          <w:p w14:paraId="42E241E8">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门诊手术次数、排名（按ICD10码统计、分亚类、扩展码）</w:t>
            </w:r>
          </w:p>
          <w:p w14:paraId="1BC884A4">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住院疾病次数、排名（按ICD10码统计、分亚类、扩展码）</w:t>
            </w:r>
          </w:p>
          <w:p w14:paraId="272AF271">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门诊疾病次数、排名（按ICD10码统计、分亚类、扩展码）</w:t>
            </w:r>
          </w:p>
          <w:p w14:paraId="402397B2">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死亡病历次数、排名（按ICD10码统计、分亚类、扩展码）</w:t>
            </w:r>
          </w:p>
          <w:p w14:paraId="0457EE99">
            <w:pPr>
              <w:pStyle w:val="7"/>
              <w:keepNext w:val="0"/>
              <w:keepLines w:val="0"/>
              <w:widowControl/>
              <w:suppressLineNumbers w:val="0"/>
              <w:spacing w:before="0" w:beforeAutospacing="0" w:after="0" w:afterAutospacing="0" w:line="360" w:lineRule="auto"/>
              <w:ind w:left="0" w:leftChars="0"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临床路径质量分析</w:t>
            </w:r>
          </w:p>
          <w:p w14:paraId="4D3CE8F8">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开展临床路径病种数</w:t>
            </w:r>
          </w:p>
          <w:p w14:paraId="41F9E837">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进入临床路径例数</w:t>
            </w:r>
          </w:p>
          <w:p w14:paraId="616F9CEB">
            <w:pPr>
              <w:pStyle w:val="7"/>
              <w:keepNext w:val="0"/>
              <w:keepLines w:val="0"/>
              <w:widowControl/>
              <w:suppressLineNumbers w:val="0"/>
              <w:spacing w:before="0" w:beforeAutospacing="0" w:after="0" w:afterAutospacing="0" w:line="360" w:lineRule="auto"/>
              <w:ind w:left="240" w:leftChars="100"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完成路径出院例数</w:t>
            </w:r>
          </w:p>
          <w:p w14:paraId="4555D2B2">
            <w:pPr>
              <w:pStyle w:val="7"/>
              <w:keepNext w:val="0"/>
              <w:keepLines w:val="0"/>
              <w:widowControl/>
              <w:suppressLineNumbers w:val="0"/>
              <w:spacing w:before="0" w:beforeAutospacing="0" w:after="0" w:afterAutospacing="0" w:line="360" w:lineRule="auto"/>
              <w:ind w:left="240" w:leftChars="100" w:right="0" w:rightChars="0"/>
              <w:jc w:val="both"/>
              <w:rPr>
                <w:rFonts w:hint="default"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临床路径病例占全院住院病例比例</w:t>
            </w:r>
          </w:p>
        </w:tc>
      </w:tr>
      <w:tr w14:paraId="1475C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restart"/>
            <w:vAlign w:val="center"/>
          </w:tcPr>
          <w:p w14:paraId="05F0D093">
            <w:pPr>
              <w:keepNext w:val="0"/>
              <w:keepLines w:val="0"/>
              <w:widowControl/>
              <w:suppressLineNumbers w:val="0"/>
              <w:spacing w:before="0" w:beforeAutospacing="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医疗质量预警</w:t>
            </w:r>
          </w:p>
        </w:tc>
        <w:tc>
          <w:tcPr>
            <w:tcW w:w="1508" w:type="dxa"/>
          </w:tcPr>
          <w:p w14:paraId="601BDE42">
            <w:pPr>
              <w:keepNext w:val="0"/>
              <w:keepLines w:val="0"/>
              <w:widowControl/>
              <w:suppressLineNumbers w:val="0"/>
              <w:spacing w:before="0" w:beforeAutospacing="0" w:afterAutospacing="0" w:line="360" w:lineRule="auto"/>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质量预警</w:t>
            </w:r>
          </w:p>
        </w:tc>
        <w:tc>
          <w:tcPr>
            <w:tcW w:w="6756" w:type="dxa"/>
            <w:vAlign w:val="center"/>
          </w:tcPr>
          <w:p w14:paraId="213F951E">
            <w:pPr>
              <w:pStyle w:val="7"/>
              <w:keepNext w:val="0"/>
              <w:keepLines w:val="0"/>
              <w:widowControl/>
              <w:suppressLineNumbers w:val="0"/>
              <w:spacing w:before="0" w:beforeAutospacing="0" w:after="0" w:afterAutospacing="0" w:line="360" w:lineRule="auto"/>
              <w:ind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bCs/>
                <w:color w:val="000000"/>
                <w:sz w:val="21"/>
                <w:szCs w:val="21"/>
                <w:lang w:val="en-US" w:eastAsia="zh-CN"/>
              </w:rPr>
              <w:t>指标预警:</w:t>
            </w:r>
            <w:r>
              <w:rPr>
                <w:rFonts w:hint="eastAsia" w:ascii="宋体" w:hAnsi="宋体" w:eastAsia="宋体" w:cs="宋体"/>
                <w:b w:val="0"/>
                <w:bCs w:val="0"/>
                <w:color w:val="000000"/>
                <w:sz w:val="21"/>
                <w:szCs w:val="21"/>
                <w:lang w:val="en-US" w:eastAsia="zh-CN"/>
              </w:rPr>
              <w:t>实现能够基于医院历史数据，计算每个指的目标值，并通过对指标值与目标值进行实时监测，对即将接近目标值的指标，按照预先设定预警规则给出不同级别的预警，比如会诊及时率非常接近目标值95%将会给出一级预警。系统需支持对预警指标以质量控制图形式进行深度分析，并可实现与其他指标的关联度分析;</w:t>
            </w:r>
          </w:p>
        </w:tc>
      </w:tr>
      <w:tr w14:paraId="25D02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70B16088">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08DBD04F">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未达标指标</w:t>
            </w:r>
          </w:p>
        </w:tc>
        <w:tc>
          <w:tcPr>
            <w:tcW w:w="6756" w:type="dxa"/>
            <w:vAlign w:val="center"/>
          </w:tcPr>
          <w:p w14:paraId="7CC17334">
            <w:pPr>
              <w:pStyle w:val="7"/>
              <w:keepNext w:val="0"/>
              <w:keepLines w:val="0"/>
              <w:widowControl/>
              <w:suppressLineNumbers w:val="0"/>
              <w:spacing w:before="0" w:beforeAutospacing="0" w:after="0" w:afterAutospacing="0" w:line="360" w:lineRule="auto"/>
              <w:ind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bCs/>
                <w:color w:val="000000"/>
                <w:sz w:val="21"/>
                <w:szCs w:val="21"/>
                <w:lang w:val="en-US" w:eastAsia="zh-CN"/>
              </w:rPr>
              <w:t>未达标指标:</w:t>
            </w:r>
            <w:r>
              <w:rPr>
                <w:rFonts w:hint="eastAsia" w:ascii="宋体" w:hAnsi="宋体" w:eastAsia="宋体" w:cs="宋体"/>
                <w:b w:val="0"/>
                <w:bCs w:val="0"/>
                <w:color w:val="000000"/>
                <w:sz w:val="21"/>
                <w:szCs w:val="21"/>
                <w:lang w:val="en-US" w:eastAsia="zh-CN"/>
              </w:rPr>
              <w:t>实现对监测时已经不达标的指标，可按照周、月、季、年进行统计汇总，并能够实现同比、环比分析;</w:t>
            </w:r>
          </w:p>
        </w:tc>
      </w:tr>
      <w:tr w14:paraId="62A21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0D10E964">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4920A4C0">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异常指标</w:t>
            </w:r>
          </w:p>
        </w:tc>
        <w:tc>
          <w:tcPr>
            <w:tcW w:w="6756" w:type="dxa"/>
            <w:vAlign w:val="center"/>
          </w:tcPr>
          <w:p w14:paraId="703D575B">
            <w:pPr>
              <w:pStyle w:val="7"/>
              <w:keepNext w:val="0"/>
              <w:keepLines w:val="0"/>
              <w:widowControl/>
              <w:suppressLineNumbers w:val="0"/>
              <w:spacing w:before="0" w:beforeAutospacing="0" w:after="0" w:afterAutospacing="0" w:line="360" w:lineRule="auto"/>
              <w:ind w:right="0" w:rightChars="0"/>
              <w:jc w:val="both"/>
              <w:rPr>
                <w:rFonts w:hint="eastAsia" w:ascii="宋体" w:hAnsi="宋体" w:eastAsia="宋体" w:cs="宋体"/>
                <w:b w:val="0"/>
                <w:bCs w:val="0"/>
                <w:color w:val="000000"/>
                <w:sz w:val="21"/>
                <w:szCs w:val="21"/>
                <w:lang w:val="en-US" w:eastAsia="zh-CN"/>
              </w:rPr>
            </w:pPr>
            <w:r>
              <w:rPr>
                <w:rFonts w:hint="eastAsia" w:ascii="宋体" w:hAnsi="宋体" w:eastAsia="宋体" w:cs="宋体"/>
                <w:b/>
                <w:bCs/>
                <w:color w:val="000000"/>
                <w:sz w:val="21"/>
                <w:szCs w:val="21"/>
                <w:lang w:val="en-US" w:eastAsia="zh-CN"/>
              </w:rPr>
              <w:t>异常预警:</w:t>
            </w:r>
            <w:r>
              <w:rPr>
                <w:rFonts w:hint="eastAsia" w:ascii="宋体" w:hAnsi="宋体" w:eastAsia="宋体" w:cs="宋体"/>
                <w:b w:val="0"/>
                <w:bCs w:val="0"/>
                <w:color w:val="000000"/>
                <w:sz w:val="21"/>
                <w:szCs w:val="21"/>
                <w:lang w:val="en-US" w:eastAsia="zh-CN"/>
              </w:rPr>
              <w:t>实现工作人员对指定的终末指标设置预警阈值可以将目标值、指标导向、同期比值作为预警项。</w:t>
            </w:r>
          </w:p>
        </w:tc>
      </w:tr>
      <w:tr w14:paraId="31EB2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restart"/>
            <w:vAlign w:val="center"/>
          </w:tcPr>
          <w:p w14:paraId="0509C3B0">
            <w:pPr>
              <w:keepNext w:val="0"/>
              <w:keepLines w:val="0"/>
              <w:widowControl/>
              <w:suppressLineNumbers w:val="0"/>
              <w:spacing w:before="0" w:beforeAutospacing="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医疗质量持续改进</w:t>
            </w:r>
          </w:p>
        </w:tc>
        <w:tc>
          <w:tcPr>
            <w:tcW w:w="1508" w:type="dxa"/>
          </w:tcPr>
          <w:p w14:paraId="29B253BB">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整改通知书</w:t>
            </w:r>
          </w:p>
        </w:tc>
        <w:tc>
          <w:tcPr>
            <w:tcW w:w="6756" w:type="dxa"/>
            <w:vAlign w:val="center"/>
          </w:tcPr>
          <w:p w14:paraId="5721E4C5">
            <w:pPr>
              <w:pStyle w:val="7"/>
              <w:keepNext w:val="0"/>
              <w:keepLines w:val="0"/>
              <w:widowControl/>
              <w:suppressLineNumbers w:val="0"/>
              <w:spacing w:before="0" w:beforeAutospacing="0" w:after="0" w:afterAutospacing="0" w:line="360" w:lineRule="auto"/>
              <w:ind w:right="0" w:rightChars="0"/>
              <w:jc w:val="both"/>
              <w:rPr>
                <w:rFonts w:hint="default"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质控科</w:t>
            </w:r>
            <w:r>
              <w:rPr>
                <w:rFonts w:hint="eastAsia" w:ascii="宋体" w:hAnsi="宋体" w:eastAsia="宋体" w:cs="宋体"/>
                <w:b w:val="0"/>
                <w:bCs w:val="0"/>
                <w:color w:val="000000"/>
                <w:sz w:val="21"/>
                <w:szCs w:val="21"/>
                <w:lang w:val="en-US" w:eastAsia="zh-CN"/>
              </w:rPr>
              <w:t>针对重点指标，支持按月，季度，年度对落实不到位的质控指标下发整改通知书（反馈问题，反馈内容，整改内容，整改时间，整改负责人）</w:t>
            </w:r>
          </w:p>
        </w:tc>
      </w:tr>
      <w:tr w14:paraId="07337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2B581F29">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10BB8A23">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质量整改反馈</w:t>
            </w:r>
          </w:p>
        </w:tc>
        <w:tc>
          <w:tcPr>
            <w:tcW w:w="6756" w:type="dxa"/>
            <w:vAlign w:val="center"/>
          </w:tcPr>
          <w:p w14:paraId="04906E92">
            <w:pPr>
              <w:pStyle w:val="7"/>
              <w:keepNext w:val="0"/>
              <w:keepLines w:val="0"/>
              <w:widowControl/>
              <w:suppressLineNumbers w:val="0"/>
              <w:spacing w:before="0" w:beforeAutospacing="0" w:after="0" w:afterAutospacing="0" w:line="360" w:lineRule="auto"/>
              <w:ind w:right="0" w:rightChars="0"/>
              <w:jc w:val="both"/>
              <w:rPr>
                <w:rFonts w:hint="default" w:ascii="宋体" w:hAnsi="宋体" w:eastAsia="宋体" w:cs="宋体"/>
                <w:b/>
                <w:bCs/>
                <w:color w:val="000000"/>
                <w:sz w:val="21"/>
                <w:szCs w:val="21"/>
                <w:lang w:val="en-US" w:eastAsia="zh-CN"/>
              </w:rPr>
            </w:pPr>
            <w:r>
              <w:rPr>
                <w:rFonts w:hint="eastAsia" w:ascii="宋体" w:hAnsi="宋体" w:eastAsia="宋体" w:cs="宋体"/>
                <w:b w:val="0"/>
                <w:bCs w:val="0"/>
                <w:color w:val="000000"/>
                <w:sz w:val="21"/>
                <w:szCs w:val="21"/>
                <w:lang w:val="en-US" w:eastAsia="zh-CN"/>
              </w:rPr>
              <w:t>临床科室对质控指标问题进行整改反馈，主要填写原因分析，整改措施并进行在线提交。</w:t>
            </w:r>
          </w:p>
        </w:tc>
      </w:tr>
      <w:tr w14:paraId="4064E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62EBD18C">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4AD0CFA6">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效果评价</w:t>
            </w:r>
          </w:p>
        </w:tc>
        <w:tc>
          <w:tcPr>
            <w:tcW w:w="6756" w:type="dxa"/>
            <w:vAlign w:val="center"/>
          </w:tcPr>
          <w:p w14:paraId="1706F56C">
            <w:pPr>
              <w:pStyle w:val="7"/>
              <w:keepNext w:val="0"/>
              <w:keepLines w:val="0"/>
              <w:widowControl/>
              <w:suppressLineNumbers w:val="0"/>
              <w:spacing w:before="0" w:beforeAutospacing="0" w:after="0" w:afterAutospacing="0" w:line="360" w:lineRule="auto"/>
              <w:ind w:right="0" w:rightChars="0"/>
              <w:jc w:val="both"/>
              <w:rPr>
                <w:rFonts w:hint="default"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质控科对科室的问题进行效果评价，评价期整改情况</w:t>
            </w:r>
          </w:p>
        </w:tc>
      </w:tr>
      <w:tr w14:paraId="39A46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407C91DD">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73DB3A9E">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问题汇总</w:t>
            </w:r>
          </w:p>
        </w:tc>
        <w:tc>
          <w:tcPr>
            <w:tcW w:w="6756" w:type="dxa"/>
            <w:vAlign w:val="center"/>
          </w:tcPr>
          <w:p w14:paraId="2D8D27F8">
            <w:pPr>
              <w:pStyle w:val="7"/>
              <w:keepNext w:val="0"/>
              <w:keepLines w:val="0"/>
              <w:widowControl/>
              <w:suppressLineNumbers w:val="0"/>
              <w:spacing w:before="0" w:beforeAutospacing="0" w:after="0" w:afterAutospacing="0" w:line="360" w:lineRule="auto"/>
              <w:ind w:right="0" w:rightChars="0"/>
              <w:jc w:val="both"/>
              <w:rPr>
                <w:rFonts w:hint="default"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支持结合指标情况对问题进行汇总，主要包括反馈问题，内容，整改措施，原因分析，发布时间，整改时间，整改效果，是否及时</w:t>
            </w:r>
          </w:p>
        </w:tc>
      </w:tr>
      <w:tr w14:paraId="4B0E0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restart"/>
            <w:vAlign w:val="center"/>
          </w:tcPr>
          <w:p w14:paraId="65616C7A">
            <w:pPr>
              <w:keepNext w:val="0"/>
              <w:keepLines w:val="0"/>
              <w:widowControl/>
              <w:suppressLineNumbers w:val="0"/>
              <w:spacing w:before="0" w:beforeAutospacing="0" w:afterAutospacing="0"/>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医疗质量分析报告</w:t>
            </w:r>
          </w:p>
        </w:tc>
        <w:tc>
          <w:tcPr>
            <w:tcW w:w="1508" w:type="dxa"/>
          </w:tcPr>
          <w:p w14:paraId="43BF4654">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质量报告模板</w:t>
            </w:r>
          </w:p>
        </w:tc>
        <w:tc>
          <w:tcPr>
            <w:tcW w:w="6756" w:type="dxa"/>
            <w:vAlign w:val="center"/>
          </w:tcPr>
          <w:p w14:paraId="5D5CE65E">
            <w:pPr>
              <w:pStyle w:val="7"/>
              <w:keepNext w:val="0"/>
              <w:keepLines w:val="0"/>
              <w:widowControl/>
              <w:suppressLineNumbers w:val="0"/>
              <w:spacing w:before="0" w:beforeAutospacing="0" w:after="0" w:afterAutospacing="0" w:line="360" w:lineRule="auto"/>
              <w:ind w:right="0" w:rightChars="0"/>
              <w:jc w:val="both"/>
              <w:rPr>
                <w:rFonts w:hint="default"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1根据质量管理工作内容，设定报告格式、周期，自动生成周月、季、年多维度质量分析报告。如死亡质量报告、重返质量报告会诊质量报告等。</w:t>
            </w:r>
          </w:p>
        </w:tc>
      </w:tr>
      <w:tr w14:paraId="6057A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continue"/>
          </w:tcPr>
          <w:p w14:paraId="257C96DA">
            <w:pPr>
              <w:keepNext w:val="0"/>
              <w:keepLines w:val="0"/>
              <w:widowControl/>
              <w:suppressLineNumbers w:val="0"/>
              <w:spacing w:before="0" w:beforeAutospacing="0" w:afterAutospacing="0"/>
              <w:ind w:left="0" w:right="0"/>
              <w:jc w:val="center"/>
              <w:rPr>
                <w:rFonts w:hint="eastAsia" w:ascii="宋体" w:hAnsi="宋体" w:eastAsia="宋体" w:cs="宋体"/>
                <w:sz w:val="21"/>
                <w:szCs w:val="21"/>
                <w:lang w:val="en-US" w:eastAsia="zh-CN"/>
              </w:rPr>
            </w:pPr>
          </w:p>
        </w:tc>
        <w:tc>
          <w:tcPr>
            <w:tcW w:w="1508" w:type="dxa"/>
          </w:tcPr>
          <w:p w14:paraId="33BCE013">
            <w:pPr>
              <w:keepNext w:val="0"/>
              <w:keepLines w:val="0"/>
              <w:widowControl/>
              <w:suppressLineNumbers w:val="0"/>
              <w:spacing w:before="0" w:beforeAutospacing="0" w:afterAutospacing="0" w:line="360" w:lineRule="auto"/>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质量报告</w:t>
            </w:r>
          </w:p>
        </w:tc>
        <w:tc>
          <w:tcPr>
            <w:tcW w:w="6756" w:type="dxa"/>
            <w:vAlign w:val="center"/>
          </w:tcPr>
          <w:p w14:paraId="5844588E">
            <w:pPr>
              <w:pStyle w:val="7"/>
              <w:keepNext w:val="0"/>
              <w:keepLines w:val="0"/>
              <w:widowControl/>
              <w:suppressLineNumbers w:val="0"/>
              <w:spacing w:before="0" w:beforeAutospacing="0" w:after="0" w:afterAutospacing="0" w:line="360" w:lineRule="auto"/>
              <w:ind w:right="0" w:rightChars="0"/>
              <w:jc w:val="both"/>
              <w:rPr>
                <w:rFonts w:hint="eastAsia" w:ascii="宋体" w:hAnsi="宋体" w:eastAsia="宋体" w:cs="宋体"/>
                <w:b/>
                <w:bCs/>
                <w:color w:val="000000"/>
                <w:sz w:val="21"/>
                <w:szCs w:val="21"/>
                <w:lang w:val="en-US" w:eastAsia="zh-CN"/>
              </w:rPr>
            </w:pPr>
            <w:r>
              <w:rPr>
                <w:rFonts w:hint="eastAsia" w:ascii="宋体" w:hAnsi="宋体" w:eastAsia="宋体" w:cs="宋体"/>
                <w:b w:val="0"/>
                <w:bCs w:val="0"/>
                <w:color w:val="000000"/>
                <w:sz w:val="21"/>
                <w:szCs w:val="21"/>
                <w:lang w:val="en-US" w:eastAsia="zh-CN"/>
              </w:rPr>
              <w:t>质控科管理员根据要求可以根据质控报告模板以及指标监测数据内容，生成质控分析报告。实现报告在线预览和本地下载，医疗质量管理人员可对自动生成的质量报告进行下载和修改。</w:t>
            </w:r>
          </w:p>
        </w:tc>
      </w:tr>
    </w:tbl>
    <w:p w14:paraId="4E79867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2844B"/>
    <w:multiLevelType w:val="singleLevel"/>
    <w:tmpl w:val="0AA2844B"/>
    <w:lvl w:ilvl="0" w:tentative="0">
      <w:start w:val="1"/>
      <w:numFmt w:val="bullet"/>
      <w:lvlText w:val=""/>
      <w:lvlJc w:val="left"/>
      <w:pPr>
        <w:ind w:left="420" w:hanging="420"/>
      </w:pPr>
      <w:rPr>
        <w:rFonts w:hint="default" w:ascii="Wingdings" w:hAnsi="Wingdings"/>
      </w:rPr>
    </w:lvl>
  </w:abstractNum>
  <w:abstractNum w:abstractNumId="1">
    <w:nsid w:val="3EC18791"/>
    <w:multiLevelType w:val="singleLevel"/>
    <w:tmpl w:val="3EC18791"/>
    <w:lvl w:ilvl="0" w:tentative="0">
      <w:start w:val="1"/>
      <w:numFmt w:val="decimal"/>
      <w:lvlText w:val="%1."/>
      <w:lvlJc w:val="left"/>
      <w:pPr>
        <w:tabs>
          <w:tab w:val="left" w:pos="312"/>
        </w:tabs>
      </w:pPr>
    </w:lvl>
  </w:abstractNum>
  <w:abstractNum w:abstractNumId="2">
    <w:nsid w:val="47DA7E82"/>
    <w:multiLevelType w:val="singleLevel"/>
    <w:tmpl w:val="47DA7E82"/>
    <w:lvl w:ilvl="0" w:tentative="0">
      <w:start w:val="1"/>
      <w:numFmt w:val="decimal"/>
      <w:suff w:val="nothing"/>
      <w:lvlText w:val="%1）"/>
      <w:lvlJc w:val="left"/>
    </w:lvl>
  </w:abstractNum>
  <w:abstractNum w:abstractNumId="3">
    <w:nsid w:val="678B5913"/>
    <w:multiLevelType w:val="singleLevel"/>
    <w:tmpl w:val="678B5913"/>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0490F"/>
    <w:rsid w:val="062071D2"/>
    <w:rsid w:val="4930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0"/>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customStyle="1" w:styleId="7">
    <w:name w:val="null3"/>
    <w:hidden/>
    <w:qFormat/>
    <w:uiPriority w:val="0"/>
    <w:rPr>
      <w:rFonts w:hint="eastAsia" w:asciiTheme="minorHAnsi" w:hAnsiTheme="minorHAnsi" w:eastAsiaTheme="minorEastAsia" w:cstheme="minorBidi"/>
      <w:lang w:val="en-US" w:eastAsia="zh-Hans"/>
    </w:rPr>
  </w:style>
  <w:style w:type="paragraph" w:customStyle="1" w:styleId="8">
    <w:name w:val="style4"/>
    <w:basedOn w:val="1"/>
    <w:next w:val="9"/>
    <w:autoRedefine/>
    <w:qFormat/>
    <w:uiPriority w:val="0"/>
    <w:pPr>
      <w:widowControl/>
      <w:spacing w:before="280" w:after="280"/>
    </w:pPr>
    <w:rPr>
      <w:rFonts w:ascii="宋体"/>
      <w:sz w:val="18"/>
    </w:rPr>
  </w:style>
  <w:style w:type="paragraph" w:customStyle="1" w:styleId="9">
    <w:name w:val="2"/>
    <w:next w:val="1"/>
    <w:qFormat/>
    <w:uiPriority w:val="0"/>
    <w:pPr>
      <w:widowControl w:val="0"/>
      <w:jc w:val="both"/>
    </w:pPr>
    <w:rPr>
      <w:rFonts w:ascii="Times New Roman"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3036</Words>
  <Characters>3130</Characters>
  <Lines>0</Lines>
  <Paragraphs>0</Paragraphs>
  <TotalTime>0</TotalTime>
  <ScaleCrop>false</ScaleCrop>
  <LinksUpToDate>false</LinksUpToDate>
  <CharactersWithSpaces>3142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2025-05-06T02:41:00Z</dcterms:created>
  <dc:creator>admin</dc:creator>
  <cp:lastModifiedBy>admin</cp:lastModifiedBy>
  <dcterms:modified xsi:type="dcterms:W3CDTF">2025-05-06T02:43:02Z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F07A3D26BE1348489B4E09B88A0A9D39_11</vt:lpwstr>
  </property>
  <property fmtid="{D5CDD505-2E9C-101B-9397-08002B2CF9AE}" pid="4" name="KSOTemplateDocerSaveRecord">
    <vt:lpwstr>eyJoZGlkIjoiMzJmNDNkMjMyMjU0ZDhkOGU4NGZlY2M3ZjI4ZGU3YjYiLCJ1c2VySWQiOiIyOTg4NDg0MyJ9</vt:lpwstr>
  </property>
</Properties>
</file>