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p>
      <w:pPr>
        <w:pStyle w:val="4"/>
        <w:jc w:val="center"/>
        <w:outlineLvl w:val="1"/>
      </w:pPr>
      <w:r>
        <w:rPr>
          <w:b/>
          <w:sz w:val="36"/>
        </w:rPr>
        <w:t>第三章  采购内容及要求</w:t>
      </w:r>
    </w:p>
    <w:p>
      <w:pPr>
        <w:pStyle w:val="4"/>
        <w:jc w:val="left"/>
        <w:outlineLvl w:val="2"/>
      </w:pPr>
      <w:r>
        <w:rPr>
          <w:b/>
          <w:sz w:val="28"/>
        </w:rPr>
        <w:t>一、（根据本项目实际情况，填写“采购标的”或“项目概况”）</w:t>
      </w:r>
    </w:p>
    <w:p>
      <w:pPr>
        <w:pStyle w:val="4"/>
        <w:jc w:val="left"/>
      </w:pPr>
    </w:p>
    <w:p>
      <w:pPr>
        <w:pStyle w:val="4"/>
        <w:jc w:val="left"/>
      </w:pPr>
    </w:p>
    <w:p>
      <w:pPr>
        <w:pStyle w:val="4"/>
        <w:jc w:val="left"/>
      </w:pPr>
      <w:r>
        <w:rPr>
          <w:rFonts w:ascii="宋体" w:hAnsi="宋体" w:eastAsia="宋体" w:cs="宋体"/>
          <w:sz w:val="24"/>
        </w:rPr>
        <w:t>本项目为三级医院等评评审系统建设项目</w:t>
      </w:r>
    </w:p>
    <w:p>
      <w:pPr>
        <w:pStyle w:val="4"/>
        <w:jc w:val="left"/>
        <w:outlineLvl w:val="2"/>
      </w:pPr>
      <w:r>
        <w:rPr>
          <w:b/>
          <w:sz w:val="28"/>
        </w:rPr>
        <w:t>二、技术要求</w:t>
      </w:r>
    </w:p>
    <w:p>
      <w:pPr>
        <w:pStyle w:val="4"/>
        <w:jc w:val="left"/>
      </w:pPr>
    </w:p>
    <w:p>
      <w:pPr>
        <w:pStyle w:val="4"/>
        <w:jc w:val="left"/>
      </w:pPr>
    </w:p>
    <w:p>
      <w:pPr>
        <w:pStyle w:val="4"/>
        <w:jc w:val="left"/>
      </w:pPr>
      <w:r>
        <w:rPr>
          <w:rFonts w:ascii="Calibri" w:hAnsi="Calibri" w:eastAsia="Calibri" w:cs="Calibri"/>
          <w:sz w:val="24"/>
        </w:rPr>
        <w:t>2.1</w:t>
      </w:r>
      <w:r>
        <w:rPr>
          <w:rFonts w:ascii="宋体" w:hAnsi="宋体" w:eastAsia="宋体" w:cs="宋体"/>
          <w:b/>
          <w:sz w:val="24"/>
        </w:rPr>
        <w:t>项目建设内容</w:t>
      </w:r>
    </w:p>
    <w:tbl>
      <w:tblPr>
        <w:tblStyle w:val="2"/>
        <w:tblW w:w="0" w:type="auto"/>
        <w:tblInd w:w="0" w:type="dxa"/>
        <w:tblBorders>
          <w:top w:val="none" w:color="000000" w:sz="4" w:space="0"/>
          <w:left w:val="none" w:color="000000" w:sz="4" w:space="0"/>
          <w:bottom w:val="none" w:color="000000" w:sz="4" w:space="0"/>
          <w:right w:val="none" w:color="000000" w:sz="4" w:space="0"/>
          <w:insideH w:val="none" w:color="auto" w:sz="0" w:space="0"/>
          <w:insideV w:val="none" w:color="auto" w:sz="0" w:space="0"/>
        </w:tblBorders>
        <w:tblLayout w:type="autofit"/>
        <w:tblCellMar>
          <w:top w:w="0" w:type="dxa"/>
          <w:left w:w="108" w:type="dxa"/>
          <w:bottom w:w="0" w:type="dxa"/>
          <w:right w:w="108" w:type="dxa"/>
        </w:tblCellMar>
      </w:tblPr>
      <w:tblGrid>
        <w:gridCol w:w="1896"/>
        <w:gridCol w:w="1896"/>
        <w:gridCol w:w="3822"/>
        <w:gridCol w:w="692"/>
      </w:tblGrid>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cMar>
              <w:top w:w="0" w:type="dxa"/>
              <w:left w:w="105" w:type="dxa"/>
              <w:bottom w:w="0" w:type="dxa"/>
              <w:right w:w="105" w:type="dxa"/>
            </w:tcMar>
            <w:vAlign w:val="top"/>
          </w:tcPr>
          <w:p>
            <w:pPr>
              <w:pStyle w:val="4"/>
              <w:jc w:val="center"/>
            </w:pPr>
            <w:r>
              <w:rPr>
                <w:rFonts w:ascii="宋体" w:hAnsi="宋体" w:eastAsia="宋体" w:cs="宋体"/>
                <w:color w:val="000000"/>
                <w:sz w:val="24"/>
              </w:rPr>
              <w:t>产品名称</w:t>
            </w:r>
          </w:p>
        </w:tc>
        <w:tc>
          <w:tcPr>
            <w:tcW w:w="1896" w:type="dxa"/>
            <w:tcBorders>
              <w:top w:val="single" w:color="000000" w:sz="4" w:space="0"/>
              <w:left w:val="nil"/>
              <w:bottom w:val="single" w:color="000000" w:sz="4" w:space="0"/>
              <w:right w:val="single" w:color="000000" w:sz="4" w:space="0"/>
            </w:tcBorders>
            <w:shd w:val="clear" w:color="auto" w:fill="FFFFFF"/>
            <w:tcMar>
              <w:top w:w="0" w:type="dxa"/>
              <w:left w:w="105" w:type="dxa"/>
              <w:bottom w:w="0" w:type="dxa"/>
              <w:right w:w="105" w:type="dxa"/>
            </w:tcMar>
            <w:vAlign w:val="top"/>
          </w:tcPr>
          <w:p>
            <w:pPr>
              <w:pStyle w:val="4"/>
              <w:jc w:val="center"/>
            </w:pPr>
            <w:r>
              <w:rPr>
                <w:rFonts w:ascii="宋体" w:hAnsi="宋体" w:eastAsia="宋体" w:cs="宋体"/>
                <w:color w:val="000000"/>
                <w:sz w:val="24"/>
              </w:rPr>
              <w:t>系统模块</w:t>
            </w:r>
          </w:p>
        </w:tc>
        <w:tc>
          <w:tcPr>
            <w:tcW w:w="3822" w:type="dxa"/>
            <w:tcBorders>
              <w:top w:val="single" w:color="000000" w:sz="4" w:space="0"/>
              <w:left w:val="nil"/>
              <w:bottom w:val="single" w:color="000000" w:sz="4" w:space="0"/>
              <w:right w:val="single" w:color="000000" w:sz="4" w:space="0"/>
            </w:tcBorders>
            <w:shd w:val="clear" w:color="auto" w:fill="FFFFFF"/>
            <w:tcMar>
              <w:top w:w="0" w:type="dxa"/>
              <w:left w:w="105" w:type="dxa"/>
              <w:bottom w:w="0" w:type="dxa"/>
              <w:right w:w="105" w:type="dxa"/>
            </w:tcMar>
            <w:vAlign w:val="top"/>
          </w:tcPr>
          <w:p>
            <w:pPr>
              <w:pStyle w:val="4"/>
              <w:jc w:val="left"/>
            </w:pPr>
            <w:r>
              <w:rPr>
                <w:rFonts w:ascii="宋体" w:hAnsi="宋体" w:eastAsia="宋体" w:cs="宋体"/>
                <w:color w:val="000000"/>
                <w:sz w:val="24"/>
              </w:rPr>
              <w:t>功能模块</w:t>
            </w:r>
          </w:p>
        </w:tc>
        <w:tc>
          <w:tcPr>
            <w:tcW w:w="692" w:type="dxa"/>
            <w:tcBorders>
              <w:top w:val="single" w:color="000000" w:sz="4" w:space="0"/>
              <w:left w:val="nil"/>
              <w:bottom w:val="single" w:color="000000" w:sz="4" w:space="0"/>
              <w:right w:val="single" w:color="000000" w:sz="4" w:space="0"/>
            </w:tcBorders>
            <w:shd w:val="clear" w:color="auto" w:fill="FFFFFF"/>
            <w:tcMar>
              <w:top w:w="0" w:type="dxa"/>
              <w:left w:w="105" w:type="dxa"/>
              <w:bottom w:w="0" w:type="dxa"/>
              <w:right w:w="105" w:type="dxa"/>
            </w:tcMar>
            <w:vAlign w:val="top"/>
          </w:tcPr>
          <w:p>
            <w:pPr>
              <w:pStyle w:val="4"/>
              <w:jc w:val="left"/>
            </w:pPr>
            <w:r>
              <w:rPr>
                <w:rFonts w:ascii="宋体" w:hAnsi="宋体" w:eastAsia="宋体" w:cs="宋体"/>
                <w:color w:val="000000"/>
                <w:sz w:val="24"/>
              </w:rPr>
              <w:t>数量</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restart"/>
            <w:tcBorders>
              <w:top w:val="nil"/>
              <w:left w:val="single" w:color="000000" w:sz="4" w:space="0"/>
              <w:bottom w:val="single" w:color="000000" w:sz="4" w:space="0"/>
              <w:right w:val="single" w:color="000000" w:sz="4" w:space="0"/>
            </w:tcBorders>
            <w:shd w:val="clear" w:color="auto" w:fill="FFFFFF"/>
            <w:tcMar>
              <w:top w:w="0" w:type="dxa"/>
              <w:left w:w="105" w:type="dxa"/>
              <w:bottom w:w="0" w:type="dxa"/>
              <w:right w:w="105" w:type="dxa"/>
            </w:tcMar>
            <w:vAlign w:val="top"/>
          </w:tcPr>
          <w:p>
            <w:pPr>
              <w:pStyle w:val="4"/>
              <w:jc w:val="center"/>
            </w:pPr>
            <w:r>
              <w:rPr>
                <w:rFonts w:ascii="宋体" w:hAnsi="宋体" w:eastAsia="宋体" w:cs="宋体"/>
                <w:sz w:val="24"/>
              </w:rPr>
              <w:t>三级医院等级评审系统</w:t>
            </w:r>
          </w:p>
        </w:tc>
        <w:tc>
          <w:tcPr>
            <w:tcW w:w="1896" w:type="dxa"/>
            <w:vMerge w:val="restart"/>
            <w:tcBorders>
              <w:top w:val="nil"/>
              <w:left w:val="nil"/>
              <w:bottom w:val="single" w:color="000000" w:sz="4" w:space="0"/>
              <w:right w:val="single" w:color="000000" w:sz="4" w:space="0"/>
            </w:tcBorders>
            <w:shd w:val="clear" w:color="auto" w:fill="FFFFFF"/>
            <w:tcMar>
              <w:top w:w="0" w:type="dxa"/>
              <w:left w:w="105" w:type="dxa"/>
              <w:bottom w:w="0" w:type="dxa"/>
              <w:right w:w="105" w:type="dxa"/>
            </w:tcMar>
            <w:vAlign w:val="top"/>
          </w:tcPr>
          <w:p>
            <w:pPr>
              <w:pStyle w:val="4"/>
              <w:jc w:val="center"/>
            </w:pPr>
            <w:r>
              <w:rPr>
                <w:rFonts w:ascii="宋体" w:hAnsi="宋体" w:eastAsia="宋体" w:cs="宋体"/>
                <w:color w:val="444444"/>
                <w:sz w:val="24"/>
              </w:rPr>
              <w:t>医院评审数据中心</w:t>
            </w:r>
          </w:p>
        </w:tc>
        <w:tc>
          <w:tcPr>
            <w:tcW w:w="3822" w:type="dxa"/>
            <w:tcBorders>
              <w:top w:val="nil"/>
              <w:left w:val="nil"/>
              <w:bottom w:val="single" w:color="000000" w:sz="4" w:space="0"/>
              <w:right w:val="single" w:color="000000" w:sz="4" w:space="0"/>
            </w:tcBorders>
            <w:shd w:val="clear" w:color="auto" w:fill="FFFFFF"/>
            <w:tcMar>
              <w:top w:w="0" w:type="dxa"/>
              <w:left w:w="105" w:type="dxa"/>
              <w:bottom w:w="0" w:type="dxa"/>
              <w:right w:w="105" w:type="dxa"/>
            </w:tcMar>
            <w:vAlign w:val="top"/>
          </w:tcPr>
          <w:p>
            <w:pPr>
              <w:pStyle w:val="4"/>
              <w:spacing w:before="60" w:after="60"/>
              <w:jc w:val="left"/>
            </w:pPr>
            <w:r>
              <w:rPr>
                <w:rFonts w:ascii="宋体" w:hAnsi="宋体" w:eastAsia="宋体" w:cs="宋体"/>
                <w:color w:val="000000"/>
                <w:sz w:val="24"/>
              </w:rPr>
              <w:t>等级评审数据集成</w:t>
            </w:r>
          </w:p>
        </w:tc>
        <w:tc>
          <w:tcPr>
            <w:tcW w:w="692" w:type="dxa"/>
            <w:tcBorders>
              <w:top w:val="nil"/>
              <w:left w:val="nil"/>
              <w:bottom w:val="single" w:color="000000" w:sz="4" w:space="0"/>
              <w:right w:val="single" w:color="000000" w:sz="4" w:space="0"/>
            </w:tcBorders>
            <w:shd w:val="clear" w:color="auto" w:fill="FFFFFF"/>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continue"/>
            <w:tcBorders>
              <w:top w:val="nil"/>
              <w:left w:val="nil"/>
              <w:bottom w:val="single" w:color="000000" w:sz="4" w:space="0"/>
              <w:right w:val="single" w:color="000000" w:sz="4" w:space="0"/>
            </w:tcBorders>
          </w:tcPr>
          <w:p/>
        </w:tc>
        <w:tc>
          <w:tcPr>
            <w:tcW w:w="3822" w:type="dxa"/>
            <w:tcBorders>
              <w:top w:val="nil"/>
              <w:left w:val="nil"/>
              <w:bottom w:val="single" w:color="000000" w:sz="4" w:space="0"/>
              <w:right w:val="single" w:color="000000" w:sz="4" w:space="0"/>
            </w:tcBorders>
            <w:shd w:val="clear" w:color="auto" w:fill="FFFFFF"/>
            <w:tcMar>
              <w:top w:w="0" w:type="dxa"/>
              <w:left w:w="105" w:type="dxa"/>
              <w:bottom w:w="0" w:type="dxa"/>
              <w:right w:w="105" w:type="dxa"/>
            </w:tcMar>
            <w:vAlign w:val="top"/>
          </w:tcPr>
          <w:p>
            <w:pPr>
              <w:pStyle w:val="4"/>
              <w:spacing w:before="60" w:after="60"/>
              <w:jc w:val="left"/>
            </w:pPr>
            <w:r>
              <w:rPr>
                <w:rFonts w:ascii="宋体" w:hAnsi="宋体" w:eastAsia="宋体" w:cs="宋体"/>
                <w:color w:val="000000"/>
                <w:sz w:val="24"/>
              </w:rPr>
              <w:t>等级评审数据治理引擎</w:t>
            </w:r>
          </w:p>
        </w:tc>
        <w:tc>
          <w:tcPr>
            <w:tcW w:w="692" w:type="dxa"/>
            <w:tcBorders>
              <w:top w:val="nil"/>
              <w:left w:val="nil"/>
              <w:bottom w:val="single" w:color="000000" w:sz="4" w:space="0"/>
              <w:right w:val="single" w:color="000000" w:sz="4" w:space="0"/>
            </w:tcBorders>
            <w:shd w:val="clear" w:color="auto" w:fill="FFFFFF"/>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continue"/>
            <w:tcBorders>
              <w:top w:val="nil"/>
              <w:left w:val="nil"/>
              <w:bottom w:val="single" w:color="000000" w:sz="4" w:space="0"/>
              <w:right w:val="single" w:color="000000" w:sz="4" w:space="0"/>
            </w:tcBorders>
          </w:tcPr>
          <w:p/>
        </w:tc>
        <w:tc>
          <w:tcPr>
            <w:tcW w:w="3822" w:type="dxa"/>
            <w:tcBorders>
              <w:top w:val="nil"/>
              <w:left w:val="nil"/>
              <w:bottom w:val="single" w:color="000000" w:sz="4" w:space="0"/>
              <w:right w:val="single" w:color="000000" w:sz="4" w:space="0"/>
            </w:tcBorders>
            <w:shd w:val="clear" w:color="auto" w:fill="FFFFFF"/>
            <w:tcMar>
              <w:top w:w="0" w:type="dxa"/>
              <w:left w:w="105" w:type="dxa"/>
              <w:bottom w:w="0" w:type="dxa"/>
              <w:right w:w="105" w:type="dxa"/>
            </w:tcMar>
            <w:vAlign w:val="top"/>
          </w:tcPr>
          <w:p>
            <w:pPr>
              <w:pStyle w:val="4"/>
              <w:spacing w:before="60" w:after="60"/>
              <w:jc w:val="left"/>
            </w:pPr>
            <w:r>
              <w:rPr>
                <w:rFonts w:ascii="宋体" w:hAnsi="宋体" w:eastAsia="宋体" w:cs="宋体"/>
                <w:color w:val="000000"/>
                <w:sz w:val="24"/>
              </w:rPr>
              <w:t>等级评审结构化数据治理</w:t>
            </w:r>
          </w:p>
        </w:tc>
        <w:tc>
          <w:tcPr>
            <w:tcW w:w="692" w:type="dxa"/>
            <w:tcBorders>
              <w:top w:val="nil"/>
              <w:left w:val="nil"/>
              <w:bottom w:val="single" w:color="000000" w:sz="4" w:space="0"/>
              <w:right w:val="single" w:color="000000" w:sz="4" w:space="0"/>
            </w:tcBorders>
            <w:shd w:val="clear" w:color="auto" w:fill="FFFFFF"/>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continue"/>
            <w:tcBorders>
              <w:top w:val="nil"/>
              <w:left w:val="nil"/>
              <w:bottom w:val="single" w:color="000000" w:sz="4" w:space="0"/>
              <w:right w:val="single" w:color="000000" w:sz="4" w:space="0"/>
            </w:tcBorders>
          </w:tcPr>
          <w:p/>
        </w:tc>
        <w:tc>
          <w:tcPr>
            <w:tcW w:w="3822" w:type="dxa"/>
            <w:tcBorders>
              <w:top w:val="nil"/>
              <w:left w:val="nil"/>
              <w:bottom w:val="single" w:color="000000" w:sz="4" w:space="0"/>
              <w:right w:val="single" w:color="000000" w:sz="4" w:space="0"/>
            </w:tcBorders>
            <w:shd w:val="clear" w:color="auto" w:fill="FFFFFF"/>
            <w:tcMar>
              <w:top w:w="0" w:type="dxa"/>
              <w:left w:w="105" w:type="dxa"/>
              <w:bottom w:w="0" w:type="dxa"/>
              <w:right w:w="105" w:type="dxa"/>
            </w:tcMar>
            <w:vAlign w:val="top"/>
          </w:tcPr>
          <w:p>
            <w:pPr>
              <w:pStyle w:val="4"/>
              <w:spacing w:before="60" w:after="60"/>
              <w:jc w:val="left"/>
            </w:pPr>
            <w:r>
              <w:rPr>
                <w:rFonts w:ascii="宋体" w:hAnsi="宋体" w:eastAsia="宋体" w:cs="宋体"/>
                <w:color w:val="000000"/>
                <w:sz w:val="24"/>
              </w:rPr>
              <w:t>等级评审标准医学术语治理</w:t>
            </w:r>
          </w:p>
        </w:tc>
        <w:tc>
          <w:tcPr>
            <w:tcW w:w="692" w:type="dxa"/>
            <w:tcBorders>
              <w:top w:val="nil"/>
              <w:left w:val="nil"/>
              <w:bottom w:val="single" w:color="000000" w:sz="4" w:space="0"/>
              <w:right w:val="single" w:color="000000" w:sz="4" w:space="0"/>
            </w:tcBorders>
            <w:shd w:val="clear" w:color="auto" w:fill="FFFFFF"/>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continue"/>
            <w:tcBorders>
              <w:top w:val="nil"/>
              <w:left w:val="nil"/>
              <w:bottom w:val="single" w:color="000000" w:sz="4" w:space="0"/>
              <w:right w:val="single" w:color="000000" w:sz="4" w:space="0"/>
            </w:tcBorders>
          </w:tcPr>
          <w:p/>
        </w:tc>
        <w:tc>
          <w:tcPr>
            <w:tcW w:w="3822" w:type="dxa"/>
            <w:tcBorders>
              <w:top w:val="nil"/>
              <w:left w:val="nil"/>
              <w:bottom w:val="single" w:color="000000" w:sz="4" w:space="0"/>
              <w:right w:val="single" w:color="000000" w:sz="4" w:space="0"/>
            </w:tcBorders>
            <w:shd w:val="clear" w:color="auto" w:fill="FFFFFF"/>
            <w:tcMar>
              <w:top w:w="0" w:type="dxa"/>
              <w:left w:w="105" w:type="dxa"/>
              <w:bottom w:w="0" w:type="dxa"/>
              <w:right w:w="105" w:type="dxa"/>
            </w:tcMar>
            <w:vAlign w:val="top"/>
          </w:tcPr>
          <w:p>
            <w:pPr>
              <w:pStyle w:val="4"/>
              <w:spacing w:before="60" w:after="60"/>
              <w:jc w:val="left"/>
            </w:pPr>
            <w:r>
              <w:rPr>
                <w:rFonts w:ascii="宋体" w:hAnsi="宋体" w:eastAsia="宋体" w:cs="宋体"/>
                <w:color w:val="000000"/>
                <w:sz w:val="24"/>
              </w:rPr>
              <w:t>等级评审非结构化数据治理</w:t>
            </w:r>
          </w:p>
        </w:tc>
        <w:tc>
          <w:tcPr>
            <w:tcW w:w="692" w:type="dxa"/>
            <w:tcBorders>
              <w:top w:val="nil"/>
              <w:left w:val="nil"/>
              <w:bottom w:val="single" w:color="000000" w:sz="4" w:space="0"/>
              <w:right w:val="single" w:color="000000" w:sz="4" w:space="0"/>
            </w:tcBorders>
            <w:shd w:val="clear" w:color="auto" w:fill="FFFFFF"/>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restart"/>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center"/>
            </w:pPr>
            <w:r>
              <w:rPr>
                <w:rFonts w:ascii="宋体" w:hAnsi="宋体" w:eastAsia="宋体" w:cs="宋体"/>
                <w:color w:val="444444"/>
                <w:sz w:val="24"/>
              </w:rPr>
              <w:t>医学指标深度计算引擎</w:t>
            </w:r>
          </w:p>
        </w:tc>
        <w:tc>
          <w:tcPr>
            <w:tcW w:w="3822" w:type="dxa"/>
            <w:tcBorders>
              <w:top w:val="nil"/>
              <w:left w:val="nil"/>
              <w:bottom w:val="single" w:color="000000" w:sz="4" w:space="0"/>
              <w:right w:val="single" w:color="000000" w:sz="4" w:space="0"/>
            </w:tcBorders>
            <w:shd w:val="clear" w:color="auto" w:fill="FFFFFF"/>
            <w:tcMar>
              <w:top w:w="0" w:type="dxa"/>
              <w:left w:w="105" w:type="dxa"/>
              <w:bottom w:w="0" w:type="dxa"/>
              <w:right w:w="105" w:type="dxa"/>
            </w:tcMar>
            <w:vAlign w:val="top"/>
          </w:tcPr>
          <w:p>
            <w:pPr>
              <w:pStyle w:val="4"/>
              <w:jc w:val="left"/>
            </w:pPr>
            <w:r>
              <w:rPr>
                <w:rFonts w:ascii="宋体" w:hAnsi="宋体" w:eastAsia="宋体" w:cs="宋体"/>
                <w:color w:val="000000"/>
                <w:sz w:val="24"/>
              </w:rPr>
              <w:t>等级评审医学文本信息提取引擎</w:t>
            </w:r>
          </w:p>
        </w:tc>
        <w:tc>
          <w:tcPr>
            <w:tcW w:w="692" w:type="dxa"/>
            <w:tcBorders>
              <w:top w:val="nil"/>
              <w:left w:val="nil"/>
              <w:bottom w:val="single" w:color="000000" w:sz="4" w:space="0"/>
              <w:right w:val="single" w:color="000000" w:sz="4" w:space="0"/>
            </w:tcBorders>
            <w:shd w:val="clear" w:color="auto" w:fill="FFFFFF"/>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continue"/>
            <w:tcBorders>
              <w:top w:val="nil"/>
              <w:left w:val="nil"/>
              <w:bottom w:val="single" w:color="000000" w:sz="4" w:space="0"/>
              <w:right w:val="single" w:color="000000" w:sz="4" w:space="0"/>
            </w:tcBorders>
          </w:tcPr>
          <w:p/>
        </w:tc>
        <w:tc>
          <w:tcPr>
            <w:tcW w:w="3822" w:type="dxa"/>
            <w:tcBorders>
              <w:top w:val="nil"/>
              <w:left w:val="nil"/>
              <w:bottom w:val="single" w:color="000000" w:sz="4" w:space="0"/>
              <w:right w:val="single" w:color="000000" w:sz="4" w:space="0"/>
            </w:tcBorders>
            <w:shd w:val="clear" w:color="auto" w:fill="FFFFFF"/>
            <w:tcMar>
              <w:top w:w="0" w:type="dxa"/>
              <w:left w:w="105" w:type="dxa"/>
              <w:bottom w:w="0" w:type="dxa"/>
              <w:right w:w="105" w:type="dxa"/>
            </w:tcMar>
            <w:vAlign w:val="top"/>
          </w:tcPr>
          <w:p>
            <w:pPr>
              <w:pStyle w:val="4"/>
              <w:jc w:val="left"/>
            </w:pPr>
            <w:r>
              <w:rPr>
                <w:rFonts w:ascii="宋体" w:hAnsi="宋体" w:eastAsia="宋体" w:cs="宋体"/>
                <w:color w:val="000000"/>
                <w:sz w:val="24"/>
              </w:rPr>
              <w:t>等级评审医学术语归一引擎</w:t>
            </w:r>
          </w:p>
        </w:tc>
        <w:tc>
          <w:tcPr>
            <w:tcW w:w="692" w:type="dxa"/>
            <w:tcBorders>
              <w:top w:val="nil"/>
              <w:left w:val="nil"/>
              <w:bottom w:val="single" w:color="000000" w:sz="4" w:space="0"/>
              <w:right w:val="single" w:color="000000" w:sz="4" w:space="0"/>
            </w:tcBorders>
            <w:shd w:val="clear" w:color="auto" w:fill="FFFFFF"/>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continue"/>
            <w:tcBorders>
              <w:top w:val="nil"/>
              <w:left w:val="nil"/>
              <w:bottom w:val="single" w:color="000000" w:sz="4" w:space="0"/>
              <w:right w:val="single" w:color="000000" w:sz="4" w:space="0"/>
            </w:tcBorders>
          </w:tcPr>
          <w:p/>
        </w:tc>
        <w:tc>
          <w:tcPr>
            <w:tcW w:w="3822" w:type="dxa"/>
            <w:tcBorders>
              <w:top w:val="nil"/>
              <w:left w:val="nil"/>
              <w:bottom w:val="single" w:color="000000" w:sz="4" w:space="0"/>
              <w:right w:val="single" w:color="000000" w:sz="4" w:space="0"/>
            </w:tcBorders>
            <w:shd w:val="clear" w:color="auto" w:fill="FFFFFF"/>
            <w:tcMar>
              <w:top w:w="0" w:type="dxa"/>
              <w:left w:w="105" w:type="dxa"/>
              <w:bottom w:w="0" w:type="dxa"/>
              <w:right w:w="105" w:type="dxa"/>
            </w:tcMar>
            <w:vAlign w:val="top"/>
          </w:tcPr>
          <w:p>
            <w:pPr>
              <w:pStyle w:val="4"/>
              <w:jc w:val="left"/>
            </w:pPr>
            <w:r>
              <w:rPr>
                <w:rFonts w:ascii="宋体" w:hAnsi="宋体" w:eastAsia="宋体" w:cs="宋体"/>
                <w:color w:val="000000"/>
                <w:sz w:val="24"/>
              </w:rPr>
              <w:t>等级评审指标医学规则计算引擎</w:t>
            </w:r>
          </w:p>
        </w:tc>
        <w:tc>
          <w:tcPr>
            <w:tcW w:w="692" w:type="dxa"/>
            <w:tcBorders>
              <w:top w:val="nil"/>
              <w:left w:val="nil"/>
              <w:bottom w:val="single" w:color="000000" w:sz="4" w:space="0"/>
              <w:right w:val="single" w:color="000000" w:sz="4" w:space="0"/>
            </w:tcBorders>
            <w:shd w:val="clear" w:color="auto" w:fill="FFFFFF"/>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restart"/>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center"/>
            </w:pPr>
            <w:r>
              <w:rPr>
                <w:rFonts w:ascii="宋体" w:hAnsi="宋体" w:eastAsia="宋体" w:cs="宋体"/>
                <w:color w:val="000000"/>
                <w:sz w:val="24"/>
              </w:rPr>
              <w:t>重点指标追踪分析</w:t>
            </w:r>
          </w:p>
        </w:tc>
        <w:tc>
          <w:tcPr>
            <w:tcW w:w="3822" w:type="dxa"/>
            <w:tcBorders>
              <w:top w:val="nil"/>
              <w:left w:val="nil"/>
              <w:bottom w:val="single" w:color="000000" w:sz="4" w:space="0"/>
              <w:right w:val="single" w:color="000000" w:sz="4" w:space="0"/>
            </w:tcBorders>
            <w:shd w:val="clear" w:color="auto" w:fill="FFFFFF"/>
            <w:tcMar>
              <w:top w:w="0" w:type="dxa"/>
              <w:left w:w="105" w:type="dxa"/>
              <w:bottom w:w="0" w:type="dxa"/>
              <w:right w:w="105" w:type="dxa"/>
            </w:tcMar>
            <w:vAlign w:val="top"/>
          </w:tcPr>
          <w:p>
            <w:pPr>
              <w:pStyle w:val="4"/>
              <w:jc w:val="left"/>
            </w:pPr>
            <w:r>
              <w:rPr>
                <w:rFonts w:ascii="宋体" w:hAnsi="宋体" w:eastAsia="宋体" w:cs="宋体"/>
                <w:color w:val="000000"/>
                <w:sz w:val="24"/>
              </w:rPr>
              <w:t>资源配置与运行数据指标监测</w:t>
            </w:r>
          </w:p>
        </w:tc>
        <w:tc>
          <w:tcPr>
            <w:tcW w:w="692" w:type="dxa"/>
            <w:tcBorders>
              <w:top w:val="nil"/>
              <w:left w:val="nil"/>
              <w:bottom w:val="single" w:color="000000" w:sz="4" w:space="0"/>
              <w:right w:val="single" w:color="000000" w:sz="4" w:space="0"/>
            </w:tcBorders>
            <w:shd w:val="clear" w:color="auto" w:fill="FFFFFF"/>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continue"/>
            <w:tcBorders>
              <w:top w:val="nil"/>
              <w:left w:val="nil"/>
              <w:bottom w:val="single" w:color="000000" w:sz="4" w:space="0"/>
              <w:right w:val="single" w:color="000000" w:sz="4" w:space="0"/>
            </w:tcBorders>
          </w:tcPr>
          <w:p/>
        </w:tc>
        <w:tc>
          <w:tcPr>
            <w:tcW w:w="382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医疗服务能力指标监测</w:t>
            </w:r>
          </w:p>
        </w:tc>
        <w:tc>
          <w:tcPr>
            <w:tcW w:w="69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continue"/>
            <w:tcBorders>
              <w:top w:val="nil"/>
              <w:left w:val="nil"/>
              <w:bottom w:val="single" w:color="000000" w:sz="4" w:space="0"/>
              <w:right w:val="single" w:color="000000" w:sz="4" w:space="0"/>
            </w:tcBorders>
          </w:tcPr>
          <w:p/>
        </w:tc>
        <w:tc>
          <w:tcPr>
            <w:tcW w:w="382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医院质量安全指标监测</w:t>
            </w:r>
          </w:p>
        </w:tc>
        <w:tc>
          <w:tcPr>
            <w:tcW w:w="69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restart"/>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center"/>
            </w:pPr>
            <w:r>
              <w:rPr>
                <w:rFonts w:ascii="宋体" w:hAnsi="宋体" w:eastAsia="宋体" w:cs="宋体"/>
                <w:color w:val="000000"/>
                <w:sz w:val="24"/>
              </w:rPr>
              <w:t>重点专业质控指标监测分析</w:t>
            </w:r>
          </w:p>
        </w:tc>
        <w:tc>
          <w:tcPr>
            <w:tcW w:w="382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产科专业医疗质量控制指标</w:t>
            </w:r>
          </w:p>
        </w:tc>
        <w:tc>
          <w:tcPr>
            <w:tcW w:w="69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continue"/>
            <w:tcBorders>
              <w:top w:val="nil"/>
              <w:left w:val="nil"/>
              <w:bottom w:val="single" w:color="000000" w:sz="4" w:space="0"/>
              <w:right w:val="single" w:color="000000" w:sz="4" w:space="0"/>
            </w:tcBorders>
          </w:tcPr>
          <w:p/>
        </w:tc>
        <w:tc>
          <w:tcPr>
            <w:tcW w:w="382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呼吸内科专业医疗质量控制指标</w:t>
            </w:r>
          </w:p>
        </w:tc>
        <w:tc>
          <w:tcPr>
            <w:tcW w:w="69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continue"/>
            <w:tcBorders>
              <w:top w:val="nil"/>
              <w:left w:val="nil"/>
              <w:bottom w:val="single" w:color="000000" w:sz="4" w:space="0"/>
              <w:right w:val="single" w:color="000000" w:sz="4" w:space="0"/>
            </w:tcBorders>
          </w:tcPr>
          <w:p/>
        </w:tc>
        <w:tc>
          <w:tcPr>
            <w:tcW w:w="382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神经系统疾病医疗质量控制指标</w:t>
            </w:r>
          </w:p>
        </w:tc>
        <w:tc>
          <w:tcPr>
            <w:tcW w:w="69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continue"/>
            <w:tcBorders>
              <w:top w:val="nil"/>
              <w:left w:val="nil"/>
              <w:bottom w:val="single" w:color="000000" w:sz="4" w:space="0"/>
              <w:right w:val="single" w:color="000000" w:sz="4" w:space="0"/>
            </w:tcBorders>
          </w:tcPr>
          <w:p/>
        </w:tc>
        <w:tc>
          <w:tcPr>
            <w:tcW w:w="382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肾病专业医疗质量控制指标</w:t>
            </w:r>
          </w:p>
        </w:tc>
        <w:tc>
          <w:tcPr>
            <w:tcW w:w="69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continue"/>
            <w:tcBorders>
              <w:top w:val="nil"/>
              <w:left w:val="nil"/>
              <w:bottom w:val="single" w:color="000000" w:sz="4" w:space="0"/>
              <w:right w:val="single" w:color="000000" w:sz="4" w:space="0"/>
            </w:tcBorders>
          </w:tcPr>
          <w:p/>
        </w:tc>
        <w:tc>
          <w:tcPr>
            <w:tcW w:w="382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麻醉专业医疗质量控制指标</w:t>
            </w:r>
          </w:p>
        </w:tc>
        <w:tc>
          <w:tcPr>
            <w:tcW w:w="69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continue"/>
            <w:tcBorders>
              <w:top w:val="nil"/>
              <w:left w:val="nil"/>
              <w:bottom w:val="single" w:color="000000" w:sz="4" w:space="0"/>
              <w:right w:val="single" w:color="000000" w:sz="4" w:space="0"/>
            </w:tcBorders>
          </w:tcPr>
          <w:p/>
        </w:tc>
        <w:tc>
          <w:tcPr>
            <w:tcW w:w="382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临床检验专业医疗质量控制指标</w:t>
            </w:r>
          </w:p>
        </w:tc>
        <w:tc>
          <w:tcPr>
            <w:tcW w:w="69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continue"/>
            <w:tcBorders>
              <w:top w:val="nil"/>
              <w:left w:val="nil"/>
              <w:bottom w:val="single" w:color="000000" w:sz="4" w:space="0"/>
              <w:right w:val="single" w:color="000000" w:sz="4" w:space="0"/>
            </w:tcBorders>
          </w:tcPr>
          <w:p/>
        </w:tc>
        <w:tc>
          <w:tcPr>
            <w:tcW w:w="382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药事管理专业医疗质量控制指标</w:t>
            </w:r>
          </w:p>
        </w:tc>
        <w:tc>
          <w:tcPr>
            <w:tcW w:w="69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continue"/>
            <w:tcBorders>
              <w:top w:val="nil"/>
              <w:left w:val="nil"/>
              <w:bottom w:val="single" w:color="000000" w:sz="4" w:space="0"/>
              <w:right w:val="single" w:color="000000" w:sz="4" w:space="0"/>
            </w:tcBorders>
          </w:tcPr>
          <w:p/>
        </w:tc>
        <w:tc>
          <w:tcPr>
            <w:tcW w:w="382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重症医学专业医疗质量控制指标</w:t>
            </w:r>
          </w:p>
        </w:tc>
        <w:tc>
          <w:tcPr>
            <w:tcW w:w="69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continue"/>
            <w:tcBorders>
              <w:top w:val="nil"/>
              <w:left w:val="nil"/>
              <w:bottom w:val="single" w:color="000000" w:sz="4" w:space="0"/>
              <w:right w:val="single" w:color="000000" w:sz="4" w:space="0"/>
            </w:tcBorders>
          </w:tcPr>
          <w:p/>
        </w:tc>
        <w:tc>
          <w:tcPr>
            <w:tcW w:w="382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护理专业医疗质量控制指标</w:t>
            </w:r>
          </w:p>
        </w:tc>
        <w:tc>
          <w:tcPr>
            <w:tcW w:w="69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continue"/>
            <w:tcBorders>
              <w:top w:val="nil"/>
              <w:left w:val="nil"/>
              <w:bottom w:val="single" w:color="000000" w:sz="4" w:space="0"/>
              <w:right w:val="single" w:color="000000" w:sz="4" w:space="0"/>
            </w:tcBorders>
          </w:tcPr>
          <w:p/>
        </w:tc>
        <w:tc>
          <w:tcPr>
            <w:tcW w:w="382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临床用血质量控制指标</w:t>
            </w:r>
          </w:p>
        </w:tc>
        <w:tc>
          <w:tcPr>
            <w:tcW w:w="69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continue"/>
            <w:tcBorders>
              <w:top w:val="nil"/>
              <w:left w:val="nil"/>
              <w:bottom w:val="single" w:color="000000" w:sz="4" w:space="0"/>
              <w:right w:val="single" w:color="000000" w:sz="4" w:space="0"/>
            </w:tcBorders>
          </w:tcPr>
          <w:p/>
        </w:tc>
        <w:tc>
          <w:tcPr>
            <w:tcW w:w="382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医院感染管理医疗质量控制指标</w:t>
            </w:r>
          </w:p>
        </w:tc>
        <w:tc>
          <w:tcPr>
            <w:tcW w:w="69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continue"/>
            <w:tcBorders>
              <w:top w:val="nil"/>
              <w:left w:val="nil"/>
              <w:bottom w:val="single" w:color="000000" w:sz="4" w:space="0"/>
              <w:right w:val="single" w:color="000000" w:sz="4" w:space="0"/>
            </w:tcBorders>
          </w:tcPr>
          <w:p/>
        </w:tc>
        <w:tc>
          <w:tcPr>
            <w:tcW w:w="382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病理专业医疗质量控制指标</w:t>
            </w:r>
          </w:p>
        </w:tc>
        <w:tc>
          <w:tcPr>
            <w:tcW w:w="69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continue"/>
            <w:tcBorders>
              <w:top w:val="nil"/>
              <w:left w:val="nil"/>
              <w:bottom w:val="single" w:color="000000" w:sz="4" w:space="0"/>
              <w:right w:val="single" w:color="000000" w:sz="4" w:space="0"/>
            </w:tcBorders>
          </w:tcPr>
          <w:p/>
        </w:tc>
        <w:tc>
          <w:tcPr>
            <w:tcW w:w="382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急诊专业医疗质量控制指标</w:t>
            </w:r>
          </w:p>
        </w:tc>
        <w:tc>
          <w:tcPr>
            <w:tcW w:w="69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continue"/>
            <w:tcBorders>
              <w:top w:val="nil"/>
              <w:left w:val="nil"/>
              <w:bottom w:val="single" w:color="000000" w:sz="4" w:space="0"/>
              <w:right w:val="single" w:color="000000" w:sz="4" w:space="0"/>
            </w:tcBorders>
          </w:tcPr>
          <w:p/>
        </w:tc>
        <w:tc>
          <w:tcPr>
            <w:tcW w:w="382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病案管理质量控制指标</w:t>
            </w:r>
          </w:p>
        </w:tc>
        <w:tc>
          <w:tcPr>
            <w:tcW w:w="69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continue"/>
            <w:tcBorders>
              <w:top w:val="nil"/>
              <w:left w:val="nil"/>
              <w:bottom w:val="single" w:color="000000" w:sz="4" w:space="0"/>
              <w:right w:val="single" w:color="000000" w:sz="4" w:space="0"/>
            </w:tcBorders>
          </w:tcPr>
          <w:p/>
        </w:tc>
        <w:tc>
          <w:tcPr>
            <w:tcW w:w="382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心血管系统疾病相关专业医疗质量控制指标</w:t>
            </w:r>
          </w:p>
        </w:tc>
        <w:tc>
          <w:tcPr>
            <w:tcW w:w="69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continue"/>
            <w:tcBorders>
              <w:top w:val="nil"/>
              <w:left w:val="nil"/>
              <w:bottom w:val="single" w:color="000000" w:sz="4" w:space="0"/>
              <w:right w:val="single" w:color="000000" w:sz="4" w:space="0"/>
            </w:tcBorders>
          </w:tcPr>
          <w:p/>
        </w:tc>
        <w:tc>
          <w:tcPr>
            <w:tcW w:w="382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超声诊断专业医疗质量控制指标</w:t>
            </w:r>
          </w:p>
        </w:tc>
        <w:tc>
          <w:tcPr>
            <w:tcW w:w="69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continue"/>
            <w:tcBorders>
              <w:top w:val="nil"/>
              <w:left w:val="nil"/>
              <w:bottom w:val="single" w:color="000000" w:sz="4" w:space="0"/>
              <w:right w:val="single" w:color="000000" w:sz="4" w:space="0"/>
            </w:tcBorders>
          </w:tcPr>
          <w:p/>
        </w:tc>
        <w:tc>
          <w:tcPr>
            <w:tcW w:w="382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康复医学专业医疗质量控制指标</w:t>
            </w:r>
          </w:p>
        </w:tc>
        <w:tc>
          <w:tcPr>
            <w:tcW w:w="69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continue"/>
            <w:tcBorders>
              <w:top w:val="nil"/>
              <w:left w:val="nil"/>
              <w:bottom w:val="single" w:color="000000" w:sz="4" w:space="0"/>
              <w:right w:val="single" w:color="000000" w:sz="4" w:space="0"/>
            </w:tcBorders>
          </w:tcPr>
          <w:p/>
        </w:tc>
        <w:tc>
          <w:tcPr>
            <w:tcW w:w="382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临床营养专业医疗质量控制指标</w:t>
            </w:r>
          </w:p>
        </w:tc>
        <w:tc>
          <w:tcPr>
            <w:tcW w:w="69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center"/>
            </w:pPr>
            <w:r>
              <w:rPr>
                <w:rFonts w:ascii="宋体" w:hAnsi="宋体" w:eastAsia="宋体" w:cs="宋体"/>
                <w:color w:val="000000"/>
                <w:sz w:val="24"/>
              </w:rPr>
              <w:t>单病种质控指标监测分析</w:t>
            </w:r>
          </w:p>
        </w:tc>
        <w:tc>
          <w:tcPr>
            <w:tcW w:w="382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单病种质控指标监测分析</w:t>
            </w:r>
          </w:p>
        </w:tc>
        <w:tc>
          <w:tcPr>
            <w:tcW w:w="69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center"/>
            </w:pPr>
            <w:r>
              <w:rPr>
                <w:rFonts w:ascii="宋体" w:hAnsi="宋体" w:eastAsia="宋体" w:cs="宋体"/>
                <w:color w:val="000000"/>
                <w:sz w:val="24"/>
              </w:rPr>
              <w:t>重点医疗技术临床应用质控指标监测分析</w:t>
            </w:r>
          </w:p>
        </w:tc>
        <w:tc>
          <w:tcPr>
            <w:tcW w:w="382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重点医疗技术临床应用质控指标监测分析</w:t>
            </w:r>
          </w:p>
        </w:tc>
        <w:tc>
          <w:tcPr>
            <w:tcW w:w="69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restart"/>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center"/>
            </w:pPr>
            <w:r>
              <w:rPr>
                <w:rFonts w:ascii="宋体" w:hAnsi="宋体" w:eastAsia="宋体" w:cs="宋体"/>
                <w:color w:val="000000"/>
                <w:sz w:val="24"/>
              </w:rPr>
              <w:t>循证溯源管理系统</w:t>
            </w:r>
          </w:p>
        </w:tc>
        <w:tc>
          <w:tcPr>
            <w:tcW w:w="382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医学循证溯源引擎</w:t>
            </w:r>
          </w:p>
        </w:tc>
        <w:tc>
          <w:tcPr>
            <w:tcW w:w="69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continue"/>
            <w:tcBorders>
              <w:top w:val="nil"/>
              <w:left w:val="nil"/>
              <w:bottom w:val="single" w:color="000000" w:sz="4" w:space="0"/>
              <w:right w:val="single" w:color="000000" w:sz="4" w:space="0"/>
            </w:tcBorders>
          </w:tcPr>
          <w:p/>
        </w:tc>
        <w:tc>
          <w:tcPr>
            <w:tcW w:w="382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患者就诊循证全息视图</w:t>
            </w:r>
          </w:p>
        </w:tc>
        <w:tc>
          <w:tcPr>
            <w:tcW w:w="69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center"/>
            </w:pPr>
            <w:r>
              <w:rPr>
                <w:rFonts w:ascii="宋体" w:hAnsi="宋体" w:eastAsia="宋体" w:cs="宋体"/>
                <w:color w:val="000000"/>
                <w:sz w:val="24"/>
              </w:rPr>
              <w:t>重点指标大屏监测</w:t>
            </w:r>
          </w:p>
        </w:tc>
        <w:tc>
          <w:tcPr>
            <w:tcW w:w="382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重点指标大屏监测</w:t>
            </w:r>
          </w:p>
        </w:tc>
        <w:tc>
          <w:tcPr>
            <w:tcW w:w="69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restart"/>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center"/>
            </w:pPr>
            <w:r>
              <w:rPr>
                <w:rFonts w:ascii="宋体" w:hAnsi="宋体" w:eastAsia="宋体" w:cs="宋体"/>
                <w:sz w:val="24"/>
              </w:rPr>
              <w:t>自助监测报告</w:t>
            </w:r>
          </w:p>
        </w:tc>
        <w:tc>
          <w:tcPr>
            <w:tcW w:w="382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sz w:val="24"/>
              </w:rPr>
              <w:t>元素维护</w:t>
            </w:r>
          </w:p>
        </w:tc>
        <w:tc>
          <w:tcPr>
            <w:tcW w:w="69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continue"/>
            <w:tcBorders>
              <w:top w:val="nil"/>
              <w:left w:val="nil"/>
              <w:bottom w:val="single" w:color="000000" w:sz="4" w:space="0"/>
              <w:right w:val="single" w:color="000000" w:sz="4" w:space="0"/>
            </w:tcBorders>
          </w:tcPr>
          <w:p/>
        </w:tc>
        <w:tc>
          <w:tcPr>
            <w:tcW w:w="382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sz w:val="24"/>
              </w:rPr>
              <w:t>模版维护</w:t>
            </w:r>
          </w:p>
        </w:tc>
        <w:tc>
          <w:tcPr>
            <w:tcW w:w="69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continue"/>
            <w:tcBorders>
              <w:top w:val="nil"/>
              <w:left w:val="nil"/>
              <w:bottom w:val="single" w:color="000000" w:sz="4" w:space="0"/>
              <w:right w:val="single" w:color="000000" w:sz="4" w:space="0"/>
            </w:tcBorders>
          </w:tcPr>
          <w:p/>
        </w:tc>
        <w:tc>
          <w:tcPr>
            <w:tcW w:w="382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sz w:val="24"/>
              </w:rPr>
              <w:t>分析报告</w:t>
            </w:r>
          </w:p>
        </w:tc>
        <w:tc>
          <w:tcPr>
            <w:tcW w:w="69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restart"/>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center"/>
            </w:pPr>
            <w:r>
              <w:rPr>
                <w:rFonts w:ascii="宋体" w:hAnsi="宋体" w:eastAsia="宋体" w:cs="宋体"/>
                <w:sz w:val="24"/>
              </w:rPr>
              <w:t>迎评评审评价管理</w:t>
            </w:r>
          </w:p>
        </w:tc>
        <w:tc>
          <w:tcPr>
            <w:tcW w:w="382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sz w:val="24"/>
              </w:rPr>
              <w:t>三类指标上报平台</w:t>
            </w:r>
          </w:p>
        </w:tc>
        <w:tc>
          <w:tcPr>
            <w:tcW w:w="69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continue"/>
            <w:tcBorders>
              <w:top w:val="nil"/>
              <w:left w:val="nil"/>
              <w:bottom w:val="single" w:color="000000" w:sz="4" w:space="0"/>
              <w:right w:val="single" w:color="000000" w:sz="4" w:space="0"/>
            </w:tcBorders>
          </w:tcPr>
          <w:p/>
        </w:tc>
        <w:tc>
          <w:tcPr>
            <w:tcW w:w="382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sz w:val="24"/>
              </w:rPr>
              <w:t>质控督查模块</w:t>
            </w:r>
          </w:p>
        </w:tc>
        <w:tc>
          <w:tcPr>
            <w:tcW w:w="69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continue"/>
            <w:tcBorders>
              <w:top w:val="nil"/>
              <w:left w:val="nil"/>
              <w:bottom w:val="single" w:color="000000" w:sz="4" w:space="0"/>
              <w:right w:val="single" w:color="000000" w:sz="4" w:space="0"/>
            </w:tcBorders>
          </w:tcPr>
          <w:p/>
        </w:tc>
        <w:tc>
          <w:tcPr>
            <w:tcW w:w="382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sz w:val="24"/>
              </w:rPr>
              <w:t>台账管理系统</w:t>
            </w:r>
          </w:p>
        </w:tc>
        <w:tc>
          <w:tcPr>
            <w:tcW w:w="69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continue"/>
            <w:tcBorders>
              <w:top w:val="nil"/>
              <w:left w:val="nil"/>
              <w:bottom w:val="single" w:color="000000" w:sz="4" w:space="0"/>
              <w:right w:val="single" w:color="000000" w:sz="4" w:space="0"/>
            </w:tcBorders>
          </w:tcPr>
          <w:p/>
        </w:tc>
        <w:tc>
          <w:tcPr>
            <w:tcW w:w="382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sz w:val="24"/>
              </w:rPr>
              <w:t>多端互联</w:t>
            </w:r>
          </w:p>
        </w:tc>
        <w:tc>
          <w:tcPr>
            <w:tcW w:w="69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r>
        <w:tblPrEx>
          <w:tblBorders>
            <w:top w:val="none" w:color="000000" w:sz="4" w:space="0"/>
            <w:left w:val="none" w:color="000000" w:sz="4" w:space="0"/>
            <w:bottom w:val="none" w:color="000000" w:sz="4" w:space="0"/>
            <w:right w:val="none" w:color="000000" w:sz="4" w:space="0"/>
            <w:insideH w:val="none" w:color="auto" w:sz="0" w:space="0"/>
            <w:insideV w:val="none" w:color="auto" w:sz="0" w:space="0"/>
          </w:tblBorders>
          <w:tblCellMar>
            <w:top w:w="0" w:type="dxa"/>
            <w:left w:w="108" w:type="dxa"/>
            <w:bottom w:w="0" w:type="dxa"/>
            <w:right w:w="108" w:type="dxa"/>
          </w:tblCellMar>
        </w:tblPrEx>
        <w:tc>
          <w:tcPr>
            <w:tcW w:w="1896" w:type="dxa"/>
            <w:vMerge w:val="continue"/>
            <w:tcBorders>
              <w:top w:val="nil"/>
              <w:left w:val="single" w:color="000000" w:sz="4" w:space="0"/>
              <w:bottom w:val="single" w:color="000000" w:sz="4" w:space="0"/>
              <w:right w:val="single" w:color="000000" w:sz="4" w:space="0"/>
            </w:tcBorders>
          </w:tcPr>
          <w:p/>
        </w:tc>
        <w:tc>
          <w:tcPr>
            <w:tcW w:w="1896" w:type="dxa"/>
            <w:vMerge w:val="continue"/>
            <w:tcBorders>
              <w:top w:val="nil"/>
              <w:left w:val="nil"/>
              <w:bottom w:val="single" w:color="000000" w:sz="4" w:space="0"/>
              <w:right w:val="single" w:color="000000" w:sz="4" w:space="0"/>
            </w:tcBorders>
          </w:tcPr>
          <w:p/>
        </w:tc>
        <w:tc>
          <w:tcPr>
            <w:tcW w:w="382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sz w:val="24"/>
              </w:rPr>
              <w:t>移动端</w:t>
            </w:r>
          </w:p>
        </w:tc>
        <w:tc>
          <w:tcPr>
            <w:tcW w:w="692" w:type="dxa"/>
            <w:tcBorders>
              <w:top w:val="nil"/>
              <w:left w:val="nil"/>
              <w:bottom w:val="single" w:color="000000" w:sz="4" w:space="0"/>
              <w:right w:val="single" w:color="000000" w:sz="4" w:space="0"/>
            </w:tcBorders>
            <w:tcMar>
              <w:top w:w="0" w:type="dxa"/>
              <w:left w:w="105" w:type="dxa"/>
              <w:bottom w:w="0" w:type="dxa"/>
              <w:right w:w="105" w:type="dxa"/>
            </w:tcMar>
            <w:vAlign w:val="top"/>
          </w:tcPr>
          <w:p>
            <w:pPr>
              <w:pStyle w:val="4"/>
              <w:jc w:val="left"/>
            </w:pPr>
            <w:r>
              <w:rPr>
                <w:rFonts w:ascii="宋体" w:hAnsi="宋体" w:eastAsia="宋体" w:cs="宋体"/>
                <w:color w:val="000000"/>
                <w:sz w:val="24"/>
              </w:rPr>
              <w:t>1套</w:t>
            </w:r>
          </w:p>
        </w:tc>
      </w:tr>
    </w:tbl>
    <w:p>
      <w:pPr>
        <w:pStyle w:val="4"/>
        <w:jc w:val="left"/>
      </w:pPr>
      <w:r>
        <w:rPr>
          <w:rFonts w:ascii="Calibri" w:hAnsi="Calibri" w:eastAsia="Calibri" w:cs="Calibri"/>
          <w:sz w:val="24"/>
        </w:rPr>
        <w:t>2.2</w:t>
      </w:r>
      <w:r>
        <w:rPr>
          <w:rFonts w:ascii="宋体" w:hAnsi="宋体" w:eastAsia="宋体" w:cs="宋体"/>
          <w:b/>
          <w:sz w:val="24"/>
        </w:rPr>
        <w:t>技术参数要求</w:t>
      </w:r>
    </w:p>
    <w:p>
      <w:pPr>
        <w:pStyle w:val="4"/>
        <w:jc w:val="left"/>
      </w:pPr>
      <w:r>
        <w:rPr>
          <w:rFonts w:ascii="Calibri" w:hAnsi="Calibri" w:eastAsia="Calibri" w:cs="Calibri"/>
          <w:b/>
          <w:sz w:val="24"/>
        </w:rPr>
        <w:t>2.2.1</w:t>
      </w:r>
      <w:r>
        <w:rPr>
          <w:rFonts w:ascii="宋体" w:hAnsi="宋体" w:eastAsia="宋体" w:cs="宋体"/>
          <w:b/>
          <w:sz w:val="24"/>
        </w:rPr>
        <w:t>系统整体技术要求</w:t>
      </w:r>
    </w:p>
    <w:p>
      <w:pPr>
        <w:pStyle w:val="4"/>
        <w:jc w:val="left"/>
      </w:pPr>
      <w:r>
        <w:rPr>
          <w:rFonts w:ascii="宋体" w:hAnsi="宋体" w:eastAsia="宋体" w:cs="宋体"/>
          <w:b/>
          <w:sz w:val="24"/>
        </w:rPr>
        <w:t>2.2.1.1总体技术要求</w:t>
      </w:r>
    </w:p>
    <w:p>
      <w:pPr>
        <w:pStyle w:val="4"/>
        <w:jc w:val="left"/>
      </w:pPr>
      <w:r>
        <w:rPr>
          <w:rFonts w:ascii="宋体" w:hAnsi="宋体" w:eastAsia="宋体" w:cs="宋体"/>
          <w:sz w:val="24"/>
        </w:rPr>
        <w:t>1. 系统需采用B/S架构，需提供系统界面截图；</w:t>
      </w:r>
    </w:p>
    <w:p>
      <w:pPr>
        <w:pStyle w:val="4"/>
        <w:jc w:val="left"/>
      </w:pPr>
      <w:r>
        <w:rPr>
          <w:rFonts w:ascii="宋体" w:hAnsi="宋体" w:eastAsia="宋体" w:cs="宋体"/>
          <w:sz w:val="24"/>
        </w:rPr>
        <w:t>2. 系统采用云原生微服务部署,支持高并发，分布式，横向扩展，弹性计算，微服务之间轻量级通讯，需提供系统截图展示容器的运行状态；</w:t>
      </w:r>
    </w:p>
    <w:p>
      <w:pPr>
        <w:pStyle w:val="4"/>
        <w:jc w:val="left"/>
      </w:pPr>
      <w:r>
        <w:rPr>
          <w:rFonts w:ascii="宋体" w:hAnsi="宋体" w:eastAsia="宋体" w:cs="宋体"/>
          <w:sz w:val="24"/>
        </w:rPr>
        <w:t>3. 系统支持蓝绿+灰度发布,并基于服务管理平台统一管理；</w:t>
      </w:r>
    </w:p>
    <w:p>
      <w:pPr>
        <w:pStyle w:val="4"/>
        <w:jc w:val="left"/>
      </w:pPr>
      <w:r>
        <w:rPr>
          <w:rFonts w:ascii="宋体" w:hAnsi="宋体" w:eastAsia="宋体" w:cs="宋体"/>
          <w:sz w:val="24"/>
        </w:rPr>
        <w:t>4. 系统集成SSO(Single Sign On) 及ACP(Access Control Policy),提高访问安全性；</w:t>
      </w:r>
    </w:p>
    <w:p>
      <w:pPr>
        <w:pStyle w:val="4"/>
        <w:jc w:val="left"/>
      </w:pPr>
      <w:r>
        <w:rPr>
          <w:rFonts w:ascii="宋体" w:hAnsi="宋体" w:eastAsia="宋体" w:cs="宋体"/>
          <w:sz w:val="24"/>
        </w:rPr>
        <w:t>5. 系统集成业务数据库冷热备份，提高系统稳定性；</w:t>
      </w:r>
    </w:p>
    <w:p>
      <w:pPr>
        <w:pStyle w:val="4"/>
        <w:jc w:val="left"/>
      </w:pPr>
      <w:r>
        <w:rPr>
          <w:rFonts w:ascii="宋体" w:hAnsi="宋体" w:eastAsia="宋体" w:cs="宋体"/>
          <w:sz w:val="24"/>
        </w:rPr>
        <w:t>6. 支持与医院信息系统数据的实时同步，需提供技术方案；</w:t>
      </w:r>
    </w:p>
    <w:p>
      <w:pPr>
        <w:pStyle w:val="4"/>
        <w:jc w:val="left"/>
      </w:pPr>
      <w:r>
        <w:rPr>
          <w:rFonts w:ascii="宋体" w:hAnsi="宋体" w:eastAsia="宋体" w:cs="宋体"/>
          <w:sz w:val="24"/>
        </w:rPr>
        <w:t>7. 产品稳定性要求：系统支持7*24小时不间断运行；</w:t>
      </w:r>
    </w:p>
    <w:p>
      <w:pPr>
        <w:pStyle w:val="4"/>
        <w:jc w:val="left"/>
      </w:pPr>
      <w:r>
        <w:rPr>
          <w:rFonts w:ascii="宋体" w:hAnsi="宋体" w:eastAsia="宋体" w:cs="宋体"/>
          <w:sz w:val="24"/>
        </w:rPr>
        <w:t>8. 为提升数据分析的时效性和运营决策支持能力，数据分析平台需支持大数据平台构建，支持数据的实时计算分析，支持如ClickHouse、HBASE、MySQL、Greenplum之一的大数据架构；</w:t>
      </w:r>
    </w:p>
    <w:p>
      <w:pPr>
        <w:pStyle w:val="4"/>
        <w:jc w:val="left"/>
      </w:pPr>
      <w:r>
        <w:rPr>
          <w:rFonts w:ascii="宋体" w:hAnsi="宋体" w:eastAsia="宋体" w:cs="宋体"/>
          <w:sz w:val="24"/>
        </w:rPr>
        <w:t>9. 系统支持在国产信创环境部署和运行；</w:t>
      </w:r>
    </w:p>
    <w:p>
      <w:pPr>
        <w:pStyle w:val="4"/>
        <w:jc w:val="left"/>
      </w:pPr>
      <w:r>
        <w:rPr>
          <w:rFonts w:ascii="宋体" w:hAnsi="宋体" w:eastAsia="宋体" w:cs="宋体"/>
          <w:sz w:val="24"/>
        </w:rPr>
        <w:t>10. 便于维护，相关系统配置集中在服务器端，客户端（如果有）不保存相关系统配置，便于后期维护管理。支持医院“一院两区”信息系统改造，保障信息的互联互通，稳定运行。系统功能满足智慧服务分级评估标准要求，配合医院智慧服务评级工作。</w:t>
      </w:r>
    </w:p>
    <w:p>
      <w:pPr>
        <w:pStyle w:val="4"/>
        <w:jc w:val="left"/>
      </w:pPr>
      <w:r>
        <w:rPr>
          <w:rFonts w:ascii="宋体" w:hAnsi="宋体" w:eastAsia="宋体" w:cs="宋体"/>
          <w:sz w:val="24"/>
        </w:rPr>
        <w:t>11. 可追溯，系统对所有用户的操作、系统本身运行记录相关日志，方便后期进行分析、追溯系统状态。</w:t>
      </w:r>
    </w:p>
    <w:p>
      <w:pPr>
        <w:pStyle w:val="4"/>
        <w:jc w:val="left"/>
      </w:pPr>
      <w:r>
        <w:rPr>
          <w:rFonts w:ascii="宋体" w:hAnsi="宋体" w:eastAsia="宋体" w:cs="宋体"/>
          <w:b/>
          <w:sz w:val="24"/>
        </w:rPr>
        <w:t>2.2.1.2 数据标准化要求</w:t>
      </w:r>
    </w:p>
    <w:p>
      <w:pPr>
        <w:pStyle w:val="4"/>
        <w:jc w:val="left"/>
      </w:pPr>
      <w:r>
        <w:rPr>
          <w:rFonts w:ascii="宋体" w:hAnsi="宋体" w:eastAsia="宋体" w:cs="宋体"/>
          <w:sz w:val="24"/>
        </w:rPr>
        <w:t>1. 支持数据集成及整合过程的标准化：实现数据的集成，通过各种数据治理手段，结合标准的医疗术语的标准规范管理，实现数据的标准化、结构化，并实现数据治理过程中的完整性、自洽性、一致性；支持科室、病区、诊断编码、疾病、药品、检验、检查等关键业务编码的统一；</w:t>
      </w:r>
    </w:p>
    <w:p>
      <w:pPr>
        <w:pStyle w:val="4"/>
        <w:jc w:val="left"/>
      </w:pPr>
      <w:r>
        <w:rPr>
          <w:rFonts w:ascii="宋体" w:hAnsi="宋体" w:eastAsia="宋体" w:cs="宋体"/>
          <w:sz w:val="24"/>
        </w:rPr>
        <w:t>2. 支持不同数据来源的数据：充分考虑数据源格式的多样性，比如各自不同的数据库格式、文本文件格式、XML格式、JSON格式等，支持结构化数据、半结构化或非结构化数据。</w:t>
      </w:r>
    </w:p>
    <w:p>
      <w:pPr>
        <w:pStyle w:val="4"/>
        <w:jc w:val="left"/>
      </w:pPr>
      <w:r>
        <w:rPr>
          <w:rFonts w:ascii="宋体" w:hAnsi="宋体" w:eastAsia="宋体" w:cs="宋体"/>
          <w:b/>
          <w:sz w:val="24"/>
        </w:rPr>
        <w:t>2.2.1.3  数据与信息安全要求</w:t>
      </w:r>
    </w:p>
    <w:p>
      <w:pPr>
        <w:pStyle w:val="4"/>
        <w:jc w:val="left"/>
      </w:pPr>
      <w:r>
        <w:rPr>
          <w:rFonts w:ascii="宋体" w:hAnsi="宋体" w:eastAsia="宋体" w:cs="宋体"/>
          <w:sz w:val="24"/>
        </w:rPr>
        <w:t>1.系统仅允许院内部署，数据不可出院，系统仅允许本地维护。</w:t>
      </w:r>
    </w:p>
    <w:p>
      <w:pPr>
        <w:pStyle w:val="4"/>
        <w:jc w:val="left"/>
      </w:pPr>
      <w:r>
        <w:rPr>
          <w:rFonts w:ascii="宋体" w:hAnsi="宋体" w:eastAsia="宋体" w:cs="宋体"/>
          <w:sz w:val="24"/>
        </w:rPr>
        <w:t>2.与医院信息系统对时应接遵循医院数据管理的要求，对医院生产系统进行只读访问，不对医院生产系统进行数据写入。</w:t>
      </w:r>
    </w:p>
    <w:p>
      <w:pPr>
        <w:pStyle w:val="4"/>
        <w:jc w:val="left"/>
      </w:pPr>
      <w:r>
        <w:rPr>
          <w:rFonts w:ascii="宋体" w:hAnsi="宋体" w:eastAsia="宋体" w:cs="宋体"/>
          <w:sz w:val="24"/>
        </w:rPr>
        <w:t>3.所有用户的密码在数据库中，采用摘要算法加密后再保存。</w:t>
      </w:r>
    </w:p>
    <w:p>
      <w:pPr>
        <w:pStyle w:val="4"/>
        <w:jc w:val="left"/>
      </w:pPr>
      <w:r>
        <w:rPr>
          <w:rFonts w:ascii="宋体" w:hAnsi="宋体" w:eastAsia="宋体" w:cs="宋体"/>
          <w:sz w:val="24"/>
        </w:rPr>
        <w:t>4.支持用户的权限的设置：支持医院管理人员方便的管理各种角色、用户的功能权限、数据访问和使用权限的定义。</w:t>
      </w:r>
    </w:p>
    <w:p>
      <w:pPr>
        <w:pStyle w:val="4"/>
        <w:jc w:val="left"/>
      </w:pPr>
      <w:r>
        <w:rPr>
          <w:rFonts w:ascii="宋体" w:hAnsi="宋体" w:eastAsia="宋体" w:cs="宋体"/>
          <w:sz w:val="24"/>
        </w:rPr>
        <w:t>5.支持操作日志的记录：对所有用户操作记录日志，记录访问IP地址、时间、用户名、操作涉及的模块等信息。</w:t>
      </w:r>
    </w:p>
    <w:p>
      <w:pPr>
        <w:pStyle w:val="4"/>
        <w:jc w:val="left"/>
      </w:pPr>
      <w:r>
        <w:rPr>
          <w:rFonts w:ascii="宋体" w:hAnsi="宋体" w:eastAsia="宋体" w:cs="宋体"/>
          <w:sz w:val="24"/>
        </w:rPr>
        <w:t>6.支持患者去隐私管理：对于患者隐私，在应用或系统设计时充分考虑相关数据的隐私保护政策。</w:t>
      </w:r>
    </w:p>
    <w:p>
      <w:pPr>
        <w:pStyle w:val="4"/>
        <w:jc w:val="left"/>
      </w:pPr>
      <w:r>
        <w:rPr>
          <w:rFonts w:ascii="宋体" w:hAnsi="宋体" w:eastAsia="宋体" w:cs="宋体"/>
          <w:b/>
          <w:sz w:val="24"/>
        </w:rPr>
        <w:t xml:space="preserve"> 2.2.2 医院评审数据中心</w:t>
      </w:r>
    </w:p>
    <w:p>
      <w:pPr>
        <w:pStyle w:val="4"/>
        <w:jc w:val="left"/>
      </w:pPr>
      <w:r>
        <w:rPr>
          <w:rFonts w:ascii="宋体" w:hAnsi="宋体" w:eastAsia="宋体" w:cs="宋体"/>
          <w:b/>
          <w:sz w:val="24"/>
        </w:rPr>
        <w:t>2.2.2.1 等级评审数据集成</w:t>
      </w:r>
    </w:p>
    <w:p>
      <w:pPr>
        <w:pStyle w:val="4"/>
        <w:jc w:val="left"/>
      </w:pPr>
      <w:r>
        <w:t xml:space="preserve"> </w:t>
      </w:r>
      <w:r>
        <w:rPr>
          <w:rFonts w:ascii="宋体" w:hAnsi="宋体" w:eastAsia="宋体" w:cs="宋体"/>
          <w:color w:val="000000"/>
          <w:sz w:val="24"/>
        </w:rPr>
        <w:t>提供基于主题的数据模型和自动的、可视化监控的、可追溯的数据抽取／转换／加载（ETL）机制，将业务系统的数据加载进入医院评审数据中心中，在充分利用医院现有数据源的信息和数据的基础之上，建立统一的等级医院评审常态化管理平台。</w:t>
      </w:r>
    </w:p>
    <w:p>
      <w:pPr>
        <w:pStyle w:val="4"/>
        <w:spacing w:before="60" w:after="60"/>
        <w:ind w:firstLine="470"/>
        <w:jc w:val="left"/>
      </w:pPr>
      <w:r>
        <w:rPr>
          <w:rFonts w:ascii="宋体" w:hAnsi="宋体" w:eastAsia="宋体" w:cs="宋体"/>
          <w:color w:val="000000"/>
          <w:sz w:val="24"/>
        </w:rPr>
        <w:t>本项目将根据需要采集数据的范围及要求，以患者为中心设计标准统一的评审数据中心数据模型。历史数据集成将在医院提供的备份库进行数据集成，实时数据采集将使用数据库复制技术对生产系统数据库业务数据表进行复制，在建立的复制库上进行数据抽取，保证对生成系统数据库性能无影响。对业务系统源数据进行数据深度清洗、标准化转换、结构化存储至数据中心。建立数据质量评估体系对数据中心患者数据进行可视化剖析。</w:t>
      </w:r>
    </w:p>
    <w:p>
      <w:pPr>
        <w:pStyle w:val="4"/>
        <w:spacing w:before="60" w:after="60"/>
        <w:ind w:firstLine="470"/>
        <w:jc w:val="left"/>
      </w:pPr>
      <w:r>
        <w:rPr>
          <w:rFonts w:ascii="宋体" w:hAnsi="宋体" w:eastAsia="宋体" w:cs="宋体"/>
          <w:color w:val="000000"/>
          <w:sz w:val="24"/>
        </w:rPr>
        <w:t>数据集成原则如下：</w:t>
      </w:r>
    </w:p>
    <w:p>
      <w:pPr>
        <w:pStyle w:val="4"/>
        <w:spacing w:before="60" w:after="60"/>
        <w:ind w:firstLine="470"/>
        <w:jc w:val="left"/>
      </w:pPr>
      <w:r>
        <w:rPr>
          <w:rFonts w:ascii="宋体" w:hAnsi="宋体" w:eastAsia="宋体" w:cs="宋体"/>
          <w:color w:val="000000"/>
          <w:sz w:val="24"/>
        </w:rPr>
        <w:t>评审全量数据集成：覆盖等级医院评审所需的全量临床和管理相关的数据，对当前评审周期内的数据进行全量集成（包括历史上存在软件升级或厂商变更前的系统数据）。</w:t>
      </w:r>
    </w:p>
    <w:p>
      <w:pPr>
        <w:pStyle w:val="4"/>
        <w:spacing w:before="60" w:after="60"/>
        <w:ind w:firstLine="470"/>
        <w:jc w:val="left"/>
      </w:pPr>
      <w:r>
        <w:rPr>
          <w:rFonts w:ascii="宋体" w:hAnsi="宋体" w:eastAsia="宋体" w:cs="宋体"/>
          <w:color w:val="000000"/>
          <w:sz w:val="24"/>
        </w:rPr>
        <w:t>实时数据集成：采用数据库复制技术和数据变更捕获技术建立实时复制库，在复制库使用数据变更捕获机制获取实时变更数据，使用ETL技术进行实时数据集成，不影响生产库性能。</w:t>
      </w:r>
    </w:p>
    <w:p>
      <w:pPr>
        <w:pStyle w:val="4"/>
        <w:spacing w:before="60" w:after="60"/>
        <w:ind w:firstLine="470"/>
        <w:jc w:val="left"/>
      </w:pPr>
      <w:r>
        <w:rPr>
          <w:rFonts w:ascii="宋体" w:hAnsi="宋体" w:eastAsia="宋体" w:cs="宋体"/>
          <w:color w:val="000000"/>
          <w:sz w:val="24"/>
        </w:rPr>
        <w:t>以患者为中心：将患者不同时期、不同系统中的患者诊疗数据关联，建立患者唯一标识，以患者为中心进行数据集成。</w:t>
      </w:r>
    </w:p>
    <w:p>
      <w:pPr>
        <w:pStyle w:val="4"/>
        <w:jc w:val="both"/>
      </w:pPr>
      <w:r>
        <w:rPr>
          <w:rFonts w:ascii="宋体" w:hAnsi="宋体" w:eastAsia="宋体" w:cs="宋体"/>
          <w:b/>
          <w:color w:val="000000"/>
          <w:sz w:val="24"/>
        </w:rPr>
        <w:t>（1）数据源管理</w:t>
      </w:r>
    </w:p>
    <w:p>
      <w:pPr>
        <w:pStyle w:val="4"/>
        <w:numPr>
          <w:ilvl w:val="0"/>
          <w:numId w:val="1"/>
        </w:numPr>
        <w:jc w:val="both"/>
      </w:pPr>
      <w:r>
        <w:rPr>
          <w:rFonts w:ascii="宋体" w:hAnsi="宋体" w:eastAsia="宋体" w:cs="宋体"/>
          <w:color w:val="000000"/>
          <w:sz w:val="24"/>
        </w:rPr>
        <w:t>支持数据采集数据源信息的维护和管理，数据库支持PostgreSQL、Oracle、SQL Server、ClickHouse、MySQL、MariaDB等主流数据库，以及达梦、人大金仓等国产数据库</w:t>
      </w:r>
    </w:p>
    <w:p>
      <w:pPr>
        <w:pStyle w:val="4"/>
        <w:numPr>
          <w:ilvl w:val="0"/>
          <w:numId w:val="1"/>
        </w:numPr>
        <w:jc w:val="both"/>
      </w:pPr>
      <w:r>
        <w:rPr>
          <w:rFonts w:ascii="宋体" w:hAnsi="宋体" w:eastAsia="宋体" w:cs="宋体"/>
          <w:color w:val="000000"/>
          <w:sz w:val="24"/>
        </w:rPr>
        <w:t>支持直接在数据源管理界面查看对应数据源的元数据信息并且可以通过搜索快速定位元数据信息</w:t>
      </w:r>
    </w:p>
    <w:p>
      <w:pPr>
        <w:pStyle w:val="4"/>
        <w:numPr>
          <w:ilvl w:val="0"/>
          <w:numId w:val="1"/>
        </w:numPr>
        <w:jc w:val="both"/>
      </w:pPr>
      <w:r>
        <w:rPr>
          <w:rFonts w:ascii="宋体" w:hAnsi="宋体" w:eastAsia="宋体" w:cs="宋体"/>
          <w:color w:val="000000"/>
          <w:sz w:val="24"/>
        </w:rPr>
        <w:t>▲实时数据采集方式支持时间轮询模式、时间轮询哈希匹配模式、数据库原生等模式，原生模式支持自动对接原生sql server CDC，oracle xstream，捕获数据实时变更。</w:t>
      </w:r>
      <w:r>
        <w:rPr>
          <w:rFonts w:ascii="宋体" w:hAnsi="宋体" w:eastAsia="宋体" w:cs="宋体"/>
          <w:b/>
          <w:color w:val="000000"/>
          <w:sz w:val="24"/>
        </w:rPr>
        <w:t>（需提供系统截图</w:t>
      </w:r>
      <w:r>
        <w:rPr>
          <w:rFonts w:ascii="宋体" w:hAnsi="宋体" w:eastAsia="宋体" w:cs="宋体"/>
          <w:b/>
          <w:sz w:val="24"/>
        </w:rPr>
        <w:t>证明</w:t>
      </w:r>
      <w:r>
        <w:rPr>
          <w:rFonts w:ascii="宋体" w:hAnsi="宋体" w:eastAsia="宋体" w:cs="宋体"/>
          <w:b/>
          <w:color w:val="000000"/>
          <w:sz w:val="24"/>
        </w:rPr>
        <w:t>）</w:t>
      </w:r>
    </w:p>
    <w:p>
      <w:pPr>
        <w:pStyle w:val="4"/>
        <w:jc w:val="both"/>
      </w:pPr>
      <w:r>
        <w:rPr>
          <w:rFonts w:ascii="宋体" w:hAnsi="宋体" w:eastAsia="宋体" w:cs="宋体"/>
          <w:b/>
          <w:color w:val="000000"/>
          <w:sz w:val="24"/>
        </w:rPr>
        <w:t>（2）数据采集管理</w:t>
      </w:r>
    </w:p>
    <w:p>
      <w:pPr>
        <w:pStyle w:val="4"/>
        <w:jc w:val="both"/>
      </w:pPr>
      <w:r>
        <w:rPr>
          <w:rFonts w:ascii="宋体" w:hAnsi="宋体" w:eastAsia="宋体" w:cs="宋体"/>
          <w:color w:val="000000"/>
          <w:sz w:val="24"/>
        </w:rPr>
        <w:t>1.支持创建和管理实时数据采集和历史数据采集任务，并且可以将不同的数据采集任务打包组成数据采集任务包</w:t>
      </w:r>
    </w:p>
    <w:p>
      <w:pPr>
        <w:pStyle w:val="4"/>
        <w:jc w:val="both"/>
      </w:pPr>
      <w:r>
        <w:rPr>
          <w:rFonts w:ascii="宋体" w:hAnsi="宋体" w:eastAsia="宋体" w:cs="宋体"/>
          <w:color w:val="000000"/>
          <w:sz w:val="24"/>
        </w:rPr>
        <w:t>2.支持通过写SQL语句或者选择数据源的表、视图等方式创建数据采集任务，并且系统支持自动创建从原始数据库到目标数据库的采集任务</w:t>
      </w:r>
    </w:p>
    <w:p>
      <w:pPr>
        <w:pStyle w:val="4"/>
        <w:jc w:val="both"/>
      </w:pPr>
      <w:r>
        <w:rPr>
          <w:rFonts w:ascii="宋体" w:hAnsi="宋体" w:eastAsia="宋体" w:cs="宋体"/>
          <w:color w:val="000000"/>
          <w:sz w:val="24"/>
        </w:rPr>
        <w:t>3.增量数据采集支持在配置采集任务是配置CDC表</w:t>
      </w:r>
    </w:p>
    <w:p>
      <w:pPr>
        <w:pStyle w:val="4"/>
        <w:jc w:val="both"/>
      </w:pPr>
      <w:r>
        <w:rPr>
          <w:rFonts w:ascii="宋体" w:hAnsi="宋体" w:eastAsia="宋体" w:cs="宋体"/>
          <w:color w:val="000000"/>
          <w:sz w:val="24"/>
        </w:rPr>
        <w:t>4.新建采集任务时支持写入多个目标数据源，且支持插入、更新等多种方式的落库方式</w:t>
      </w:r>
    </w:p>
    <w:p>
      <w:pPr>
        <w:pStyle w:val="4"/>
        <w:jc w:val="both"/>
      </w:pPr>
      <w:r>
        <w:rPr>
          <w:rFonts w:ascii="宋体" w:hAnsi="宋体" w:eastAsia="宋体" w:cs="宋体"/>
          <w:color w:val="000000"/>
          <w:sz w:val="24"/>
        </w:rPr>
        <w:t>5.支持复制、导入、导出数据采集任务和任务包的功能</w:t>
      </w:r>
    </w:p>
    <w:p>
      <w:pPr>
        <w:pStyle w:val="4"/>
        <w:jc w:val="left"/>
      </w:pPr>
      <w:r>
        <w:rPr>
          <w:rFonts w:ascii="宋体" w:hAnsi="宋体" w:eastAsia="宋体" w:cs="宋体"/>
          <w:color w:val="000000"/>
          <w:sz w:val="24"/>
        </w:rPr>
        <w:t>6.▲任务可以被进一步编排为实时或定时调度项目，每个任务都可以实现对绑定源数据端的自动实时数据变更捕获（CDC），任意的调度类型项目都支持对编排其中的任务进行优先级的配置，保证按照实际业务逻辑和顺序关系进行数据的实时治理；</w:t>
      </w:r>
      <w:r>
        <w:rPr>
          <w:rFonts w:ascii="宋体" w:hAnsi="宋体" w:eastAsia="宋体" w:cs="宋体"/>
          <w:b/>
          <w:color w:val="000000"/>
          <w:sz w:val="24"/>
        </w:rPr>
        <w:t>（需提供系统截图</w:t>
      </w:r>
      <w:r>
        <w:rPr>
          <w:rFonts w:ascii="宋体" w:hAnsi="宋体" w:eastAsia="宋体" w:cs="宋体"/>
          <w:b/>
          <w:sz w:val="24"/>
        </w:rPr>
        <w:t>证明</w:t>
      </w:r>
      <w:r>
        <w:rPr>
          <w:rFonts w:ascii="宋体" w:hAnsi="宋体" w:eastAsia="宋体" w:cs="宋体"/>
          <w:b/>
          <w:color w:val="000000"/>
          <w:sz w:val="24"/>
        </w:rPr>
        <w:t>）</w:t>
      </w:r>
    </w:p>
    <w:p>
      <w:pPr>
        <w:pStyle w:val="4"/>
        <w:jc w:val="both"/>
      </w:pPr>
      <w:r>
        <w:rPr>
          <w:rFonts w:ascii="宋体" w:hAnsi="宋体" w:eastAsia="宋体" w:cs="宋体"/>
          <w:color w:val="000000"/>
          <w:sz w:val="24"/>
        </w:rPr>
        <w:t>7.采集任务支持根据性能需求配置并行现成数或者单线程处理行数</w:t>
      </w:r>
    </w:p>
    <w:p>
      <w:pPr>
        <w:pStyle w:val="4"/>
        <w:jc w:val="both"/>
      </w:pPr>
      <w:r>
        <w:rPr>
          <w:rFonts w:ascii="宋体" w:hAnsi="宋体" w:eastAsia="宋体" w:cs="宋体"/>
          <w:color w:val="000000"/>
          <w:sz w:val="24"/>
        </w:rPr>
        <w:t>8支持在数据采集过程中实施监控性能情况，并且可实时展示每秒执行行数、读取总数、错误数、过滤数、插入数、更新数等信息</w:t>
      </w:r>
    </w:p>
    <w:p>
      <w:pPr>
        <w:pStyle w:val="4"/>
        <w:jc w:val="both"/>
      </w:pPr>
      <w:r>
        <w:rPr>
          <w:rFonts w:ascii="宋体" w:hAnsi="宋体" w:eastAsia="宋体" w:cs="宋体"/>
          <w:color w:val="000000"/>
          <w:sz w:val="24"/>
        </w:rPr>
        <w:t>9.▲支持查看任务执行状态、进度和日志信息，并可下钻查看包括错误原因和错误字段序号等信息，并且支持通过关键字搜索错误日志信息，定位错误信息后可直接快捷跳转任务界面并进行任务的试运行方便错误调试，修复错误后可直接在错误日志进行批量和逐条的错误记录重试，可避免全量的采集任务重试。</w:t>
      </w:r>
      <w:r>
        <w:rPr>
          <w:rFonts w:ascii="宋体" w:hAnsi="宋体" w:eastAsia="宋体" w:cs="宋体"/>
          <w:b/>
          <w:color w:val="000000"/>
          <w:sz w:val="24"/>
        </w:rPr>
        <w:t>（需提供系统截图</w:t>
      </w:r>
      <w:r>
        <w:rPr>
          <w:rFonts w:ascii="宋体" w:hAnsi="宋体" w:eastAsia="宋体" w:cs="宋体"/>
          <w:b/>
          <w:sz w:val="24"/>
        </w:rPr>
        <w:t>证明</w:t>
      </w:r>
      <w:r>
        <w:rPr>
          <w:rFonts w:ascii="宋体" w:hAnsi="宋体" w:eastAsia="宋体" w:cs="宋体"/>
          <w:b/>
          <w:color w:val="000000"/>
          <w:sz w:val="24"/>
        </w:rPr>
        <w:t>）</w:t>
      </w:r>
    </w:p>
    <w:p>
      <w:pPr>
        <w:pStyle w:val="4"/>
        <w:jc w:val="left"/>
      </w:pPr>
      <w:r>
        <w:rPr>
          <w:rFonts w:ascii="宋体" w:hAnsi="宋体" w:eastAsia="宋体" w:cs="宋体"/>
          <w:color w:val="000000"/>
          <w:sz w:val="24"/>
        </w:rPr>
        <w:t>10.相关的错误类型和数量等统计信息也会绑定到流程变量中，以便后续节点进行判断使用</w:t>
      </w:r>
    </w:p>
    <w:p>
      <w:pPr>
        <w:pStyle w:val="4"/>
        <w:jc w:val="both"/>
      </w:pPr>
      <w:r>
        <w:rPr>
          <w:rFonts w:ascii="宋体" w:hAnsi="宋体" w:eastAsia="宋体" w:cs="宋体"/>
          <w:color w:val="000000"/>
          <w:sz w:val="24"/>
        </w:rPr>
        <w:t>11.数据采集任务支持版本管理，支持预览不同版本的任务，且支持任意版本的任务切换。</w:t>
      </w:r>
    </w:p>
    <w:p>
      <w:pPr>
        <w:pStyle w:val="4"/>
        <w:jc w:val="both"/>
      </w:pPr>
      <w:r>
        <w:rPr>
          <w:rFonts w:ascii="宋体" w:hAnsi="宋体" w:eastAsia="宋体" w:cs="宋体"/>
          <w:b/>
          <w:color w:val="000000"/>
          <w:sz w:val="24"/>
        </w:rPr>
        <w:t>（3）数据集成范围</w:t>
      </w:r>
    </w:p>
    <w:p>
      <w:pPr>
        <w:pStyle w:val="4"/>
        <w:jc w:val="both"/>
      </w:pPr>
      <w:r>
        <w:rPr>
          <w:rFonts w:ascii="宋体" w:hAnsi="宋体" w:eastAsia="宋体" w:cs="宋体"/>
          <w:color w:val="000000"/>
          <w:sz w:val="24"/>
        </w:rPr>
        <w:t>包括但不限于：就诊信息：病人基本信息、门诊就诊记录、住院就诊记录、住院婴儿信息、住院转科记录</w:t>
      </w:r>
    </w:p>
    <w:p>
      <w:pPr>
        <w:pStyle w:val="4"/>
        <w:jc w:val="both"/>
      </w:pPr>
      <w:r>
        <w:rPr>
          <w:rFonts w:ascii="宋体" w:hAnsi="宋体" w:eastAsia="宋体" w:cs="宋体"/>
          <w:color w:val="000000"/>
          <w:sz w:val="24"/>
        </w:rPr>
        <w:t>医嘱信息：门诊处方、住院用药医嘱、住院非药品医嘱</w:t>
      </w:r>
    </w:p>
    <w:p>
      <w:pPr>
        <w:pStyle w:val="4"/>
        <w:jc w:val="both"/>
      </w:pPr>
      <w:r>
        <w:rPr>
          <w:rFonts w:ascii="宋体" w:hAnsi="宋体" w:eastAsia="宋体" w:cs="宋体"/>
          <w:color w:val="000000"/>
          <w:sz w:val="24"/>
        </w:rPr>
        <w:t>诊断信息：病人诊断记录</w:t>
      </w:r>
    </w:p>
    <w:p>
      <w:pPr>
        <w:pStyle w:val="4"/>
        <w:jc w:val="both"/>
      </w:pPr>
      <w:r>
        <w:rPr>
          <w:rFonts w:ascii="宋体" w:hAnsi="宋体" w:eastAsia="宋体" w:cs="宋体"/>
          <w:color w:val="000000"/>
          <w:sz w:val="24"/>
        </w:rPr>
        <w:t>过敏信息：病人过敏记录</w:t>
      </w:r>
    </w:p>
    <w:p>
      <w:pPr>
        <w:pStyle w:val="4"/>
        <w:jc w:val="both"/>
      </w:pPr>
      <w:r>
        <w:rPr>
          <w:rFonts w:ascii="宋体" w:hAnsi="宋体" w:eastAsia="宋体" w:cs="宋体"/>
          <w:color w:val="000000"/>
          <w:sz w:val="24"/>
        </w:rPr>
        <w:t>费用信息：门诊费用汇总、门诊费用明细、住院结算信息、住院费用明细</w:t>
      </w:r>
    </w:p>
    <w:p>
      <w:pPr>
        <w:pStyle w:val="4"/>
        <w:jc w:val="both"/>
      </w:pPr>
      <w:r>
        <w:rPr>
          <w:rFonts w:ascii="宋体" w:hAnsi="宋体" w:eastAsia="宋体" w:cs="宋体"/>
          <w:color w:val="000000"/>
          <w:sz w:val="24"/>
        </w:rPr>
        <w:t>病历文书：门诊病历、住院病历、护理病历</w:t>
      </w:r>
    </w:p>
    <w:p>
      <w:pPr>
        <w:pStyle w:val="4"/>
        <w:jc w:val="both"/>
      </w:pPr>
      <w:r>
        <w:rPr>
          <w:rFonts w:ascii="宋体" w:hAnsi="宋体" w:eastAsia="宋体" w:cs="宋体"/>
          <w:color w:val="000000"/>
          <w:sz w:val="24"/>
        </w:rPr>
        <w:t>检查信息：放射学报告、心电报告、内窥镜报告、超声报告、病理报告、其他检查报告</w:t>
      </w:r>
    </w:p>
    <w:p>
      <w:pPr>
        <w:pStyle w:val="4"/>
        <w:jc w:val="both"/>
      </w:pPr>
      <w:r>
        <w:rPr>
          <w:rFonts w:ascii="宋体" w:hAnsi="宋体" w:eastAsia="宋体" w:cs="宋体"/>
          <w:color w:val="000000"/>
          <w:sz w:val="24"/>
        </w:rPr>
        <w:t>实验室检查：检验报告、微生物报告</w:t>
      </w:r>
    </w:p>
    <w:p>
      <w:pPr>
        <w:pStyle w:val="4"/>
        <w:jc w:val="both"/>
      </w:pPr>
      <w:r>
        <w:rPr>
          <w:rFonts w:ascii="宋体" w:hAnsi="宋体" w:eastAsia="宋体" w:cs="宋体"/>
          <w:color w:val="000000"/>
          <w:sz w:val="24"/>
        </w:rPr>
        <w:t>手术信息：手术记录、麻醉记录</w:t>
      </w:r>
    </w:p>
    <w:p>
      <w:pPr>
        <w:pStyle w:val="4"/>
        <w:jc w:val="both"/>
      </w:pPr>
      <w:r>
        <w:rPr>
          <w:rFonts w:ascii="宋体" w:hAnsi="宋体" w:eastAsia="宋体" w:cs="宋体"/>
          <w:color w:val="000000"/>
          <w:sz w:val="24"/>
        </w:rPr>
        <w:t>护理信息：体征记录、护理记录</w:t>
      </w:r>
    </w:p>
    <w:p>
      <w:pPr>
        <w:pStyle w:val="4"/>
        <w:jc w:val="both"/>
      </w:pPr>
      <w:r>
        <w:rPr>
          <w:rFonts w:ascii="宋体" w:hAnsi="宋体" w:eastAsia="宋体" w:cs="宋体"/>
          <w:color w:val="000000"/>
          <w:sz w:val="24"/>
        </w:rPr>
        <w:t>病案信息：病案首页、病案诊断、病案手术、病案婴儿</w:t>
      </w:r>
    </w:p>
    <w:p>
      <w:pPr>
        <w:pStyle w:val="4"/>
        <w:jc w:val="both"/>
      </w:pPr>
      <w:r>
        <w:rPr>
          <w:rFonts w:ascii="宋体" w:hAnsi="宋体" w:eastAsia="宋体" w:cs="宋体"/>
          <w:color w:val="000000"/>
          <w:sz w:val="24"/>
        </w:rPr>
        <w:t>输血信息：输血申请、备血信息</w:t>
      </w:r>
    </w:p>
    <w:p>
      <w:pPr>
        <w:pStyle w:val="4"/>
        <w:jc w:val="both"/>
      </w:pPr>
      <w:r>
        <w:rPr>
          <w:rFonts w:ascii="宋体" w:hAnsi="宋体" w:eastAsia="宋体" w:cs="宋体"/>
          <w:color w:val="000000"/>
          <w:sz w:val="24"/>
        </w:rPr>
        <w:t>院感信息：感染报卡、手卫生信息</w:t>
      </w:r>
    </w:p>
    <w:p>
      <w:pPr>
        <w:pStyle w:val="4"/>
        <w:jc w:val="both"/>
      </w:pPr>
      <w:r>
        <w:rPr>
          <w:rFonts w:ascii="宋体" w:hAnsi="宋体" w:eastAsia="宋体" w:cs="宋体"/>
          <w:color w:val="000000"/>
          <w:sz w:val="24"/>
        </w:rPr>
        <w:t>不良事件信息：不良事件上报信息</w:t>
      </w:r>
    </w:p>
    <w:p>
      <w:pPr>
        <w:pStyle w:val="4"/>
        <w:jc w:val="both"/>
      </w:pPr>
      <w:r>
        <w:rPr>
          <w:rFonts w:ascii="宋体" w:hAnsi="宋体" w:eastAsia="宋体" w:cs="宋体"/>
          <w:color w:val="000000"/>
          <w:sz w:val="24"/>
        </w:rPr>
        <w:t>点评信息：点评审核信息</w:t>
      </w:r>
    </w:p>
    <w:p>
      <w:pPr>
        <w:pStyle w:val="4"/>
        <w:jc w:val="both"/>
      </w:pPr>
      <w:r>
        <w:rPr>
          <w:rFonts w:ascii="宋体" w:hAnsi="宋体" w:eastAsia="宋体" w:cs="宋体"/>
          <w:color w:val="000000"/>
          <w:sz w:val="24"/>
        </w:rPr>
        <w:t>上报信息：院内单病种上报结果</w:t>
      </w:r>
    </w:p>
    <w:p>
      <w:pPr>
        <w:pStyle w:val="4"/>
        <w:jc w:val="both"/>
      </w:pPr>
      <w:r>
        <w:rPr>
          <w:rFonts w:ascii="宋体" w:hAnsi="宋体" w:eastAsia="宋体" w:cs="宋体"/>
          <w:b/>
          <w:sz w:val="24"/>
        </w:rPr>
        <w:t>2.2.2.2等级评审数据治理引擎</w:t>
      </w:r>
    </w:p>
    <w:p>
      <w:pPr>
        <w:pStyle w:val="4"/>
        <w:ind w:firstLine="480"/>
        <w:jc w:val="both"/>
      </w:pPr>
      <w:r>
        <w:rPr>
          <w:rFonts w:ascii="宋体" w:hAnsi="宋体" w:eastAsia="宋体" w:cs="宋体"/>
          <w:color w:val="000000"/>
          <w:sz w:val="24"/>
        </w:rPr>
        <w:t>数据治理引擎为处理医院历史和实时数据提供一个可视化、高性能、高吞吐和低延迟的智能化工具。通过数据治理引擎能够及时发现并反馈数据问题，有效提高医院数据质量，满足公立医院绩效考核、医院运营管理数据分析、医疗安全管理分析等不同业务场景的精细化管理应用需求，将海量的业务数据与引擎模型和医院管理实践紧密结合，并配套专业化的数据分析服务能力提供有效的信息给决策者进行分析决策。</w:t>
      </w:r>
    </w:p>
    <w:p>
      <w:pPr>
        <w:pStyle w:val="4"/>
        <w:ind w:firstLine="480"/>
        <w:jc w:val="both"/>
      </w:pPr>
      <w:r>
        <w:rPr>
          <w:rFonts w:ascii="宋体" w:hAnsi="宋体" w:eastAsia="宋体" w:cs="宋体"/>
          <w:color w:val="000000"/>
          <w:sz w:val="24"/>
        </w:rPr>
        <w:t>智能数据引擎可提供高度可视化的节点控件编辑器，帮助数据开发极大地解耦使用传统数据治理工具时对复杂SQL的依赖。大部分节点控件编辑器允许书写类似于SQL的面向列和变量的高性能表达式及实用函数，不同的节点控件还能组合成项目开发模板以供保存，导出，迁移使用。后端结合表数据迭代器，DAG图执行引擎，表达式处理引擎以及实时变更捕获数据引擎，实现高吞吐，高性能，低延迟的实时数据任务治理功能。具体要求如下：</w:t>
      </w:r>
    </w:p>
    <w:p>
      <w:pPr>
        <w:pStyle w:val="4"/>
        <w:jc w:val="both"/>
      </w:pPr>
      <w:r>
        <w:rPr>
          <w:rFonts w:ascii="宋体" w:hAnsi="宋体" w:eastAsia="宋体" w:cs="宋体"/>
          <w:b/>
          <w:color w:val="000000"/>
          <w:sz w:val="24"/>
        </w:rPr>
        <w:t>（1）技术架构：</w:t>
      </w:r>
    </w:p>
    <w:p>
      <w:pPr>
        <w:pStyle w:val="4"/>
        <w:jc w:val="both"/>
      </w:pPr>
      <w:r>
        <w:t xml:space="preserve"> </w:t>
      </w:r>
      <w:r>
        <w:rPr>
          <w:rFonts w:ascii="宋体" w:hAnsi="宋体" w:eastAsia="宋体" w:cs="宋体"/>
          <w:color w:val="000000"/>
          <w:sz w:val="24"/>
        </w:rPr>
        <w:t>1.要求具备从不同数据源（PostgreSQL、Oracle、SQL Server、ClickHouse、MySQL、MariaDB等主流数据库，以及达梦、人大金仓等国产数据库、VIEW、消息、HL7、WS）中进行指定规则的数据提取作业；采集时不是必须需要第三方系统提供技术和接口开发支持；</w:t>
      </w:r>
    </w:p>
    <w:p>
      <w:pPr>
        <w:pStyle w:val="4"/>
        <w:jc w:val="both"/>
      </w:pPr>
      <w:r>
        <w:rPr>
          <w:rFonts w:ascii="宋体" w:hAnsi="宋体" w:eastAsia="宋体" w:cs="宋体"/>
          <w:color w:val="000000"/>
          <w:sz w:val="24"/>
        </w:rPr>
        <w:t>2.抽取后的数据可以为数据转换环节进行处理提供输入，也可以直接进行处理或者加载；</w:t>
      </w:r>
    </w:p>
    <w:p>
      <w:pPr>
        <w:pStyle w:val="4"/>
        <w:jc w:val="both"/>
      </w:pPr>
      <w:r>
        <w:rPr>
          <w:rFonts w:ascii="宋体" w:hAnsi="宋体" w:eastAsia="宋体" w:cs="宋体"/>
          <w:color w:val="000000"/>
          <w:sz w:val="24"/>
        </w:rPr>
        <w:t>3.支持在数据整合的过程，侧重于将来源于不同业务系统的相同类型的数据进行统一处理；</w:t>
      </w:r>
    </w:p>
    <w:p>
      <w:pPr>
        <w:pStyle w:val="4"/>
        <w:numPr>
          <w:ilvl w:val="0"/>
          <w:numId w:val="1"/>
        </w:numPr>
        <w:jc w:val="both"/>
      </w:pPr>
      <w:r>
        <w:rPr>
          <w:rFonts w:ascii="宋体" w:hAnsi="宋体" w:eastAsia="宋体" w:cs="宋体"/>
          <w:color w:val="000000"/>
          <w:sz w:val="24"/>
        </w:rPr>
        <w:t>数据粒度转换需要按照数据仓库粒度对数据进行统一归整；</w:t>
      </w:r>
    </w:p>
    <w:p>
      <w:pPr>
        <w:pStyle w:val="4"/>
        <w:numPr>
          <w:ilvl w:val="0"/>
          <w:numId w:val="1"/>
        </w:numPr>
        <w:jc w:val="both"/>
      </w:pPr>
      <w:r>
        <w:rPr>
          <w:rFonts w:ascii="宋体" w:hAnsi="宋体" w:eastAsia="宋体" w:cs="宋体"/>
          <w:color w:val="000000"/>
          <w:sz w:val="24"/>
        </w:rPr>
        <w:t>转换规则计算按照设计的计算规则对数据进行重新计算；</w:t>
      </w:r>
    </w:p>
    <w:p>
      <w:pPr>
        <w:pStyle w:val="4"/>
        <w:numPr>
          <w:ilvl w:val="0"/>
          <w:numId w:val="1"/>
        </w:numPr>
        <w:jc w:val="both"/>
      </w:pPr>
      <w:r>
        <w:rPr>
          <w:rFonts w:ascii="宋体" w:hAnsi="宋体" w:eastAsia="宋体" w:cs="宋体"/>
          <w:color w:val="000000"/>
          <w:sz w:val="24"/>
        </w:rPr>
        <w:t>具备将采集、转换后的数据源文件保存到不同数据库（RDBMS、MPP等）中；</w:t>
      </w:r>
    </w:p>
    <w:p>
      <w:pPr>
        <w:pStyle w:val="4"/>
        <w:numPr>
          <w:ilvl w:val="0"/>
          <w:numId w:val="1"/>
        </w:numPr>
        <w:jc w:val="both"/>
      </w:pPr>
      <w:r>
        <w:rPr>
          <w:rFonts w:ascii="宋体" w:hAnsi="宋体" w:eastAsia="宋体" w:cs="宋体"/>
          <w:color w:val="000000"/>
          <w:sz w:val="24"/>
        </w:rPr>
        <w:t>支持在数据采集过程中通过对数据源与目标数据库之间的数据进行对比分析，从而进一步来分析、发现与解决在数据抽取过程可能产生的异常错误信息；</w:t>
      </w:r>
    </w:p>
    <w:p>
      <w:pPr>
        <w:pStyle w:val="4"/>
        <w:numPr>
          <w:ilvl w:val="0"/>
          <w:numId w:val="1"/>
        </w:numPr>
        <w:jc w:val="both"/>
      </w:pPr>
      <w:r>
        <w:rPr>
          <w:rFonts w:ascii="宋体" w:hAnsi="宋体" w:eastAsia="宋体" w:cs="宋体"/>
          <w:color w:val="000000"/>
          <w:sz w:val="24"/>
        </w:rPr>
        <w:t>▲基于DAG图执行引擎和表达式处理引擎，通过图形化编辑数据处理逻辑，实现数据任务治理功能；</w:t>
      </w:r>
      <w:r>
        <w:rPr>
          <w:rFonts w:ascii="宋体" w:hAnsi="宋体" w:eastAsia="宋体" w:cs="宋体"/>
          <w:b/>
          <w:color w:val="000000"/>
          <w:sz w:val="24"/>
        </w:rPr>
        <w:t>（需提供系统截图</w:t>
      </w:r>
      <w:r>
        <w:rPr>
          <w:rFonts w:ascii="宋体" w:hAnsi="宋体" w:eastAsia="宋体" w:cs="宋体"/>
          <w:b/>
          <w:sz w:val="24"/>
        </w:rPr>
        <w:t>证明</w:t>
      </w:r>
      <w:r>
        <w:rPr>
          <w:rFonts w:ascii="宋体" w:hAnsi="宋体" w:eastAsia="宋体" w:cs="宋体"/>
          <w:b/>
          <w:color w:val="000000"/>
          <w:sz w:val="24"/>
        </w:rPr>
        <w:t>）</w:t>
      </w:r>
    </w:p>
    <w:p>
      <w:pPr>
        <w:pStyle w:val="4"/>
        <w:jc w:val="left"/>
      </w:pPr>
      <w:r>
        <w:rPr>
          <w:rFonts w:ascii="宋体" w:hAnsi="宋体" w:eastAsia="宋体" w:cs="宋体"/>
          <w:b/>
          <w:color w:val="000000"/>
          <w:sz w:val="24"/>
        </w:rPr>
        <w:t>（2）数据治理管理</w:t>
      </w:r>
    </w:p>
    <w:p>
      <w:pPr>
        <w:pStyle w:val="4"/>
        <w:jc w:val="both"/>
      </w:pPr>
      <w:r>
        <w:rPr>
          <w:rFonts w:ascii="宋体" w:hAnsi="宋体" w:eastAsia="宋体" w:cs="宋体"/>
          <w:color w:val="000000"/>
          <w:sz w:val="24"/>
        </w:rPr>
        <w:t>1.支持通过各类数据治理功能对采集的原始业务数据进行一定规则治理后落库到目标数据库</w:t>
      </w:r>
    </w:p>
    <w:p>
      <w:pPr>
        <w:pStyle w:val="4"/>
        <w:jc w:val="both"/>
      </w:pPr>
      <w:r>
        <w:rPr>
          <w:rFonts w:ascii="宋体" w:hAnsi="宋体" w:eastAsia="宋体" w:cs="宋体"/>
          <w:color w:val="000000"/>
          <w:sz w:val="24"/>
        </w:rPr>
        <w:t>2.支持给类数据治理节点，包括：输入节点、常量节点、通用转换、外部查询、SQL查询、输入过滤、过滤节点、JSON解析节点、XML解析节点、输出节点等，系统还支持导入各类治理模板</w:t>
      </w:r>
    </w:p>
    <w:p>
      <w:pPr>
        <w:pStyle w:val="4"/>
        <w:jc w:val="both"/>
      </w:pPr>
      <w:r>
        <w:rPr>
          <w:rFonts w:ascii="宋体" w:hAnsi="宋体" w:eastAsia="宋体" w:cs="宋体"/>
          <w:color w:val="000000"/>
          <w:sz w:val="24"/>
        </w:rPr>
        <w:t>3.▲系统内置上百条数据治理函数，包括数值处理、字符串处理、日期处理、类型转换、数组处理等函数，并且支持各类函数之间的灵活组合以满足各类数据治理场景。</w:t>
      </w:r>
      <w:r>
        <w:rPr>
          <w:rFonts w:ascii="宋体" w:hAnsi="宋体" w:eastAsia="宋体" w:cs="宋体"/>
          <w:b/>
          <w:color w:val="000000"/>
          <w:sz w:val="24"/>
        </w:rPr>
        <w:t>（需提供系统截图</w:t>
      </w:r>
      <w:r>
        <w:rPr>
          <w:rFonts w:ascii="宋体" w:hAnsi="宋体" w:eastAsia="宋体" w:cs="宋体"/>
          <w:b/>
          <w:sz w:val="24"/>
        </w:rPr>
        <w:t>证明</w:t>
      </w:r>
      <w:r>
        <w:rPr>
          <w:rFonts w:ascii="宋体" w:hAnsi="宋体" w:eastAsia="宋体" w:cs="宋体"/>
          <w:b/>
          <w:color w:val="000000"/>
          <w:sz w:val="24"/>
        </w:rPr>
        <w:t>）</w:t>
      </w:r>
    </w:p>
    <w:p>
      <w:pPr>
        <w:pStyle w:val="4"/>
        <w:jc w:val="both"/>
      </w:pPr>
      <w:r>
        <w:rPr>
          <w:rFonts w:ascii="宋体" w:hAnsi="宋体" w:eastAsia="宋体" w:cs="宋体"/>
          <w:color w:val="000000"/>
          <w:sz w:val="24"/>
        </w:rPr>
        <w:t>4.▲系统内置多种AI算法以提高数据治理效率，系统支持药品、诊断、手术、检验等医学术语的数据标准化归一功能，系统支持通过NLP算法实现非结构化数据的结构化变量解析；支持基于AI算法实现地址信息的智能补全和拆分。</w:t>
      </w:r>
      <w:r>
        <w:rPr>
          <w:rFonts w:ascii="宋体" w:hAnsi="宋体" w:eastAsia="宋体" w:cs="宋体"/>
          <w:b/>
          <w:color w:val="000000"/>
          <w:sz w:val="24"/>
        </w:rPr>
        <w:t>（需提供系统截图</w:t>
      </w:r>
      <w:r>
        <w:rPr>
          <w:rFonts w:ascii="宋体" w:hAnsi="宋体" w:eastAsia="宋体" w:cs="宋体"/>
          <w:b/>
          <w:sz w:val="24"/>
        </w:rPr>
        <w:t>证明</w:t>
      </w:r>
      <w:r>
        <w:rPr>
          <w:rFonts w:ascii="宋体" w:hAnsi="宋体" w:eastAsia="宋体" w:cs="宋体"/>
          <w:b/>
          <w:color w:val="000000"/>
          <w:sz w:val="24"/>
        </w:rPr>
        <w:t>）</w:t>
      </w:r>
      <w:r>
        <w:t xml:space="preserve">  </w:t>
      </w:r>
    </w:p>
    <w:p>
      <w:pPr>
        <w:pStyle w:val="4"/>
        <w:jc w:val="left"/>
      </w:pPr>
      <w:r>
        <w:t xml:space="preserve"> </w:t>
      </w:r>
      <w:r>
        <w:rPr>
          <w:rFonts w:ascii="宋体" w:hAnsi="宋体" w:eastAsia="宋体" w:cs="宋体"/>
          <w:b/>
          <w:color w:val="000000"/>
          <w:sz w:val="24"/>
        </w:rPr>
        <w:t>（3）质控管理</w:t>
      </w:r>
    </w:p>
    <w:p>
      <w:pPr>
        <w:pStyle w:val="4"/>
        <w:jc w:val="both"/>
      </w:pPr>
      <w:r>
        <w:rPr>
          <w:rFonts w:ascii="宋体" w:hAnsi="宋体" w:eastAsia="宋体" w:cs="宋体"/>
          <w:color w:val="000000"/>
          <w:sz w:val="24"/>
        </w:rPr>
        <w:t>1.系统支持对数结据采集和治理结果进行事中质控和事后质控，并可查看详细的质控结果并可根据质控规则查看质控报告得分情况。</w:t>
      </w:r>
    </w:p>
    <w:p>
      <w:pPr>
        <w:pStyle w:val="4"/>
        <w:jc w:val="both"/>
      </w:pPr>
      <w:r>
        <w:rPr>
          <w:rFonts w:ascii="宋体" w:hAnsi="宋体" w:eastAsia="宋体" w:cs="宋体"/>
          <w:color w:val="000000"/>
          <w:sz w:val="24"/>
        </w:rPr>
        <w:t>2.▲事中质控支持在采集和治理任务调试过程当中对落库的样本数据按表进行质控，并可针对不同场景的数据填充率、字段值域进行验证，并可通过函数设置质控时间范围，校验内容包括类型、长度、是否为空、精度、范围、格式等信息。</w:t>
      </w:r>
      <w:r>
        <w:rPr>
          <w:rFonts w:ascii="宋体" w:hAnsi="宋体" w:eastAsia="宋体" w:cs="宋体"/>
          <w:b/>
          <w:color w:val="000000"/>
          <w:sz w:val="24"/>
        </w:rPr>
        <w:t>（需提供系统截图</w:t>
      </w:r>
      <w:r>
        <w:rPr>
          <w:rFonts w:ascii="宋体" w:hAnsi="宋体" w:eastAsia="宋体" w:cs="宋体"/>
          <w:b/>
          <w:sz w:val="24"/>
        </w:rPr>
        <w:t>证明</w:t>
      </w:r>
      <w:r>
        <w:rPr>
          <w:rFonts w:ascii="宋体" w:hAnsi="宋体" w:eastAsia="宋体" w:cs="宋体"/>
          <w:b/>
          <w:color w:val="000000"/>
          <w:sz w:val="24"/>
        </w:rPr>
        <w:t>）</w:t>
      </w:r>
    </w:p>
    <w:p>
      <w:pPr>
        <w:pStyle w:val="4"/>
        <w:jc w:val="both"/>
      </w:pPr>
      <w:r>
        <w:rPr>
          <w:rFonts w:ascii="宋体" w:hAnsi="宋体" w:eastAsia="宋体" w:cs="宋体"/>
          <w:color w:val="000000"/>
          <w:sz w:val="24"/>
        </w:rPr>
        <w:t>3.▲事后质控支持数据EMPI集成情况、表存在性与主键唯一性、表关联性、字典填充率、字典信息收集率、特殊类型数据质控、数据有效性、字典归一率、数据量同环比、字典收集率、医学规则校验、逻辑性质控、字段覆盖规则、值域有效性、明细数据量、联合字段空值率、数据有效性等指控规则等指控规则配置。</w:t>
      </w:r>
      <w:r>
        <w:rPr>
          <w:rFonts w:ascii="宋体" w:hAnsi="宋体" w:eastAsia="宋体" w:cs="宋体"/>
          <w:b/>
          <w:color w:val="000000"/>
          <w:sz w:val="24"/>
        </w:rPr>
        <w:t>（需提供系统截图</w:t>
      </w:r>
      <w:r>
        <w:rPr>
          <w:rFonts w:ascii="宋体" w:hAnsi="宋体" w:eastAsia="宋体" w:cs="宋体"/>
          <w:b/>
          <w:sz w:val="24"/>
        </w:rPr>
        <w:t>证明</w:t>
      </w:r>
      <w:r>
        <w:rPr>
          <w:rFonts w:ascii="宋体" w:hAnsi="宋体" w:eastAsia="宋体" w:cs="宋体"/>
          <w:b/>
          <w:color w:val="000000"/>
          <w:sz w:val="24"/>
        </w:rPr>
        <w:t>）</w:t>
      </w:r>
    </w:p>
    <w:p>
      <w:pPr>
        <w:pStyle w:val="4"/>
        <w:jc w:val="left"/>
      </w:pPr>
      <w:r>
        <w:rPr>
          <w:rFonts w:ascii="宋体" w:hAnsi="宋体" w:eastAsia="宋体" w:cs="宋体"/>
          <w:b/>
          <w:color w:val="000000"/>
          <w:sz w:val="24"/>
        </w:rPr>
        <w:t>（4）系统管理</w:t>
      </w:r>
    </w:p>
    <w:p>
      <w:pPr>
        <w:pStyle w:val="4"/>
        <w:jc w:val="both"/>
      </w:pPr>
      <w:r>
        <w:rPr>
          <w:rFonts w:ascii="宋体" w:hAnsi="宋体" w:eastAsia="宋体" w:cs="宋体"/>
          <w:color w:val="000000"/>
          <w:sz w:val="24"/>
        </w:rPr>
        <w:t>1.支持设置系统环境变量，并可在数据采集和治理任务，数据源配置等页面直接使用环境变量</w:t>
      </w:r>
    </w:p>
    <w:p>
      <w:pPr>
        <w:pStyle w:val="4"/>
        <w:jc w:val="both"/>
      </w:pPr>
      <w:r>
        <w:rPr>
          <w:rFonts w:ascii="宋体" w:hAnsi="宋体" w:eastAsia="宋体" w:cs="宋体"/>
          <w:color w:val="000000"/>
          <w:sz w:val="24"/>
        </w:rPr>
        <w:t>2.支持配采集和治理模板维护功能，并且支持模板的下载和批量导入</w:t>
      </w:r>
    </w:p>
    <w:p>
      <w:pPr>
        <w:pStyle w:val="4"/>
        <w:jc w:val="left"/>
      </w:pPr>
      <w:r>
        <w:rPr>
          <w:rFonts w:ascii="宋体" w:hAnsi="宋体" w:eastAsia="宋体" w:cs="宋体"/>
          <w:color w:val="000000"/>
          <w:sz w:val="24"/>
        </w:rPr>
        <w:t>3.为了方便多人协作完成数据采集治理任务，系统支持共享文档功能，可在共享文档内进行采集治理情况的记录和编辑</w:t>
      </w:r>
      <w:r>
        <w:rPr>
          <w:rFonts w:ascii="宋体" w:hAnsi="宋体" w:eastAsia="宋体" w:cs="宋体"/>
          <w:sz w:val="24"/>
        </w:rPr>
        <w:t>。</w:t>
      </w:r>
    </w:p>
    <w:p>
      <w:pPr>
        <w:pStyle w:val="4"/>
        <w:jc w:val="left"/>
      </w:pPr>
      <w:r>
        <w:rPr>
          <w:rFonts w:ascii="宋体" w:hAnsi="宋体" w:eastAsia="宋体" w:cs="宋体"/>
          <w:b/>
          <w:sz w:val="24"/>
        </w:rPr>
        <w:t>2.2.2.3等级评审结构化数据治理</w:t>
      </w:r>
    </w:p>
    <w:p>
      <w:pPr>
        <w:pStyle w:val="4"/>
        <w:spacing w:before="60" w:after="60"/>
        <w:ind w:firstLine="480"/>
        <w:jc w:val="left"/>
      </w:pPr>
      <w:r>
        <w:rPr>
          <w:rFonts w:ascii="宋体" w:hAnsi="宋体" w:eastAsia="宋体" w:cs="宋体"/>
          <w:sz w:val="24"/>
        </w:rPr>
        <w:t>通过各种数据治理手段，结合标准的医疗术语的标准规范管理，实现数据的标准化、结构化，并实现数据治理过程中的完整性、自洽性、一致性；</w:t>
      </w:r>
      <w:r>
        <w:rPr>
          <w:rFonts w:ascii="宋体" w:hAnsi="宋体" w:eastAsia="宋体" w:cs="宋体"/>
          <w:color w:val="000000"/>
          <w:sz w:val="24"/>
        </w:rPr>
        <w:t>数据标准化：元数据统一、数据模型统一、基础字典标准化（包含科室、人员、收费项目等）。针对结构化数据校验内容有类型，长度，是否为空，精度，范围，格式等信息，如果数据不符合，会进行过滤，只有正确的数据才能继续使用；对于错误的数据，可以进行输出，包括错误原因和错误字段序号等信息，也可以进行自动重试并跟踪重试进度。</w:t>
      </w:r>
    </w:p>
    <w:p>
      <w:pPr>
        <w:pStyle w:val="4"/>
        <w:jc w:val="left"/>
      </w:pPr>
      <w:r>
        <w:rPr>
          <w:b/>
        </w:rPr>
        <w:t xml:space="preserve"> </w:t>
      </w:r>
      <w:r>
        <w:rPr>
          <w:rFonts w:ascii="宋体" w:hAnsi="宋体" w:eastAsia="宋体" w:cs="宋体"/>
          <w:b/>
          <w:sz w:val="24"/>
        </w:rPr>
        <w:t>2.2.2.4</w:t>
      </w:r>
      <w:r>
        <w:rPr>
          <w:b/>
        </w:rPr>
        <w:t xml:space="preserve">  </w:t>
      </w:r>
      <w:r>
        <w:rPr>
          <w:rFonts w:ascii="宋体" w:hAnsi="宋体" w:eastAsia="宋体" w:cs="宋体"/>
          <w:b/>
          <w:sz w:val="24"/>
        </w:rPr>
        <w:t>等级评审标准医学术语治理</w:t>
      </w:r>
    </w:p>
    <w:p>
      <w:pPr>
        <w:pStyle w:val="4"/>
        <w:jc w:val="both"/>
      </w:pPr>
      <w:r>
        <w:rPr>
          <w:rFonts w:ascii="宋体" w:hAnsi="宋体" w:eastAsia="宋体" w:cs="宋体"/>
          <w:b/>
          <w:color w:val="000000"/>
          <w:sz w:val="24"/>
        </w:rPr>
        <w:t>(1)代码系统归一</w:t>
      </w:r>
    </w:p>
    <w:p>
      <w:pPr>
        <w:pStyle w:val="4"/>
        <w:jc w:val="both"/>
      </w:pPr>
      <w:r>
        <w:rPr>
          <w:rFonts w:ascii="宋体" w:hAnsi="宋体" w:eastAsia="宋体" w:cs="宋体"/>
          <w:color w:val="000000"/>
          <w:sz w:val="24"/>
        </w:rPr>
        <w:t>实现各个不同业务系统的代码对照和归一：</w:t>
      </w:r>
    </w:p>
    <w:p>
      <w:pPr>
        <w:pStyle w:val="4"/>
        <w:jc w:val="both"/>
      </w:pPr>
      <w:r>
        <w:rPr>
          <w:rFonts w:ascii="宋体" w:hAnsi="宋体" w:eastAsia="宋体" w:cs="宋体"/>
          <w:color w:val="000000"/>
          <w:sz w:val="24"/>
        </w:rPr>
        <w:t>1.要求支持配置基准代码系统和对照代码系统并设置是否需要AI智能推荐；</w:t>
      </w:r>
    </w:p>
    <w:p>
      <w:pPr>
        <w:pStyle w:val="4"/>
        <w:jc w:val="both"/>
      </w:pPr>
      <w:r>
        <w:rPr>
          <w:rFonts w:ascii="宋体" w:hAnsi="宋体" w:eastAsia="宋体" w:cs="宋体"/>
          <w:color w:val="000000"/>
          <w:sz w:val="24"/>
        </w:rPr>
        <w:t>2.要求展示基准代码系统和对照代码系统中已对照的字典项比例。</w:t>
      </w:r>
    </w:p>
    <w:p>
      <w:pPr>
        <w:pStyle w:val="4"/>
        <w:jc w:val="both"/>
      </w:pPr>
      <w:r>
        <w:rPr>
          <w:rFonts w:ascii="宋体" w:hAnsi="宋体" w:eastAsia="宋体" w:cs="宋体"/>
          <w:b/>
          <w:color w:val="000000"/>
          <w:sz w:val="24"/>
        </w:rPr>
        <w:t>(2)AI智能推荐</w:t>
      </w:r>
    </w:p>
    <w:p>
      <w:pPr>
        <w:pStyle w:val="4"/>
        <w:jc w:val="both"/>
      </w:pPr>
      <w:r>
        <w:rPr>
          <w:rFonts w:ascii="宋体" w:hAnsi="宋体" w:eastAsia="宋体" w:cs="宋体"/>
          <w:color w:val="000000"/>
          <w:sz w:val="24"/>
        </w:rPr>
        <w:t>1.支持基于通用文本相似度算法实现的字典自动对照并显示出推荐结果，可以设置对推荐结果的数量进行设置</w:t>
      </w:r>
    </w:p>
    <w:p>
      <w:pPr>
        <w:pStyle w:val="4"/>
        <w:jc w:val="both"/>
      </w:pPr>
      <w:r>
        <w:rPr>
          <w:rFonts w:ascii="宋体" w:hAnsi="宋体" w:eastAsia="宋体" w:cs="宋体"/>
          <w:color w:val="000000"/>
          <w:sz w:val="24"/>
        </w:rPr>
        <w:t>2.要求支持科室、人员的可视化的智能提醒归一对照。</w:t>
      </w:r>
    </w:p>
    <w:p>
      <w:pPr>
        <w:pStyle w:val="4"/>
        <w:jc w:val="left"/>
      </w:pPr>
      <w:r>
        <w:rPr>
          <w:rFonts w:ascii="宋体" w:hAnsi="宋体" w:eastAsia="宋体" w:cs="宋体"/>
          <w:b/>
          <w:sz w:val="24"/>
        </w:rPr>
        <w:t>2.2.2.5等级评审非结构化数据治理</w:t>
      </w:r>
    </w:p>
    <w:p>
      <w:pPr>
        <w:pStyle w:val="4"/>
        <w:spacing w:before="60" w:after="60"/>
        <w:ind w:firstLine="480"/>
        <w:jc w:val="left"/>
      </w:pPr>
      <w:r>
        <w:rPr>
          <w:rFonts w:ascii="宋体" w:hAnsi="宋体" w:eastAsia="宋体" w:cs="宋体"/>
          <w:color w:val="000000"/>
          <w:sz w:val="24"/>
        </w:rPr>
        <w:t>医学自然语言处理引擎针对数据驱动的临床应用场景，支持基于人工智能技术将医院积存的海量临床数据进行结构化、标准化和归一化处理，使之成为易供等级评审直接利用与分析的数据。</w:t>
      </w:r>
    </w:p>
    <w:p>
      <w:pPr>
        <w:pStyle w:val="4"/>
        <w:spacing w:before="60" w:after="60"/>
        <w:jc w:val="left"/>
      </w:pPr>
      <w:r>
        <w:rPr>
          <w:rFonts w:ascii="宋体" w:hAnsi="宋体" w:eastAsia="宋体" w:cs="宋体"/>
          <w:color w:val="000000"/>
          <w:sz w:val="24"/>
        </w:rPr>
        <w:t>1.▲支持基于自然语言处理技术的医疗文书类非结构化数据治理；</w:t>
      </w:r>
      <w:r>
        <w:rPr>
          <w:rFonts w:ascii="宋体" w:hAnsi="宋体" w:eastAsia="宋体" w:cs="宋体"/>
          <w:b/>
          <w:color w:val="000000"/>
          <w:sz w:val="24"/>
        </w:rPr>
        <w:t>（需提供系统截图</w:t>
      </w:r>
      <w:r>
        <w:rPr>
          <w:rFonts w:ascii="宋体" w:hAnsi="宋体" w:eastAsia="宋体" w:cs="宋体"/>
          <w:b/>
          <w:sz w:val="24"/>
        </w:rPr>
        <w:t>证明</w:t>
      </w:r>
      <w:r>
        <w:rPr>
          <w:rFonts w:ascii="宋体" w:hAnsi="宋体" w:eastAsia="宋体" w:cs="宋体"/>
          <w:b/>
          <w:color w:val="000000"/>
          <w:sz w:val="24"/>
        </w:rPr>
        <w:t>）</w:t>
      </w:r>
    </w:p>
    <w:p>
      <w:pPr>
        <w:pStyle w:val="4"/>
        <w:spacing w:before="60" w:after="60"/>
        <w:jc w:val="left"/>
      </w:pPr>
      <w:r>
        <w:rPr>
          <w:rFonts w:ascii="宋体" w:hAnsi="宋体" w:eastAsia="宋体" w:cs="宋体"/>
          <w:color w:val="000000"/>
          <w:sz w:val="24"/>
        </w:rPr>
        <w:t>2.支持非标准化概念与标准化概念间的映射转换，实现数据标准化应用；</w:t>
      </w:r>
    </w:p>
    <w:p>
      <w:pPr>
        <w:pStyle w:val="4"/>
        <w:spacing w:before="60" w:after="60"/>
        <w:jc w:val="left"/>
      </w:pPr>
      <w:r>
        <w:rPr>
          <w:rFonts w:ascii="宋体" w:hAnsi="宋体" w:eastAsia="宋体" w:cs="宋体"/>
          <w:color w:val="000000"/>
          <w:sz w:val="24"/>
        </w:rPr>
        <w:t>3.▲支持处理多种病历类型的处理模型，支持自定义变量拓展抽取。如入院病史、既往史、病程录、体格检查、超声心动图、心电图等，并支持将病历文本中提取的变量，可存储成JSON、二维表格式。</w:t>
      </w:r>
      <w:r>
        <w:rPr>
          <w:rFonts w:ascii="宋体" w:hAnsi="宋体" w:eastAsia="宋体" w:cs="宋体"/>
          <w:b/>
          <w:color w:val="000000"/>
          <w:sz w:val="24"/>
        </w:rPr>
        <w:t>（需提供系统截图</w:t>
      </w:r>
      <w:r>
        <w:rPr>
          <w:rFonts w:ascii="宋体" w:hAnsi="宋体" w:eastAsia="宋体" w:cs="宋体"/>
          <w:b/>
          <w:sz w:val="24"/>
        </w:rPr>
        <w:t>证明</w:t>
      </w:r>
      <w:r>
        <w:rPr>
          <w:rFonts w:ascii="宋体" w:hAnsi="宋体" w:eastAsia="宋体" w:cs="宋体"/>
          <w:b/>
          <w:color w:val="000000"/>
          <w:sz w:val="24"/>
        </w:rPr>
        <w:t>）</w:t>
      </w:r>
    </w:p>
    <w:p>
      <w:pPr>
        <w:pStyle w:val="4"/>
        <w:spacing w:before="60" w:after="60"/>
        <w:jc w:val="left"/>
      </w:pPr>
      <w:r>
        <w:rPr>
          <w:b/>
        </w:rPr>
        <w:t xml:space="preserve"> </w:t>
      </w:r>
      <w:r>
        <w:rPr>
          <w:rFonts w:ascii="宋体" w:hAnsi="宋体" w:eastAsia="宋体" w:cs="宋体"/>
          <w:b/>
          <w:sz w:val="24"/>
        </w:rPr>
        <w:t>2.2.3</w:t>
      </w:r>
      <w:r>
        <w:rPr>
          <w:b/>
        </w:rPr>
        <w:t xml:space="preserve"> </w:t>
      </w:r>
      <w:r>
        <w:rPr>
          <w:rFonts w:ascii="宋体" w:hAnsi="宋体" w:eastAsia="宋体" w:cs="宋体"/>
          <w:b/>
          <w:sz w:val="24"/>
        </w:rPr>
        <w:t>医学指标深度计算引擎</w:t>
      </w:r>
    </w:p>
    <w:p>
      <w:pPr>
        <w:pStyle w:val="4"/>
        <w:jc w:val="left"/>
      </w:pPr>
      <w:r>
        <w:rPr>
          <w:rFonts w:ascii="宋体" w:hAnsi="宋体" w:eastAsia="宋体" w:cs="宋体"/>
          <w:b/>
          <w:sz w:val="24"/>
        </w:rPr>
        <w:t>2.2.3.1等级评审医学文本信息提取引擎</w:t>
      </w:r>
    </w:p>
    <w:p>
      <w:pPr>
        <w:pStyle w:val="4"/>
        <w:spacing w:before="75" w:after="75"/>
        <w:ind w:firstLine="480"/>
        <w:jc w:val="left"/>
      </w:pPr>
      <w:r>
        <w:rPr>
          <w:rFonts w:ascii="宋体" w:hAnsi="宋体" w:eastAsia="宋体" w:cs="宋体"/>
          <w:sz w:val="24"/>
        </w:rPr>
        <w:t>针对等级评审中涉及的医学文本，利用医学文本信息提取引擎将医学文本进行逻辑处理后返回给等评指标统计使用。</w:t>
      </w:r>
      <w:r>
        <w:rPr>
          <w:rFonts w:ascii="宋体" w:hAnsi="宋体" w:eastAsia="宋体" w:cs="宋体"/>
          <w:color w:val="000000"/>
          <w:sz w:val="24"/>
        </w:rPr>
        <w:t>支持处理多种病历类型的处理模型，支持自定义变量拓展抽取。如入院病史、既往史、病程录、体格检查、超声心动图、心电图等，并支持将病历文本中提取的变量。</w:t>
      </w:r>
    </w:p>
    <w:p>
      <w:pPr>
        <w:pStyle w:val="4"/>
        <w:spacing w:before="75" w:after="75"/>
        <w:jc w:val="left"/>
      </w:pPr>
      <w:r>
        <w:rPr>
          <w:rFonts w:ascii="宋体" w:hAnsi="宋体" w:eastAsia="宋体" w:cs="宋体"/>
          <w:b/>
          <w:sz w:val="24"/>
        </w:rPr>
        <w:t>2.2.3.2等级评审医学术语归一引擎</w:t>
      </w:r>
    </w:p>
    <w:p>
      <w:pPr>
        <w:pStyle w:val="4"/>
        <w:jc w:val="both"/>
      </w:pPr>
      <w:r>
        <w:rPr>
          <w:rFonts w:ascii="宋体" w:hAnsi="宋体" w:eastAsia="宋体" w:cs="宋体"/>
          <w:b/>
          <w:color w:val="000000"/>
          <w:sz w:val="24"/>
        </w:rPr>
        <w:t>1.▲诊断自动归一化引擎</w:t>
      </w:r>
    </w:p>
    <w:p>
      <w:pPr>
        <w:pStyle w:val="4"/>
        <w:jc w:val="both"/>
      </w:pPr>
      <w:r>
        <w:rPr>
          <w:rFonts w:ascii="宋体" w:hAnsi="宋体" w:eastAsia="宋体" w:cs="宋体"/>
          <w:color w:val="000000"/>
          <w:sz w:val="24"/>
        </w:rPr>
        <w:t>支持通过产品页面触发基于语义分析和知识图谱的诊断术语自动对照，对照成功后显示对照结果和成功对照数量。</w:t>
      </w:r>
      <w:r>
        <w:rPr>
          <w:rFonts w:ascii="宋体" w:hAnsi="宋体" w:eastAsia="宋体" w:cs="宋体"/>
          <w:b/>
          <w:color w:val="000000"/>
          <w:sz w:val="24"/>
        </w:rPr>
        <w:t>（需提供系统截图</w:t>
      </w:r>
      <w:r>
        <w:rPr>
          <w:rFonts w:ascii="宋体" w:hAnsi="宋体" w:eastAsia="宋体" w:cs="宋体"/>
          <w:b/>
          <w:sz w:val="24"/>
        </w:rPr>
        <w:t>证明</w:t>
      </w:r>
      <w:r>
        <w:rPr>
          <w:rFonts w:ascii="宋体" w:hAnsi="宋体" w:eastAsia="宋体" w:cs="宋体"/>
          <w:b/>
          <w:color w:val="000000"/>
          <w:sz w:val="24"/>
        </w:rPr>
        <w:t>）</w:t>
      </w:r>
    </w:p>
    <w:p>
      <w:pPr>
        <w:pStyle w:val="4"/>
        <w:jc w:val="both"/>
      </w:pPr>
      <w:r>
        <w:rPr>
          <w:rFonts w:ascii="宋体" w:hAnsi="宋体" w:eastAsia="宋体" w:cs="宋体"/>
          <w:b/>
          <w:color w:val="000000"/>
          <w:sz w:val="24"/>
        </w:rPr>
        <w:t>2.药品自动归一化引擎</w:t>
      </w:r>
    </w:p>
    <w:p>
      <w:pPr>
        <w:pStyle w:val="4"/>
        <w:jc w:val="both"/>
      </w:pPr>
      <w:r>
        <w:rPr>
          <w:rFonts w:ascii="宋体" w:hAnsi="宋体" w:eastAsia="宋体" w:cs="宋体"/>
          <w:color w:val="000000"/>
          <w:sz w:val="24"/>
        </w:rPr>
        <w:t>支持通过产品页面触发基于语义分析和知识图谱的药品的术语自动对照，对照成功后显示对照结果和成功对照数量。</w:t>
      </w:r>
    </w:p>
    <w:p>
      <w:pPr>
        <w:pStyle w:val="4"/>
        <w:jc w:val="both"/>
      </w:pPr>
      <w:r>
        <w:rPr>
          <w:rFonts w:ascii="宋体" w:hAnsi="宋体" w:eastAsia="宋体" w:cs="宋体"/>
          <w:b/>
          <w:color w:val="000000"/>
          <w:sz w:val="24"/>
        </w:rPr>
        <w:t>3.检验自动归一化引擎</w:t>
      </w:r>
    </w:p>
    <w:p>
      <w:pPr>
        <w:pStyle w:val="4"/>
        <w:jc w:val="both"/>
      </w:pPr>
      <w:r>
        <w:rPr>
          <w:rFonts w:ascii="宋体" w:hAnsi="宋体" w:eastAsia="宋体" w:cs="宋体"/>
          <w:color w:val="000000"/>
          <w:sz w:val="24"/>
        </w:rPr>
        <w:t>支持通过产品页面触发基于语义分析和知识图谱的检验的术语自动对照，对照成功后显示对照结果和成功对照数量。</w:t>
      </w:r>
    </w:p>
    <w:p>
      <w:pPr>
        <w:pStyle w:val="4"/>
        <w:jc w:val="both"/>
      </w:pPr>
      <w:r>
        <w:rPr>
          <w:rFonts w:ascii="宋体" w:hAnsi="宋体" w:eastAsia="宋体" w:cs="宋体"/>
          <w:b/>
          <w:color w:val="000000"/>
          <w:sz w:val="24"/>
        </w:rPr>
        <w:t>4.手术自动归一化引擎</w:t>
      </w:r>
    </w:p>
    <w:p>
      <w:pPr>
        <w:pStyle w:val="4"/>
        <w:jc w:val="left"/>
      </w:pPr>
      <w:r>
        <w:rPr>
          <w:rFonts w:ascii="宋体" w:hAnsi="宋体" w:eastAsia="宋体" w:cs="宋体"/>
          <w:color w:val="000000"/>
          <w:sz w:val="24"/>
        </w:rPr>
        <w:t>支持通过产品页面触发基于语义分析和知识图谱的手术的术语自动对照，对照成功后显示对照结果和成功对照数量。</w:t>
      </w:r>
    </w:p>
    <w:p>
      <w:pPr>
        <w:pStyle w:val="4"/>
        <w:jc w:val="left"/>
      </w:pPr>
      <w:r>
        <w:rPr>
          <w:rFonts w:ascii="宋体" w:hAnsi="宋体" w:eastAsia="宋体" w:cs="宋体"/>
          <w:b/>
          <w:sz w:val="24"/>
        </w:rPr>
        <w:t>2.2.3.3等级评审指标医学规则计算引擎</w:t>
      </w:r>
    </w:p>
    <w:p>
      <w:pPr>
        <w:pStyle w:val="4"/>
        <w:spacing w:before="60" w:after="60"/>
        <w:ind w:firstLine="480"/>
        <w:jc w:val="left"/>
      </w:pPr>
      <w:r>
        <w:rPr>
          <w:rFonts w:ascii="宋体" w:hAnsi="宋体" w:eastAsia="宋体" w:cs="宋体"/>
          <w:sz w:val="24"/>
        </w:rPr>
        <w:t>对于等级评审指标中涉及重点专业和单病种等复杂逻辑的临床指标时，支持使用变量引擎进行处理。</w:t>
      </w:r>
    </w:p>
    <w:p>
      <w:pPr>
        <w:pStyle w:val="4"/>
        <w:spacing w:before="60" w:after="60"/>
        <w:jc w:val="left"/>
      </w:pPr>
      <w:r>
        <w:rPr>
          <w:rFonts w:ascii="宋体" w:hAnsi="宋体" w:eastAsia="宋体" w:cs="宋体"/>
          <w:color w:val="000000"/>
          <w:sz w:val="24"/>
        </w:rPr>
        <w:t>1.▲支持将复杂逻辑拆解为一个个变量，再将变量进行组合形成医学规则，且每个变量逻辑支持可视化查看，编辑，保存，下载。</w:t>
      </w:r>
      <w:r>
        <w:rPr>
          <w:rFonts w:ascii="宋体" w:hAnsi="宋体" w:eastAsia="宋体" w:cs="宋体"/>
          <w:b/>
          <w:color w:val="000000"/>
          <w:sz w:val="24"/>
        </w:rPr>
        <w:t>（需提供系统截图</w:t>
      </w:r>
      <w:r>
        <w:rPr>
          <w:rFonts w:ascii="宋体" w:hAnsi="宋体" w:eastAsia="宋体" w:cs="宋体"/>
          <w:b/>
          <w:sz w:val="24"/>
        </w:rPr>
        <w:t>证明</w:t>
      </w:r>
      <w:r>
        <w:rPr>
          <w:rFonts w:ascii="宋体" w:hAnsi="宋体" w:eastAsia="宋体" w:cs="宋体"/>
          <w:b/>
          <w:color w:val="000000"/>
          <w:sz w:val="24"/>
        </w:rPr>
        <w:t>）</w:t>
      </w:r>
    </w:p>
    <w:p>
      <w:pPr>
        <w:pStyle w:val="4"/>
        <w:spacing w:before="60" w:after="60"/>
        <w:jc w:val="left"/>
      </w:pPr>
      <w:r>
        <w:rPr>
          <w:rFonts w:ascii="宋体" w:hAnsi="宋体" w:eastAsia="宋体" w:cs="宋体"/>
          <w:color w:val="000000"/>
          <w:sz w:val="24"/>
        </w:rPr>
        <w:t>2.支持等级医院指标涉及的变量包进行统一管理。</w:t>
      </w:r>
    </w:p>
    <w:p>
      <w:pPr>
        <w:pStyle w:val="4"/>
        <w:jc w:val="left"/>
      </w:pPr>
      <w:r>
        <w:rPr>
          <w:rFonts w:ascii="宋体" w:hAnsi="宋体" w:eastAsia="宋体" w:cs="宋体"/>
          <w:color w:val="000000"/>
          <w:sz w:val="24"/>
        </w:rPr>
        <w:t>3.支持患者就诊维度下多个变量计算结果的在线查询和展示。</w:t>
      </w:r>
    </w:p>
    <w:p>
      <w:pPr>
        <w:pStyle w:val="4"/>
        <w:jc w:val="left"/>
      </w:pPr>
      <w:r>
        <w:rPr>
          <w:rFonts w:ascii="宋体" w:hAnsi="宋体" w:eastAsia="宋体" w:cs="宋体"/>
          <w:b/>
          <w:sz w:val="24"/>
        </w:rPr>
        <w:t>2.2.4  重点指标追踪分析</w:t>
      </w:r>
    </w:p>
    <w:p>
      <w:pPr>
        <w:pStyle w:val="4"/>
        <w:jc w:val="left"/>
      </w:pPr>
      <w:r>
        <w:rPr>
          <w:rFonts w:ascii="宋体" w:hAnsi="宋体" w:eastAsia="宋体" w:cs="宋体"/>
          <w:b/>
          <w:sz w:val="24"/>
        </w:rPr>
        <w:t>2.2.4.1资源配置与运行数据指标监测</w:t>
      </w:r>
    </w:p>
    <w:p>
      <w:pPr>
        <w:pStyle w:val="4"/>
        <w:jc w:val="left"/>
      </w:pPr>
      <w:r>
        <w:rPr>
          <w:rFonts w:ascii="宋体" w:hAnsi="宋体" w:eastAsia="宋体" w:cs="宋体"/>
          <w:sz w:val="24"/>
        </w:rPr>
        <w:t>1.支持指标进行科室选择，日期进行查询，用户可以进行对应筛选条件保存。若医院为多院区，支持科室控件进行院区和科室树形结构展示。提供智能报表和指标明细页。自动统计的指标支持展示时间趋势、科室分布、医生分布、明细列表。明细列表支持导出。支持对应条件下指标结果、单位导出。</w:t>
      </w:r>
    </w:p>
    <w:p>
      <w:pPr>
        <w:pStyle w:val="4"/>
        <w:jc w:val="left"/>
      </w:pPr>
      <w:r>
        <w:rPr>
          <w:rFonts w:ascii="宋体" w:hAnsi="宋体" w:eastAsia="宋体" w:cs="宋体"/>
          <w:color w:val="000000"/>
          <w:sz w:val="24"/>
        </w:rPr>
        <w:t>2.支持展示指标导向、政策说明和医院口径。</w:t>
      </w:r>
    </w:p>
    <w:p>
      <w:pPr>
        <w:pStyle w:val="4"/>
        <w:jc w:val="left"/>
      </w:pPr>
      <w:r>
        <w:rPr>
          <w:rFonts w:ascii="宋体" w:hAnsi="宋体" w:eastAsia="宋体" w:cs="宋体"/>
          <w:sz w:val="24"/>
        </w:rPr>
        <w:t>3.支持平均床位使用率、门诊均次费用增幅、住院次均费用增幅指标自动统计。</w:t>
      </w:r>
    </w:p>
    <w:p>
      <w:pPr>
        <w:pStyle w:val="4"/>
        <w:jc w:val="left"/>
      </w:pPr>
      <w:r>
        <w:rPr>
          <w:rFonts w:ascii="宋体" w:hAnsi="宋体" w:eastAsia="宋体" w:cs="宋体"/>
          <w:sz w:val="24"/>
        </w:rPr>
        <w:t>4.无对应系统的支持页面进行手工填报，页面支持提供用户当前未填写数量提示。</w:t>
      </w:r>
    </w:p>
    <w:p>
      <w:pPr>
        <w:pStyle w:val="4"/>
        <w:jc w:val="left"/>
      </w:pPr>
      <w:r>
        <w:rPr>
          <w:rFonts w:ascii="宋体" w:hAnsi="宋体" w:eastAsia="宋体" w:cs="宋体"/>
          <w:b/>
          <w:sz w:val="24"/>
        </w:rPr>
        <w:t>2.2.4.2医疗服务能力指标监测</w:t>
      </w:r>
    </w:p>
    <w:p>
      <w:pPr>
        <w:pStyle w:val="4"/>
        <w:jc w:val="left"/>
      </w:pPr>
      <w:r>
        <w:rPr>
          <w:rFonts w:ascii="宋体" w:hAnsi="宋体" w:eastAsia="宋体" w:cs="宋体"/>
          <w:sz w:val="24"/>
        </w:rPr>
        <w:t>1.支持指标进行科室选择，日期进行查询，用户可以进行对应筛选条件保存。若医院为多院区，支持科室控件进行院区和科室树形结构展示。提供智能报表和指标明细页。自动统计的指标支持展示时间趋势、科室分布、医生分布、明细列表。明细列表支持导出。支持对应条件下指标结果、单位导出。</w:t>
      </w:r>
    </w:p>
    <w:p>
      <w:pPr>
        <w:pStyle w:val="4"/>
        <w:jc w:val="left"/>
      </w:pPr>
      <w:r>
        <w:rPr>
          <w:rFonts w:ascii="宋体" w:hAnsi="宋体" w:eastAsia="宋体" w:cs="宋体"/>
          <w:color w:val="000000"/>
          <w:sz w:val="24"/>
        </w:rPr>
        <w:t>2.支持展示指标导向、政策说明和医院口径。</w:t>
      </w:r>
    </w:p>
    <w:p>
      <w:pPr>
        <w:pStyle w:val="4"/>
        <w:jc w:val="left"/>
      </w:pPr>
      <w:r>
        <w:rPr>
          <w:rFonts w:ascii="宋体" w:hAnsi="宋体" w:eastAsia="宋体" w:cs="宋体"/>
          <w:sz w:val="24"/>
        </w:rPr>
        <w:t>3.支持医疗服务能力和运行指标主题下的指标自动统计，</w:t>
      </w:r>
      <w:r>
        <w:rPr>
          <w:rFonts w:ascii="宋体" w:hAnsi="宋体" w:eastAsia="宋体" w:cs="宋体"/>
          <w:color w:val="000000"/>
          <w:sz w:val="24"/>
        </w:rPr>
        <w:t>指标自动统计率平均&gt;85%</w:t>
      </w:r>
    </w:p>
    <w:p>
      <w:pPr>
        <w:pStyle w:val="4"/>
        <w:jc w:val="left"/>
      </w:pPr>
      <w:r>
        <w:rPr>
          <w:rFonts w:ascii="宋体" w:hAnsi="宋体" w:eastAsia="宋体" w:cs="宋体"/>
          <w:sz w:val="24"/>
        </w:rPr>
        <w:t>4.无对应系统的支持页面进行手工填报，页面支持提供用户当前未填写数量提示。</w:t>
      </w:r>
    </w:p>
    <w:p>
      <w:pPr>
        <w:pStyle w:val="4"/>
        <w:jc w:val="left"/>
      </w:pPr>
      <w:r>
        <w:t xml:space="preserve"> </w:t>
      </w:r>
      <w:r>
        <w:rPr>
          <w:rFonts w:ascii="宋体" w:hAnsi="宋体" w:eastAsia="宋体" w:cs="宋体"/>
          <w:b/>
          <w:sz w:val="24"/>
        </w:rPr>
        <w:t>2.2.4.3 医院质量安全指标监测</w:t>
      </w:r>
    </w:p>
    <w:p>
      <w:pPr>
        <w:pStyle w:val="4"/>
        <w:jc w:val="left"/>
      </w:pPr>
      <w:r>
        <w:rPr>
          <w:rFonts w:ascii="宋体" w:hAnsi="宋体" w:eastAsia="宋体" w:cs="宋体"/>
          <w:sz w:val="24"/>
        </w:rPr>
        <w:t>1.支持指标进行科室选择，日期进行查询，用户可以进行对应筛选条件保存。若医院为多院区，支持科室控件进行院区和科室树形结构展示。提供智能报表和指标明细页。自动统计的指标支持展示时间趋势、科室分布、医生分布、明细列表。明细列表支持导出。支持对应条件下指标结果、单位导出。</w:t>
      </w:r>
    </w:p>
    <w:p>
      <w:pPr>
        <w:pStyle w:val="4"/>
        <w:jc w:val="left"/>
      </w:pPr>
      <w:r>
        <w:rPr>
          <w:rFonts w:ascii="宋体" w:hAnsi="宋体" w:eastAsia="宋体" w:cs="宋体"/>
          <w:color w:val="000000"/>
          <w:sz w:val="24"/>
        </w:rPr>
        <w:t>2.支持展示指标导向、政策说明和医院口径。</w:t>
      </w:r>
    </w:p>
    <w:p>
      <w:pPr>
        <w:pStyle w:val="4"/>
        <w:jc w:val="left"/>
      </w:pPr>
      <w:r>
        <w:rPr>
          <w:rFonts w:ascii="宋体" w:hAnsi="宋体" w:eastAsia="宋体" w:cs="宋体"/>
          <w:sz w:val="24"/>
        </w:rPr>
        <w:t>3.支持医院质量指标和年度医院获得性的指标自动统计，</w:t>
      </w:r>
      <w:r>
        <w:rPr>
          <w:rFonts w:ascii="宋体" w:hAnsi="宋体" w:eastAsia="宋体" w:cs="宋体"/>
          <w:color w:val="000000"/>
          <w:sz w:val="24"/>
        </w:rPr>
        <w:t>指标自动统计率平均&gt;85%</w:t>
      </w:r>
    </w:p>
    <w:p>
      <w:pPr>
        <w:pStyle w:val="4"/>
        <w:jc w:val="left"/>
      </w:pPr>
      <w:r>
        <w:rPr>
          <w:rFonts w:ascii="宋体" w:hAnsi="宋体" w:eastAsia="宋体" w:cs="宋体"/>
          <w:sz w:val="24"/>
        </w:rPr>
        <w:t>4.无对应系统的支持页面进行手工填报，页面支持提供用户当前未填写数量提示。</w:t>
      </w:r>
    </w:p>
    <w:p>
      <w:pPr>
        <w:pStyle w:val="4"/>
        <w:jc w:val="left"/>
      </w:pPr>
      <w:r>
        <w:rPr>
          <w:rFonts w:ascii="宋体" w:hAnsi="宋体" w:eastAsia="宋体" w:cs="宋体"/>
          <w:b/>
          <w:sz w:val="24"/>
        </w:rPr>
        <w:t>2.2.5重点专业质控指标监测分析</w:t>
      </w:r>
    </w:p>
    <w:p>
      <w:pPr>
        <w:pStyle w:val="4"/>
        <w:spacing w:before="60" w:after="60"/>
        <w:jc w:val="left"/>
      </w:pPr>
      <w:r>
        <w:rPr>
          <w:rFonts w:ascii="宋体" w:hAnsi="宋体" w:eastAsia="宋体" w:cs="宋体"/>
          <w:color w:val="000000"/>
          <w:sz w:val="24"/>
        </w:rPr>
        <w:t>1.支持按时间段统计18个重点专业指标的结果，支持按照年、季、月不同的时间周期查看各指标变化趋势。</w:t>
      </w:r>
    </w:p>
    <w:p>
      <w:pPr>
        <w:pStyle w:val="4"/>
        <w:spacing w:before="60" w:after="60"/>
        <w:jc w:val="left"/>
      </w:pPr>
      <w:r>
        <w:rPr>
          <w:rFonts w:ascii="宋体" w:hAnsi="宋体" w:eastAsia="宋体" w:cs="宋体"/>
          <w:color w:val="000000"/>
          <w:sz w:val="24"/>
        </w:rPr>
        <w:t>2.支持按照科室、医生等维度进行指标下钻分析，并可定位到各指标分子、分母的患者列表，支持展示指标导向、政策说明和医院口径。</w:t>
      </w:r>
    </w:p>
    <w:p>
      <w:pPr>
        <w:pStyle w:val="4"/>
        <w:spacing w:before="60" w:after="60"/>
        <w:jc w:val="left"/>
      </w:pPr>
      <w:r>
        <w:rPr>
          <w:rFonts w:ascii="宋体" w:hAnsi="宋体" w:eastAsia="宋体" w:cs="宋体"/>
          <w:color w:val="000000"/>
          <w:sz w:val="24"/>
        </w:rPr>
        <w:t>3.▲支持比率型指标根据指标的分子和分母，以及分子和分母差集对应的患者明细分别进行展示，展示信息需包括患者姓名、患者编号、就诊号、科室等，并且支持分子、分母以及分子分母差集和对应患者去重后的患者明细的导出，方便医院进行指标的核验和确认。</w:t>
      </w:r>
      <w:r>
        <w:rPr>
          <w:rFonts w:ascii="宋体" w:hAnsi="宋体" w:eastAsia="宋体" w:cs="宋体"/>
          <w:b/>
          <w:color w:val="000000"/>
          <w:sz w:val="24"/>
        </w:rPr>
        <w:t>（需提供系统截图</w:t>
      </w:r>
      <w:r>
        <w:rPr>
          <w:rFonts w:ascii="宋体" w:hAnsi="宋体" w:eastAsia="宋体" w:cs="宋体"/>
          <w:b/>
          <w:sz w:val="24"/>
        </w:rPr>
        <w:t>证明</w:t>
      </w:r>
      <w:r>
        <w:rPr>
          <w:rFonts w:ascii="宋体" w:hAnsi="宋体" w:eastAsia="宋体" w:cs="宋体"/>
          <w:b/>
          <w:color w:val="000000"/>
          <w:sz w:val="24"/>
        </w:rPr>
        <w:t>）</w:t>
      </w:r>
    </w:p>
    <w:p>
      <w:pPr>
        <w:pStyle w:val="4"/>
        <w:spacing w:before="60" w:after="60"/>
        <w:jc w:val="left"/>
      </w:pPr>
      <w:r>
        <w:rPr>
          <w:rFonts w:ascii="宋体" w:hAnsi="宋体" w:eastAsia="宋体" w:cs="宋体"/>
          <w:color w:val="000000"/>
          <w:sz w:val="24"/>
        </w:rPr>
        <w:t>4.支持通过患者明细列表直接点击患者跳转查看患者的就诊信息，包括患者本次就诊的病历文本、医嘱信息、检验检查报告等，进行关键信息</w:t>
      </w:r>
      <w:r>
        <w:rPr>
          <w:rFonts w:ascii="宋体" w:hAnsi="宋体" w:eastAsia="宋体" w:cs="宋体"/>
          <w:sz w:val="24"/>
        </w:rPr>
        <w:t>高亮</w:t>
      </w:r>
      <w:r>
        <w:rPr>
          <w:rFonts w:ascii="宋体" w:hAnsi="宋体" w:eastAsia="宋体" w:cs="宋体"/>
          <w:color w:val="000000"/>
          <w:sz w:val="24"/>
        </w:rPr>
        <w:t>查看。</w:t>
      </w:r>
    </w:p>
    <w:p>
      <w:pPr>
        <w:pStyle w:val="4"/>
        <w:spacing w:before="60" w:after="60"/>
        <w:jc w:val="left"/>
      </w:pPr>
      <w:r>
        <w:rPr>
          <w:rFonts w:ascii="宋体" w:hAnsi="宋体" w:eastAsia="宋体" w:cs="宋体"/>
          <w:color w:val="000000"/>
          <w:sz w:val="24"/>
        </w:rPr>
        <w:t>5.▲支持重点专业指标计算任务的管理，可根据用户对指标计算频率的要求筛选时间范围，配置自动执行任务，同时支持手动执行任务。</w:t>
      </w:r>
      <w:r>
        <w:rPr>
          <w:rFonts w:ascii="宋体" w:hAnsi="宋体" w:eastAsia="宋体" w:cs="宋体"/>
          <w:b/>
          <w:color w:val="000000"/>
          <w:sz w:val="24"/>
        </w:rPr>
        <w:t>（需提供系统截图</w:t>
      </w:r>
      <w:r>
        <w:rPr>
          <w:rFonts w:ascii="宋体" w:hAnsi="宋体" w:eastAsia="宋体" w:cs="宋体"/>
          <w:b/>
          <w:sz w:val="24"/>
        </w:rPr>
        <w:t>证明</w:t>
      </w:r>
      <w:r>
        <w:rPr>
          <w:rFonts w:ascii="宋体" w:hAnsi="宋体" w:eastAsia="宋体" w:cs="宋体"/>
          <w:b/>
          <w:color w:val="000000"/>
          <w:sz w:val="24"/>
        </w:rPr>
        <w:t>）</w:t>
      </w:r>
    </w:p>
    <w:p>
      <w:pPr>
        <w:pStyle w:val="4"/>
        <w:spacing w:before="60" w:after="60"/>
        <w:ind w:firstLine="480"/>
        <w:jc w:val="left"/>
      </w:pPr>
    </w:p>
    <w:p>
      <w:pPr>
        <w:pStyle w:val="4"/>
        <w:spacing w:before="60" w:after="60"/>
        <w:ind w:firstLine="480"/>
        <w:jc w:val="left"/>
      </w:pPr>
      <w:r>
        <w:rPr>
          <w:rFonts w:ascii="宋体" w:hAnsi="宋体" w:eastAsia="宋体" w:cs="宋体"/>
          <w:sz w:val="24"/>
        </w:rPr>
        <w:t>本项目参考以下十八个重点专业质量控制指标进行建设，具体将根据本医院等级评审要求以及医院各专科实际情况进行建设；支持以下18个重点指标自动统计率平均&gt;85%</w:t>
      </w:r>
    </w:p>
    <w:p>
      <w:pPr>
        <w:pStyle w:val="4"/>
        <w:spacing w:before="75" w:after="75"/>
        <w:ind w:left="300"/>
        <w:jc w:val="left"/>
      </w:pPr>
      <w:r>
        <w:rPr>
          <w:rFonts w:ascii="宋体" w:hAnsi="宋体" w:eastAsia="宋体" w:cs="宋体"/>
          <w:sz w:val="24"/>
        </w:rPr>
        <w:t xml:space="preserve"> 1.重症医学专业医疗质量控制指标2015</w:t>
      </w:r>
    </w:p>
    <w:p>
      <w:pPr>
        <w:pStyle w:val="4"/>
        <w:spacing w:before="75" w:after="75"/>
        <w:ind w:left="300"/>
        <w:jc w:val="left"/>
      </w:pPr>
      <w:r>
        <w:rPr>
          <w:rFonts w:ascii="宋体" w:hAnsi="宋体" w:eastAsia="宋体" w:cs="宋体"/>
          <w:sz w:val="24"/>
        </w:rPr>
        <w:t xml:space="preserve"> 2.急诊专业医疗质量控制指标2015</w:t>
      </w:r>
    </w:p>
    <w:p>
      <w:pPr>
        <w:pStyle w:val="4"/>
        <w:spacing w:before="75" w:after="75"/>
        <w:ind w:left="300"/>
        <w:jc w:val="left"/>
      </w:pPr>
      <w:r>
        <w:rPr>
          <w:rFonts w:ascii="宋体" w:hAnsi="宋体" w:eastAsia="宋体" w:cs="宋体"/>
          <w:sz w:val="24"/>
        </w:rPr>
        <w:t xml:space="preserve"> 3.临床检验专业医疗质量控制指标2015</w:t>
      </w:r>
    </w:p>
    <w:p>
      <w:pPr>
        <w:pStyle w:val="4"/>
        <w:spacing w:before="75" w:after="75"/>
        <w:ind w:left="300"/>
        <w:jc w:val="left"/>
      </w:pPr>
      <w:r>
        <w:rPr>
          <w:rFonts w:ascii="宋体" w:hAnsi="宋体" w:eastAsia="宋体" w:cs="宋体"/>
          <w:sz w:val="24"/>
        </w:rPr>
        <w:t xml:space="preserve"> 4.病理专业医疗质量控制指标2015</w:t>
      </w:r>
    </w:p>
    <w:p>
      <w:pPr>
        <w:pStyle w:val="4"/>
        <w:spacing w:before="75" w:after="75"/>
        <w:ind w:left="300"/>
        <w:jc w:val="left"/>
      </w:pPr>
      <w:r>
        <w:rPr>
          <w:rFonts w:ascii="宋体" w:hAnsi="宋体" w:eastAsia="宋体" w:cs="宋体"/>
          <w:sz w:val="24"/>
        </w:rPr>
        <w:t xml:space="preserve"> 5.医院感染管理医疗质量控制指标2015</w:t>
      </w:r>
    </w:p>
    <w:p>
      <w:pPr>
        <w:pStyle w:val="4"/>
        <w:spacing w:before="75" w:after="75"/>
        <w:ind w:left="300"/>
        <w:jc w:val="left"/>
      </w:pPr>
      <w:r>
        <w:rPr>
          <w:rFonts w:ascii="宋体" w:hAnsi="宋体" w:eastAsia="宋体" w:cs="宋体"/>
          <w:sz w:val="24"/>
        </w:rPr>
        <w:t xml:space="preserve"> 6.临床用血质量控制指标2019</w:t>
      </w:r>
    </w:p>
    <w:p>
      <w:pPr>
        <w:pStyle w:val="4"/>
        <w:spacing w:before="75" w:after="75"/>
        <w:ind w:left="300"/>
        <w:jc w:val="left"/>
      </w:pPr>
      <w:r>
        <w:rPr>
          <w:rFonts w:ascii="宋体" w:hAnsi="宋体" w:eastAsia="宋体" w:cs="宋体"/>
          <w:sz w:val="24"/>
        </w:rPr>
        <w:t xml:space="preserve"> 7.呼吸内科专业医疗质量控制指标 2019</w:t>
      </w:r>
    </w:p>
    <w:p>
      <w:pPr>
        <w:pStyle w:val="4"/>
        <w:spacing w:before="75" w:after="75"/>
        <w:ind w:left="300"/>
        <w:jc w:val="left"/>
      </w:pPr>
      <w:r>
        <w:rPr>
          <w:rFonts w:ascii="宋体" w:hAnsi="宋体" w:eastAsia="宋体" w:cs="宋体"/>
          <w:sz w:val="24"/>
        </w:rPr>
        <w:t xml:space="preserve"> 8.产科专业医疗质量控制指标2019</w:t>
      </w:r>
    </w:p>
    <w:p>
      <w:pPr>
        <w:pStyle w:val="4"/>
        <w:spacing w:before="75" w:after="75"/>
        <w:ind w:left="300"/>
        <w:jc w:val="left"/>
      </w:pPr>
      <w:r>
        <w:rPr>
          <w:rFonts w:ascii="宋体" w:hAnsi="宋体" w:eastAsia="宋体" w:cs="宋体"/>
          <w:sz w:val="24"/>
        </w:rPr>
        <w:t xml:space="preserve"> 9.神经系统疾病医疗质量控制指标2020</w:t>
      </w:r>
    </w:p>
    <w:p>
      <w:pPr>
        <w:pStyle w:val="4"/>
        <w:spacing w:before="75" w:after="75"/>
        <w:ind w:left="300"/>
        <w:jc w:val="left"/>
      </w:pPr>
      <w:r>
        <w:rPr>
          <w:rFonts w:ascii="宋体" w:hAnsi="宋体" w:eastAsia="宋体" w:cs="宋体"/>
          <w:sz w:val="24"/>
        </w:rPr>
        <w:t xml:space="preserve"> 10.肾病专业医疗质量控制指标2020</w:t>
      </w:r>
    </w:p>
    <w:p>
      <w:pPr>
        <w:pStyle w:val="4"/>
        <w:spacing w:before="75" w:after="75"/>
        <w:ind w:left="300"/>
        <w:jc w:val="left"/>
      </w:pPr>
      <w:r>
        <w:rPr>
          <w:rFonts w:ascii="宋体" w:hAnsi="宋体" w:eastAsia="宋体" w:cs="宋体"/>
          <w:sz w:val="24"/>
        </w:rPr>
        <w:t xml:space="preserve"> 11.护理专业医疗质量控制指标2020</w:t>
      </w:r>
    </w:p>
    <w:p>
      <w:pPr>
        <w:pStyle w:val="4"/>
        <w:spacing w:before="75" w:after="75"/>
        <w:ind w:left="300"/>
        <w:jc w:val="left"/>
      </w:pPr>
      <w:r>
        <w:rPr>
          <w:rFonts w:ascii="宋体" w:hAnsi="宋体" w:eastAsia="宋体" w:cs="宋体"/>
          <w:sz w:val="24"/>
        </w:rPr>
        <w:t xml:space="preserve"> 12.药事管理专业医疗质量控制指标2020</w:t>
      </w:r>
    </w:p>
    <w:p>
      <w:pPr>
        <w:pStyle w:val="4"/>
        <w:spacing w:before="75" w:after="75"/>
        <w:ind w:left="300"/>
        <w:jc w:val="left"/>
      </w:pPr>
      <w:r>
        <w:rPr>
          <w:rFonts w:ascii="宋体" w:hAnsi="宋体" w:eastAsia="宋体" w:cs="宋体"/>
          <w:sz w:val="24"/>
        </w:rPr>
        <w:t xml:space="preserve"> 13.病案管理质量控制指标2021</w:t>
      </w:r>
    </w:p>
    <w:p>
      <w:pPr>
        <w:pStyle w:val="4"/>
        <w:spacing w:before="75" w:after="75"/>
        <w:ind w:left="300"/>
        <w:jc w:val="left"/>
      </w:pPr>
      <w:r>
        <w:rPr>
          <w:rFonts w:ascii="宋体" w:hAnsi="宋体" w:eastAsia="宋体" w:cs="宋体"/>
          <w:sz w:val="24"/>
        </w:rPr>
        <w:t xml:space="preserve"> 14.心血管系统疾病相关专业医疗质量控制指标2021</w:t>
      </w:r>
    </w:p>
    <w:p>
      <w:pPr>
        <w:pStyle w:val="4"/>
        <w:spacing w:before="75" w:after="75"/>
        <w:ind w:left="300"/>
        <w:jc w:val="left"/>
      </w:pPr>
      <w:r>
        <w:rPr>
          <w:rFonts w:ascii="宋体" w:hAnsi="宋体" w:eastAsia="宋体" w:cs="宋体"/>
          <w:sz w:val="24"/>
        </w:rPr>
        <w:t xml:space="preserve"> 15.超声诊断专业医疗质量控制指标2022</w:t>
      </w:r>
    </w:p>
    <w:p>
      <w:pPr>
        <w:pStyle w:val="4"/>
        <w:spacing w:before="75" w:after="75"/>
        <w:ind w:left="300"/>
        <w:jc w:val="left"/>
      </w:pPr>
      <w:r>
        <w:rPr>
          <w:rFonts w:ascii="宋体" w:hAnsi="宋体" w:eastAsia="宋体" w:cs="宋体"/>
          <w:sz w:val="24"/>
        </w:rPr>
        <w:t xml:space="preserve"> 16.康复医学专业医疗质量控制指标2022</w:t>
      </w:r>
    </w:p>
    <w:p>
      <w:pPr>
        <w:pStyle w:val="4"/>
        <w:spacing w:before="75" w:after="75"/>
        <w:ind w:left="300"/>
        <w:jc w:val="left"/>
      </w:pPr>
      <w:r>
        <w:rPr>
          <w:rFonts w:ascii="宋体" w:hAnsi="宋体" w:eastAsia="宋体" w:cs="宋体"/>
          <w:sz w:val="24"/>
        </w:rPr>
        <w:t xml:space="preserve"> 17.临床营养专业医疗质量控制指标2022</w:t>
      </w:r>
    </w:p>
    <w:p>
      <w:pPr>
        <w:pStyle w:val="4"/>
        <w:spacing w:before="75" w:after="75"/>
        <w:ind w:left="300"/>
        <w:jc w:val="left"/>
      </w:pPr>
      <w:r>
        <w:rPr>
          <w:rFonts w:ascii="宋体" w:hAnsi="宋体" w:eastAsia="宋体" w:cs="宋体"/>
          <w:sz w:val="24"/>
        </w:rPr>
        <w:t xml:space="preserve"> 18.麻醉专业医疗质量控制指标2022</w:t>
      </w:r>
    </w:p>
    <w:p>
      <w:pPr>
        <w:pStyle w:val="4"/>
        <w:spacing w:before="60" w:after="60"/>
        <w:jc w:val="left"/>
      </w:pPr>
      <w:r>
        <w:rPr>
          <w:rFonts w:ascii="宋体" w:hAnsi="宋体" w:eastAsia="宋体" w:cs="宋体"/>
          <w:color w:val="000000"/>
          <w:sz w:val="24"/>
        </w:rPr>
        <w:t>6.其中重点</w:t>
      </w:r>
      <w:r>
        <w:rPr>
          <w:rFonts w:ascii="宋体" w:hAnsi="宋体" w:eastAsia="宋体" w:cs="宋体"/>
          <w:sz w:val="24"/>
        </w:rPr>
        <w:t>专业中，</w:t>
      </w:r>
      <w:r>
        <w:rPr>
          <w:rFonts w:ascii="宋体" w:hAnsi="宋体" w:eastAsia="宋体" w:cs="宋体"/>
          <w:color w:val="000000"/>
          <w:sz w:val="24"/>
        </w:rPr>
        <w:t>包括但不限于以下指标需支持系统自动统计，支持从患者病历文本中抓取；支持通过患者明细列表直接点击患者跳转查看患者对应的就诊信息，包括患者本次就诊的病历文本、医嘱信息、检验检查报告等，进行关键信息高亮查看。</w:t>
      </w:r>
    </w:p>
    <w:p>
      <w:pPr>
        <w:pStyle w:val="4"/>
        <w:jc w:val="left"/>
      </w:pPr>
      <w:r>
        <w:rPr>
          <w:rFonts w:ascii="宋体" w:hAnsi="宋体" w:eastAsia="宋体" w:cs="宋体"/>
          <w:sz w:val="24"/>
        </w:rPr>
        <w:t>1、呼吸内科专业医疗质量控制指标（2019 年版）：</w:t>
      </w:r>
    </w:p>
    <w:p>
      <w:pPr>
        <w:pStyle w:val="4"/>
        <w:jc w:val="left"/>
      </w:pPr>
      <w:r>
        <w:rPr>
          <w:rFonts w:ascii="宋体" w:hAnsi="宋体" w:eastAsia="宋体" w:cs="宋体"/>
          <w:sz w:val="24"/>
        </w:rPr>
        <w:t xml:space="preserve"> 1.急性肺血栓栓塞症（PTE）患者确诊检查比例</w:t>
      </w:r>
    </w:p>
    <w:p>
      <w:pPr>
        <w:pStyle w:val="4"/>
        <w:jc w:val="left"/>
      </w:pPr>
      <w:r>
        <w:rPr>
          <w:rFonts w:ascii="宋体" w:hAnsi="宋体" w:eastAsia="宋体" w:cs="宋体"/>
          <w:sz w:val="24"/>
        </w:rPr>
        <w:t xml:space="preserve"> 2.急性 PTE 患者行深静脉血栓相关检查比例</w:t>
      </w:r>
    </w:p>
    <w:p>
      <w:pPr>
        <w:pStyle w:val="4"/>
        <w:jc w:val="left"/>
      </w:pPr>
      <w:r>
        <w:rPr>
          <w:rFonts w:ascii="宋体" w:hAnsi="宋体" w:eastAsia="宋体" w:cs="宋体"/>
          <w:sz w:val="24"/>
        </w:rPr>
        <w:t xml:space="preserve"> 3.急性 PTE 患者行危险分层相关检查比例</w:t>
      </w:r>
    </w:p>
    <w:p>
      <w:pPr>
        <w:pStyle w:val="4"/>
        <w:jc w:val="left"/>
      </w:pPr>
      <w:r>
        <w:rPr>
          <w:rFonts w:ascii="宋体" w:hAnsi="宋体" w:eastAsia="宋体" w:cs="宋体"/>
          <w:sz w:val="24"/>
        </w:rPr>
        <w:t xml:space="preserve"> 4.住院期间行溶栓治疗的高危急性 PTE 患者比例</w:t>
      </w:r>
    </w:p>
    <w:p>
      <w:pPr>
        <w:pStyle w:val="4"/>
        <w:jc w:val="left"/>
      </w:pPr>
      <w:r>
        <w:rPr>
          <w:rFonts w:ascii="宋体" w:hAnsi="宋体" w:eastAsia="宋体" w:cs="宋体"/>
          <w:sz w:val="24"/>
        </w:rPr>
        <w:t xml:space="preserve"> 5.急性 PTE 患者住院期间抗凝治疗比例</w:t>
      </w:r>
    </w:p>
    <w:p>
      <w:pPr>
        <w:pStyle w:val="4"/>
        <w:jc w:val="left"/>
      </w:pPr>
      <w:r>
        <w:rPr>
          <w:rFonts w:ascii="宋体" w:hAnsi="宋体" w:eastAsia="宋体" w:cs="宋体"/>
          <w:sz w:val="24"/>
        </w:rPr>
        <w:t xml:space="preserve"> 6.急性 PTE 患者住院死亡率</w:t>
      </w:r>
    </w:p>
    <w:p>
      <w:pPr>
        <w:pStyle w:val="4"/>
        <w:jc w:val="left"/>
      </w:pPr>
      <w:r>
        <w:rPr>
          <w:rFonts w:ascii="宋体" w:hAnsi="宋体" w:eastAsia="宋体" w:cs="宋体"/>
          <w:sz w:val="24"/>
        </w:rPr>
        <w:t xml:space="preserve"> 7.急性 PTE 患者住院期间发生大出血比例</w:t>
      </w:r>
    </w:p>
    <w:p>
      <w:pPr>
        <w:pStyle w:val="4"/>
        <w:jc w:val="left"/>
      </w:pPr>
      <w:r>
        <w:rPr>
          <w:rFonts w:ascii="宋体" w:hAnsi="宋体" w:eastAsia="宋体" w:cs="宋体"/>
          <w:sz w:val="24"/>
        </w:rPr>
        <w:t xml:space="preserve"> 8.慢阻肺急性加重患者住院期间行动脉血气分析比例</w:t>
      </w:r>
    </w:p>
    <w:p>
      <w:pPr>
        <w:pStyle w:val="4"/>
        <w:jc w:val="left"/>
      </w:pPr>
      <w:r>
        <w:rPr>
          <w:rFonts w:ascii="宋体" w:hAnsi="宋体" w:eastAsia="宋体" w:cs="宋体"/>
          <w:sz w:val="24"/>
        </w:rPr>
        <w:t xml:space="preserve"> 9.慢阻肺急性加重患者住院期间胸部影像学检查比例</w:t>
      </w:r>
    </w:p>
    <w:p>
      <w:pPr>
        <w:pStyle w:val="4"/>
        <w:jc w:val="left"/>
      </w:pPr>
      <w:r>
        <w:rPr>
          <w:rFonts w:ascii="宋体" w:hAnsi="宋体" w:eastAsia="宋体" w:cs="宋体"/>
          <w:sz w:val="24"/>
        </w:rPr>
        <w:t xml:space="preserve"> 10.慢阻肺急性加重患者住院期间心电图检查比例</w:t>
      </w:r>
    </w:p>
    <w:p>
      <w:pPr>
        <w:pStyle w:val="4"/>
        <w:jc w:val="left"/>
      </w:pPr>
      <w:r>
        <w:rPr>
          <w:rFonts w:ascii="宋体" w:hAnsi="宋体" w:eastAsia="宋体" w:cs="宋体"/>
          <w:sz w:val="24"/>
        </w:rPr>
        <w:t xml:space="preserve"> 11.慢阻肺急性加重患者住院期间超声心动图检查比例</w:t>
      </w:r>
    </w:p>
    <w:p>
      <w:pPr>
        <w:pStyle w:val="4"/>
        <w:jc w:val="left"/>
      </w:pPr>
      <w:r>
        <w:rPr>
          <w:rFonts w:ascii="宋体" w:hAnsi="宋体" w:eastAsia="宋体" w:cs="宋体"/>
          <w:sz w:val="24"/>
        </w:rPr>
        <w:t xml:space="preserve"> 12.慢阻肺急性加重患者住院期间抗感染治疗前病原学送检比例</w:t>
      </w:r>
    </w:p>
    <w:p>
      <w:pPr>
        <w:pStyle w:val="4"/>
        <w:jc w:val="left"/>
      </w:pPr>
      <w:r>
        <w:rPr>
          <w:rFonts w:ascii="宋体" w:hAnsi="宋体" w:eastAsia="宋体" w:cs="宋体"/>
          <w:sz w:val="24"/>
        </w:rPr>
        <w:t xml:space="preserve"> 13.慢阻肺急性加重患者住院期间雾化吸入支气管扩张剂应用比例</w:t>
      </w:r>
    </w:p>
    <w:p>
      <w:pPr>
        <w:pStyle w:val="4"/>
        <w:jc w:val="left"/>
      </w:pPr>
      <w:r>
        <w:rPr>
          <w:rFonts w:ascii="宋体" w:hAnsi="宋体" w:eastAsia="宋体" w:cs="宋体"/>
          <w:sz w:val="24"/>
        </w:rPr>
        <w:t xml:space="preserve"> 14.慢阻肺急性加重患者住院死亡率</w:t>
      </w:r>
    </w:p>
    <w:p>
      <w:pPr>
        <w:pStyle w:val="4"/>
        <w:jc w:val="left"/>
      </w:pPr>
      <w:r>
        <w:rPr>
          <w:rFonts w:ascii="宋体" w:hAnsi="宋体" w:eastAsia="宋体" w:cs="宋体"/>
          <w:sz w:val="24"/>
        </w:rPr>
        <w:t xml:space="preserve"> 15.使用有创机械通气的慢阻肺急性加重患者死亡率</w:t>
      </w:r>
    </w:p>
    <w:p>
      <w:pPr>
        <w:pStyle w:val="4"/>
        <w:jc w:val="left"/>
      </w:pPr>
      <w:r>
        <w:rPr>
          <w:rFonts w:ascii="宋体" w:hAnsi="宋体" w:eastAsia="宋体" w:cs="宋体"/>
          <w:sz w:val="24"/>
        </w:rPr>
        <w:t xml:space="preserve"> 16.住院成人社区获得性肺炎（CAP）患者进行 CAP 严重程度评估的比例</w:t>
      </w:r>
    </w:p>
    <w:p>
      <w:pPr>
        <w:pStyle w:val="4"/>
        <w:jc w:val="left"/>
      </w:pPr>
      <w:r>
        <w:rPr>
          <w:rFonts w:ascii="宋体" w:hAnsi="宋体" w:eastAsia="宋体" w:cs="宋体"/>
          <w:sz w:val="24"/>
        </w:rPr>
        <w:t xml:space="preserve"> 17.低危 CAP 患者住院比例</w:t>
      </w:r>
    </w:p>
    <w:p>
      <w:pPr>
        <w:pStyle w:val="4"/>
        <w:jc w:val="left"/>
      </w:pPr>
      <w:r>
        <w:rPr>
          <w:rFonts w:ascii="宋体" w:hAnsi="宋体" w:eastAsia="宋体" w:cs="宋体"/>
          <w:sz w:val="24"/>
        </w:rPr>
        <w:t xml:space="preserve"> 18.CAP 患者住院期间抗感染治疗前病原学送检比例</w:t>
      </w:r>
    </w:p>
    <w:p>
      <w:pPr>
        <w:pStyle w:val="4"/>
        <w:jc w:val="left"/>
      </w:pPr>
      <w:r>
        <w:rPr>
          <w:rFonts w:ascii="宋体" w:hAnsi="宋体" w:eastAsia="宋体" w:cs="宋体"/>
          <w:sz w:val="24"/>
        </w:rPr>
        <w:t xml:space="preserve"> 19.CAP 患者住院死亡率</w:t>
      </w:r>
    </w:p>
    <w:p>
      <w:pPr>
        <w:pStyle w:val="4"/>
        <w:jc w:val="left"/>
      </w:pPr>
      <w:r>
        <w:rPr>
          <w:rFonts w:ascii="宋体" w:hAnsi="宋体" w:eastAsia="宋体" w:cs="宋体"/>
          <w:sz w:val="24"/>
        </w:rPr>
        <w:t xml:space="preserve"> 20.住院 CAP 患者接受机械通气的比例</w:t>
      </w:r>
    </w:p>
    <w:p>
      <w:pPr>
        <w:pStyle w:val="4"/>
        <w:jc w:val="left"/>
      </w:pPr>
      <w:r>
        <w:rPr>
          <w:rFonts w:ascii="宋体" w:hAnsi="宋体" w:eastAsia="宋体" w:cs="宋体"/>
          <w:sz w:val="24"/>
        </w:rPr>
        <w:t>2、产科专业医疗质量控制指标（2019 年版）:</w:t>
      </w:r>
    </w:p>
    <w:p>
      <w:pPr>
        <w:pStyle w:val="4"/>
        <w:jc w:val="left"/>
      </w:pPr>
      <w:r>
        <w:rPr>
          <w:rFonts w:ascii="宋体" w:hAnsi="宋体" w:eastAsia="宋体" w:cs="宋体"/>
          <w:sz w:val="24"/>
        </w:rPr>
        <w:t xml:space="preserve"> 1.剖宫产/初产妇剖宫产率</w:t>
      </w:r>
    </w:p>
    <w:p>
      <w:pPr>
        <w:pStyle w:val="4"/>
        <w:jc w:val="left"/>
      </w:pPr>
      <w:r>
        <w:rPr>
          <w:rFonts w:ascii="宋体" w:hAnsi="宋体" w:eastAsia="宋体" w:cs="宋体"/>
          <w:sz w:val="24"/>
        </w:rPr>
        <w:t xml:space="preserve"> 2.阴道分娩椎管内麻醉使用率</w:t>
      </w:r>
    </w:p>
    <w:p>
      <w:pPr>
        <w:pStyle w:val="4"/>
        <w:jc w:val="left"/>
      </w:pPr>
      <w:r>
        <w:rPr>
          <w:rFonts w:ascii="宋体" w:hAnsi="宋体" w:eastAsia="宋体" w:cs="宋体"/>
          <w:sz w:val="24"/>
        </w:rPr>
        <w:t xml:space="preserve"> 3.早产/早期早产率</w:t>
      </w:r>
    </w:p>
    <w:p>
      <w:pPr>
        <w:pStyle w:val="4"/>
        <w:jc w:val="left"/>
      </w:pPr>
      <w:r>
        <w:rPr>
          <w:rFonts w:ascii="宋体" w:hAnsi="宋体" w:eastAsia="宋体" w:cs="宋体"/>
          <w:sz w:val="24"/>
        </w:rPr>
        <w:t xml:space="preserve"> 4.巨大儿发生率</w:t>
      </w:r>
    </w:p>
    <w:p>
      <w:pPr>
        <w:pStyle w:val="4"/>
        <w:jc w:val="left"/>
      </w:pPr>
      <w:r>
        <w:rPr>
          <w:rFonts w:ascii="宋体" w:hAnsi="宋体" w:eastAsia="宋体" w:cs="宋体"/>
          <w:sz w:val="24"/>
        </w:rPr>
        <w:t xml:space="preserve"> 5.严重产后出血发生率</w:t>
      </w:r>
    </w:p>
    <w:p>
      <w:pPr>
        <w:pStyle w:val="4"/>
        <w:jc w:val="left"/>
      </w:pPr>
      <w:r>
        <w:rPr>
          <w:rFonts w:ascii="宋体" w:hAnsi="宋体" w:eastAsia="宋体" w:cs="宋体"/>
          <w:sz w:val="24"/>
        </w:rPr>
        <w:t xml:space="preserve"> 6.严重产后出血患者输血率</w:t>
      </w:r>
    </w:p>
    <w:p>
      <w:pPr>
        <w:pStyle w:val="4"/>
        <w:jc w:val="left"/>
      </w:pPr>
      <w:r>
        <w:rPr>
          <w:rFonts w:ascii="宋体" w:hAnsi="宋体" w:eastAsia="宋体" w:cs="宋体"/>
          <w:sz w:val="24"/>
        </w:rPr>
        <w:t xml:space="preserve"> 7.孕产妇死亡活产比</w:t>
      </w:r>
    </w:p>
    <w:p>
      <w:pPr>
        <w:pStyle w:val="4"/>
        <w:jc w:val="left"/>
      </w:pPr>
      <w:r>
        <w:rPr>
          <w:rFonts w:ascii="宋体" w:hAnsi="宋体" w:eastAsia="宋体" w:cs="宋体"/>
          <w:sz w:val="24"/>
        </w:rPr>
        <w:t xml:space="preserve"> 8.妊娠相关子宫切除率</w:t>
      </w:r>
    </w:p>
    <w:p>
      <w:pPr>
        <w:pStyle w:val="4"/>
        <w:jc w:val="left"/>
      </w:pPr>
      <w:r>
        <w:rPr>
          <w:rFonts w:ascii="宋体" w:hAnsi="宋体" w:eastAsia="宋体" w:cs="宋体"/>
          <w:sz w:val="24"/>
        </w:rPr>
        <w:t xml:space="preserve"> 9.产后或术后非计划再次手术率</w:t>
      </w:r>
    </w:p>
    <w:p>
      <w:pPr>
        <w:pStyle w:val="4"/>
        <w:jc w:val="left"/>
      </w:pPr>
      <w:r>
        <w:rPr>
          <w:rFonts w:ascii="宋体" w:hAnsi="宋体" w:eastAsia="宋体" w:cs="宋体"/>
          <w:sz w:val="24"/>
        </w:rPr>
        <w:t xml:space="preserve"> 10.足月新生儿 5 分钟 Apgar 评分＜7 分发生率</w:t>
      </w:r>
    </w:p>
    <w:p>
      <w:pPr>
        <w:pStyle w:val="4"/>
        <w:jc w:val="left"/>
      </w:pPr>
      <w:r>
        <w:rPr>
          <w:rFonts w:ascii="宋体" w:hAnsi="宋体" w:eastAsia="宋体" w:cs="宋体"/>
          <w:sz w:val="24"/>
        </w:rPr>
        <w:t>3、神经系统疾病医疗质量控制指标（2020 年版）</w:t>
      </w:r>
    </w:p>
    <w:p>
      <w:pPr>
        <w:pStyle w:val="4"/>
        <w:spacing w:before="75" w:after="75"/>
        <w:jc w:val="left"/>
      </w:pPr>
      <w:r>
        <w:rPr>
          <w:rFonts w:ascii="宋体" w:hAnsi="宋体" w:eastAsia="宋体" w:cs="宋体"/>
          <w:sz w:val="24"/>
        </w:rPr>
        <w:t>（一）癫痫与惊厥癫痫持续状态</w:t>
      </w:r>
    </w:p>
    <w:p>
      <w:pPr>
        <w:pStyle w:val="4"/>
        <w:spacing w:before="75" w:after="75"/>
        <w:jc w:val="left"/>
      </w:pPr>
      <w:r>
        <w:rPr>
          <w:rFonts w:ascii="宋体" w:hAnsi="宋体" w:eastAsia="宋体" w:cs="宋体"/>
          <w:sz w:val="24"/>
        </w:rPr>
        <w:t xml:space="preserve"> 1.癫痫发作频率记录率</w:t>
      </w:r>
    </w:p>
    <w:p>
      <w:pPr>
        <w:pStyle w:val="4"/>
        <w:spacing w:before="75" w:after="75"/>
        <w:jc w:val="left"/>
      </w:pPr>
      <w:r>
        <w:rPr>
          <w:rFonts w:ascii="宋体" w:hAnsi="宋体" w:eastAsia="宋体" w:cs="宋体"/>
          <w:sz w:val="24"/>
        </w:rPr>
        <w:t xml:space="preserve"> 2.抗癫痫药物规范服用率</w:t>
      </w:r>
    </w:p>
    <w:p>
      <w:pPr>
        <w:pStyle w:val="4"/>
        <w:spacing w:before="75" w:after="75"/>
        <w:jc w:val="left"/>
      </w:pPr>
      <w:r>
        <w:rPr>
          <w:rFonts w:ascii="宋体" w:hAnsi="宋体" w:eastAsia="宋体" w:cs="宋体"/>
          <w:sz w:val="24"/>
        </w:rPr>
        <w:t xml:space="preserve"> 3.癫痫患者病因学检查完成率</w:t>
      </w:r>
    </w:p>
    <w:p>
      <w:pPr>
        <w:pStyle w:val="4"/>
        <w:spacing w:before="75" w:after="75"/>
        <w:jc w:val="left"/>
      </w:pPr>
      <w:r>
        <w:rPr>
          <w:rFonts w:ascii="宋体" w:hAnsi="宋体" w:eastAsia="宋体" w:cs="宋体"/>
          <w:sz w:val="24"/>
        </w:rPr>
        <w:t xml:space="preserve"> 4.癫痫患者精神行为共患病筛查率</w:t>
      </w:r>
    </w:p>
    <w:p>
      <w:pPr>
        <w:pStyle w:val="4"/>
        <w:spacing w:before="75" w:after="75"/>
        <w:jc w:val="left"/>
      </w:pPr>
      <w:r>
        <w:rPr>
          <w:rFonts w:ascii="宋体" w:hAnsi="宋体" w:eastAsia="宋体" w:cs="宋体"/>
          <w:sz w:val="24"/>
        </w:rPr>
        <w:t xml:space="preserve"> 5.癫痫患者择期手术在院死亡率</w:t>
      </w:r>
    </w:p>
    <w:p>
      <w:pPr>
        <w:pStyle w:val="4"/>
        <w:spacing w:before="75" w:after="75"/>
        <w:jc w:val="left"/>
      </w:pPr>
      <w:r>
        <w:rPr>
          <w:rFonts w:ascii="宋体" w:hAnsi="宋体" w:eastAsia="宋体" w:cs="宋体"/>
          <w:sz w:val="24"/>
        </w:rPr>
        <w:t xml:space="preserve"> 6.癫痫患者术后并发症发生率</w:t>
      </w:r>
    </w:p>
    <w:p>
      <w:pPr>
        <w:pStyle w:val="4"/>
        <w:spacing w:before="75" w:after="75"/>
        <w:jc w:val="left"/>
      </w:pPr>
      <w:r>
        <w:rPr>
          <w:rFonts w:ascii="宋体" w:hAnsi="宋体" w:eastAsia="宋体" w:cs="宋体"/>
          <w:sz w:val="24"/>
        </w:rPr>
        <w:t xml:space="preserve"> 7.癫痫患者术后病理明确率</w:t>
      </w:r>
    </w:p>
    <w:p>
      <w:pPr>
        <w:pStyle w:val="4"/>
        <w:spacing w:before="75" w:after="75"/>
        <w:jc w:val="left"/>
      </w:pPr>
      <w:r>
        <w:rPr>
          <w:rFonts w:ascii="宋体" w:hAnsi="宋体" w:eastAsia="宋体" w:cs="宋体"/>
          <w:sz w:val="24"/>
        </w:rPr>
        <w:t xml:space="preserve"> 8.癫痫手术患者出院时继续抗癫痫药物治疗率</w:t>
      </w:r>
    </w:p>
    <w:p>
      <w:pPr>
        <w:pStyle w:val="4"/>
        <w:spacing w:before="75" w:after="75"/>
        <w:jc w:val="left"/>
      </w:pPr>
      <w:r>
        <w:rPr>
          <w:rFonts w:ascii="宋体" w:hAnsi="宋体" w:eastAsia="宋体" w:cs="宋体"/>
          <w:sz w:val="24"/>
        </w:rPr>
        <w:t xml:space="preserve"> 9.惊厥性癫痫持续状态初始治疗标准方案应用率</w:t>
      </w:r>
    </w:p>
    <w:p>
      <w:pPr>
        <w:pStyle w:val="4"/>
        <w:spacing w:before="75" w:after="75"/>
        <w:jc w:val="left"/>
      </w:pPr>
      <w:r>
        <w:rPr>
          <w:rFonts w:ascii="宋体" w:hAnsi="宋体" w:eastAsia="宋体" w:cs="宋体"/>
          <w:sz w:val="24"/>
        </w:rPr>
        <w:t xml:space="preserve"> 10.难治性惊厥性癫痫持续状态患者麻醉药物应用率</w:t>
      </w:r>
    </w:p>
    <w:p>
      <w:pPr>
        <w:pStyle w:val="4"/>
        <w:spacing w:before="75" w:after="75"/>
        <w:jc w:val="left"/>
      </w:pPr>
      <w:r>
        <w:rPr>
          <w:rFonts w:ascii="宋体" w:hAnsi="宋体" w:eastAsia="宋体" w:cs="宋体"/>
          <w:sz w:val="24"/>
        </w:rPr>
        <w:t xml:space="preserve"> 11.难治性惊厥性癫痫持续状态患者气管插管或机械通气应用率</w:t>
      </w:r>
    </w:p>
    <w:p>
      <w:pPr>
        <w:pStyle w:val="4"/>
        <w:spacing w:before="75" w:after="75"/>
        <w:jc w:val="left"/>
      </w:pPr>
      <w:r>
        <w:rPr>
          <w:rFonts w:ascii="宋体" w:hAnsi="宋体" w:eastAsia="宋体" w:cs="宋体"/>
          <w:sz w:val="24"/>
        </w:rPr>
        <w:t xml:space="preserve"> 12.在院惊厥性癫痫持续状态患者脑电监测率</w:t>
      </w:r>
    </w:p>
    <w:p>
      <w:pPr>
        <w:pStyle w:val="4"/>
        <w:spacing w:before="75" w:after="75"/>
        <w:jc w:val="left"/>
      </w:pPr>
      <w:r>
        <w:rPr>
          <w:rFonts w:ascii="宋体" w:hAnsi="宋体" w:eastAsia="宋体" w:cs="宋体"/>
          <w:sz w:val="24"/>
        </w:rPr>
        <w:t xml:space="preserve"> 13.在院惊厥性癫痫持续状态患者影像检查率</w:t>
      </w:r>
    </w:p>
    <w:p>
      <w:pPr>
        <w:pStyle w:val="4"/>
        <w:spacing w:before="75" w:after="75"/>
        <w:jc w:val="left"/>
      </w:pPr>
      <w:r>
        <w:rPr>
          <w:rFonts w:ascii="宋体" w:hAnsi="宋体" w:eastAsia="宋体" w:cs="宋体"/>
          <w:sz w:val="24"/>
        </w:rPr>
        <w:t xml:space="preserve"> 14.在院惊厥性癫痫持续状态患者脑脊液检查率</w:t>
      </w:r>
    </w:p>
    <w:p>
      <w:pPr>
        <w:pStyle w:val="4"/>
        <w:spacing w:before="75" w:after="75"/>
        <w:jc w:val="left"/>
      </w:pPr>
      <w:r>
        <w:rPr>
          <w:rFonts w:ascii="宋体" w:hAnsi="宋体" w:eastAsia="宋体" w:cs="宋体"/>
          <w:sz w:val="24"/>
        </w:rPr>
        <w:t xml:space="preserve"> 15.在院期间惊厥性癫痫持续状态患者病因明确率</w:t>
      </w:r>
    </w:p>
    <w:p>
      <w:pPr>
        <w:pStyle w:val="4"/>
        <w:spacing w:before="75" w:after="75"/>
        <w:jc w:val="left"/>
      </w:pPr>
      <w:r>
        <w:rPr>
          <w:rFonts w:ascii="宋体" w:hAnsi="宋体" w:eastAsia="宋体" w:cs="宋体"/>
          <w:sz w:val="24"/>
        </w:rPr>
        <w:t xml:space="preserve"> 16.惊厥性癫痫持续状态患者在院死亡率</w:t>
      </w:r>
    </w:p>
    <w:p>
      <w:pPr>
        <w:pStyle w:val="4"/>
        <w:spacing w:before="75" w:after="75"/>
        <w:jc w:val="left"/>
      </w:pPr>
      <w:r>
        <w:rPr>
          <w:rFonts w:ascii="宋体" w:hAnsi="宋体" w:eastAsia="宋体" w:cs="宋体"/>
          <w:sz w:val="24"/>
        </w:rPr>
        <w:t>（二）脑梗死</w:t>
      </w:r>
    </w:p>
    <w:p>
      <w:pPr>
        <w:pStyle w:val="4"/>
        <w:spacing w:before="75" w:after="75"/>
        <w:jc w:val="left"/>
      </w:pPr>
      <w:r>
        <w:t xml:space="preserve"> </w:t>
      </w:r>
    </w:p>
    <w:p>
      <w:pPr>
        <w:pStyle w:val="4"/>
        <w:spacing w:before="75" w:after="75"/>
        <w:jc w:val="left"/>
      </w:pPr>
      <w:r>
        <w:rPr>
          <w:rFonts w:ascii="宋体" w:hAnsi="宋体" w:eastAsia="宋体" w:cs="宋体"/>
          <w:sz w:val="24"/>
        </w:rPr>
        <w:t xml:space="preserve"> 17.脑梗死患者神经功能缺损评估率</w:t>
      </w:r>
    </w:p>
    <w:p>
      <w:pPr>
        <w:pStyle w:val="4"/>
        <w:spacing w:before="75" w:after="75"/>
        <w:jc w:val="left"/>
      </w:pPr>
      <w:r>
        <w:rPr>
          <w:rFonts w:ascii="宋体" w:hAnsi="宋体" w:eastAsia="宋体" w:cs="宋体"/>
          <w:sz w:val="24"/>
        </w:rPr>
        <w:t xml:space="preserve"> 18.发病24小时内脑梗死患者急诊就诊30分钟内完成头颅CT影像学检查率</w:t>
      </w:r>
    </w:p>
    <w:p>
      <w:pPr>
        <w:pStyle w:val="4"/>
        <w:spacing w:before="75" w:after="75"/>
        <w:jc w:val="left"/>
      </w:pPr>
      <w:r>
        <w:rPr>
          <w:rFonts w:ascii="宋体" w:hAnsi="宋体" w:eastAsia="宋体" w:cs="宋体"/>
          <w:sz w:val="24"/>
        </w:rPr>
        <w:t xml:space="preserve"> 19.发病24小时内脑梗死患者急诊就诊45分钟内临床实验室检查完成率</w:t>
      </w:r>
    </w:p>
    <w:p>
      <w:pPr>
        <w:pStyle w:val="4"/>
        <w:spacing w:before="75" w:after="75"/>
        <w:jc w:val="left"/>
      </w:pPr>
      <w:r>
        <w:rPr>
          <w:rFonts w:ascii="宋体" w:hAnsi="宋体" w:eastAsia="宋体" w:cs="宋体"/>
          <w:sz w:val="24"/>
        </w:rPr>
        <w:t xml:space="preserve"> 20.发病4.5小时内脑梗死患者静脉溶栓率</w:t>
      </w:r>
    </w:p>
    <w:p>
      <w:pPr>
        <w:pStyle w:val="4"/>
        <w:spacing w:before="75" w:after="75"/>
        <w:jc w:val="left"/>
      </w:pPr>
      <w:r>
        <w:rPr>
          <w:rFonts w:ascii="宋体" w:hAnsi="宋体" w:eastAsia="宋体" w:cs="宋体"/>
          <w:sz w:val="24"/>
        </w:rPr>
        <w:t>21.静脉溶栓的脑梗死患者到院到给药时间小于60分钟的比</w:t>
      </w:r>
    </w:p>
    <w:p>
      <w:pPr>
        <w:pStyle w:val="4"/>
        <w:spacing w:before="75" w:after="75"/>
        <w:jc w:val="left"/>
      </w:pPr>
      <w:r>
        <w:rPr>
          <w:rFonts w:ascii="宋体" w:hAnsi="宋体" w:eastAsia="宋体" w:cs="宋体"/>
          <w:sz w:val="24"/>
        </w:rPr>
        <w:t>22.发病6小时内前循环大血管闭塞性脑梗死患者血管内治疗率</w:t>
      </w:r>
    </w:p>
    <w:p>
      <w:pPr>
        <w:pStyle w:val="4"/>
        <w:spacing w:before="75" w:after="75"/>
        <w:jc w:val="left"/>
      </w:pPr>
      <w:r>
        <w:rPr>
          <w:rFonts w:ascii="宋体" w:hAnsi="宋体" w:eastAsia="宋体" w:cs="宋体"/>
          <w:sz w:val="24"/>
        </w:rPr>
        <w:t>23.脑梗死患者入院48小时内抗血小板药物治疗率</w:t>
      </w:r>
    </w:p>
    <w:p>
      <w:pPr>
        <w:pStyle w:val="4"/>
        <w:spacing w:before="75" w:after="75"/>
        <w:jc w:val="left"/>
      </w:pPr>
      <w:r>
        <w:rPr>
          <w:rFonts w:ascii="宋体" w:hAnsi="宋体" w:eastAsia="宋体" w:cs="宋体"/>
          <w:sz w:val="24"/>
        </w:rPr>
        <w:t>24.非致残性脑梗死患者发病24小时内双重强化抗血小板药物治疗率</w:t>
      </w:r>
    </w:p>
    <w:p>
      <w:pPr>
        <w:pStyle w:val="4"/>
        <w:spacing w:before="75" w:after="75"/>
        <w:jc w:val="left"/>
      </w:pPr>
      <w:r>
        <w:rPr>
          <w:rFonts w:ascii="宋体" w:hAnsi="宋体" w:eastAsia="宋体" w:cs="宋体"/>
          <w:sz w:val="24"/>
        </w:rPr>
        <w:t>25.不能自行行走的脑梗死患者入院48小时内深静脉血栓预防率</w:t>
      </w:r>
    </w:p>
    <w:p>
      <w:pPr>
        <w:pStyle w:val="4"/>
        <w:spacing w:before="75" w:after="75"/>
        <w:jc w:val="left"/>
      </w:pPr>
      <w:r>
        <w:rPr>
          <w:rFonts w:ascii="宋体" w:hAnsi="宋体" w:eastAsia="宋体" w:cs="宋体"/>
          <w:sz w:val="24"/>
        </w:rPr>
        <w:t>26.脑梗死患者住院7天内血管评价率</w:t>
      </w:r>
    </w:p>
    <w:p>
      <w:pPr>
        <w:pStyle w:val="4"/>
        <w:spacing w:before="75" w:after="75"/>
        <w:jc w:val="left"/>
      </w:pPr>
      <w:r>
        <w:rPr>
          <w:rFonts w:ascii="宋体" w:hAnsi="宋体" w:eastAsia="宋体" w:cs="宋体"/>
          <w:sz w:val="24"/>
        </w:rPr>
        <w:t>27.住院期间脑梗死患者他汀类药物治疗率</w:t>
      </w:r>
    </w:p>
    <w:p>
      <w:pPr>
        <w:pStyle w:val="4"/>
        <w:spacing w:before="75" w:after="75"/>
        <w:jc w:val="left"/>
      </w:pPr>
      <w:r>
        <w:rPr>
          <w:rFonts w:ascii="宋体" w:hAnsi="宋体" w:eastAsia="宋体" w:cs="宋体"/>
          <w:sz w:val="24"/>
        </w:rPr>
        <w:t>28.住院期间合并房颤的脑梗死患者抗凝治疗率</w:t>
      </w:r>
    </w:p>
    <w:p>
      <w:pPr>
        <w:pStyle w:val="4"/>
        <w:spacing w:before="75" w:after="75"/>
        <w:jc w:val="left"/>
      </w:pPr>
      <w:r>
        <w:rPr>
          <w:rFonts w:ascii="宋体" w:hAnsi="宋体" w:eastAsia="宋体" w:cs="宋体"/>
          <w:sz w:val="24"/>
        </w:rPr>
        <w:t>29.脑梗死患者吞咽功能筛查率</w:t>
      </w:r>
    </w:p>
    <w:p>
      <w:pPr>
        <w:pStyle w:val="4"/>
        <w:spacing w:before="75" w:after="75"/>
        <w:jc w:val="left"/>
      </w:pPr>
      <w:r>
        <w:rPr>
          <w:rFonts w:ascii="宋体" w:hAnsi="宋体" w:eastAsia="宋体" w:cs="宋体"/>
          <w:sz w:val="24"/>
        </w:rPr>
        <w:t>30.脑梗死患者康复评估率</w:t>
      </w:r>
    </w:p>
    <w:p>
      <w:pPr>
        <w:pStyle w:val="4"/>
        <w:spacing w:before="75" w:after="75"/>
        <w:jc w:val="left"/>
      </w:pPr>
      <w:r>
        <w:rPr>
          <w:rFonts w:ascii="宋体" w:hAnsi="宋体" w:eastAsia="宋体" w:cs="宋体"/>
          <w:sz w:val="24"/>
        </w:rPr>
        <w:t>31.出院时脑梗死患者抗栓/他汀类药物治疗率</w:t>
      </w:r>
    </w:p>
    <w:p>
      <w:pPr>
        <w:pStyle w:val="4"/>
        <w:spacing w:before="75" w:after="75"/>
        <w:jc w:val="left"/>
      </w:pPr>
      <w:r>
        <w:rPr>
          <w:rFonts w:ascii="宋体" w:hAnsi="宋体" w:eastAsia="宋体" w:cs="宋体"/>
          <w:sz w:val="24"/>
        </w:rPr>
        <w:t>32.出院时合并高血压/糖尿病/房颤的脑梗死患者降压/降糖药物/抗凝治疗率</w:t>
      </w:r>
    </w:p>
    <w:p>
      <w:pPr>
        <w:pStyle w:val="4"/>
        <w:spacing w:before="75" w:after="75"/>
        <w:jc w:val="left"/>
      </w:pPr>
      <w:r>
        <w:rPr>
          <w:rFonts w:ascii="宋体" w:hAnsi="宋体" w:eastAsia="宋体" w:cs="宋体"/>
          <w:sz w:val="24"/>
        </w:rPr>
        <w:t>33.脑梗死患者住院死亡率</w:t>
      </w:r>
    </w:p>
    <w:p>
      <w:pPr>
        <w:pStyle w:val="4"/>
        <w:spacing w:before="75" w:after="75"/>
        <w:jc w:val="left"/>
      </w:pPr>
      <w:r>
        <w:rPr>
          <w:rFonts w:ascii="宋体" w:hAnsi="宋体" w:eastAsia="宋体" w:cs="宋体"/>
          <w:sz w:val="24"/>
        </w:rPr>
        <w:t>34.发病24小时内脑梗死患者血管内治疗率</w:t>
      </w:r>
    </w:p>
    <w:p>
      <w:pPr>
        <w:pStyle w:val="4"/>
        <w:spacing w:before="75" w:after="75"/>
        <w:jc w:val="left"/>
      </w:pPr>
      <w:r>
        <w:rPr>
          <w:rFonts w:ascii="宋体" w:hAnsi="宋体" w:eastAsia="宋体" w:cs="宋体"/>
          <w:sz w:val="24"/>
        </w:rPr>
        <w:t>35.发病24小时内脑梗死患者血管内治疗术前影像学评估率</w:t>
      </w:r>
    </w:p>
    <w:p>
      <w:pPr>
        <w:pStyle w:val="4"/>
        <w:spacing w:before="75" w:after="75"/>
        <w:jc w:val="left"/>
      </w:pPr>
      <w:r>
        <w:rPr>
          <w:rFonts w:ascii="宋体" w:hAnsi="宋体" w:eastAsia="宋体" w:cs="宋体"/>
          <w:sz w:val="24"/>
        </w:rPr>
        <w:t>36.发病24小时内脑梗死患者行血管内治疗90分钟内完成动脉穿刺率</w:t>
      </w:r>
    </w:p>
    <w:p>
      <w:pPr>
        <w:pStyle w:val="4"/>
        <w:spacing w:before="75" w:after="75"/>
        <w:jc w:val="left"/>
      </w:pPr>
      <w:r>
        <w:rPr>
          <w:rFonts w:ascii="宋体" w:hAnsi="宋体" w:eastAsia="宋体" w:cs="宋体"/>
          <w:sz w:val="24"/>
        </w:rPr>
        <w:t>37.发病24小时内脑梗死患者行血管内治疗60分钟内成功再灌注率</w:t>
      </w:r>
    </w:p>
    <w:p>
      <w:pPr>
        <w:pStyle w:val="4"/>
        <w:spacing w:before="75" w:after="75"/>
        <w:jc w:val="left"/>
      </w:pPr>
      <w:r>
        <w:rPr>
          <w:rFonts w:ascii="宋体" w:hAnsi="宋体" w:eastAsia="宋体" w:cs="宋体"/>
          <w:sz w:val="24"/>
        </w:rPr>
        <w:t>38.发病24小时内脑梗死患者行血管内治疗术后即刻再通率</w:t>
      </w:r>
    </w:p>
    <w:p>
      <w:pPr>
        <w:pStyle w:val="4"/>
        <w:spacing w:before="75" w:after="75"/>
        <w:jc w:val="left"/>
      </w:pPr>
      <w:r>
        <w:rPr>
          <w:rFonts w:ascii="宋体" w:hAnsi="宋体" w:eastAsia="宋体" w:cs="宋体"/>
          <w:sz w:val="24"/>
        </w:rPr>
        <w:t>39.发病24小时内脑梗死患者行血管内治疗术后死亡率</w:t>
      </w:r>
    </w:p>
    <w:p>
      <w:pPr>
        <w:pStyle w:val="4"/>
        <w:spacing w:before="75" w:after="75"/>
        <w:jc w:val="left"/>
      </w:pPr>
      <w:r>
        <w:rPr>
          <w:rFonts w:ascii="宋体" w:hAnsi="宋体" w:eastAsia="宋体" w:cs="宋体"/>
          <w:sz w:val="24"/>
        </w:rPr>
        <w:t>（三）帕金森病</w:t>
      </w:r>
    </w:p>
    <w:p>
      <w:pPr>
        <w:pStyle w:val="4"/>
        <w:spacing w:before="75" w:after="75"/>
        <w:jc w:val="left"/>
      </w:pPr>
      <w:r>
        <w:rPr>
          <w:rFonts w:ascii="宋体" w:hAnsi="宋体" w:eastAsia="宋体" w:cs="宋体"/>
          <w:sz w:val="24"/>
        </w:rPr>
        <w:t>40.住院帕金森病患者规范诊断率</w:t>
      </w:r>
    </w:p>
    <w:p>
      <w:pPr>
        <w:pStyle w:val="4"/>
        <w:spacing w:before="75" w:after="75"/>
        <w:jc w:val="left"/>
      </w:pPr>
      <w:r>
        <w:rPr>
          <w:rFonts w:ascii="宋体" w:hAnsi="宋体" w:eastAsia="宋体" w:cs="宋体"/>
          <w:sz w:val="24"/>
        </w:rPr>
        <w:t>41.住院帕金森病患者完成头颅MRI或CT检查率</w:t>
      </w:r>
    </w:p>
    <w:p>
      <w:pPr>
        <w:pStyle w:val="4"/>
        <w:spacing w:before="75" w:after="75"/>
        <w:jc w:val="left"/>
      </w:pPr>
      <w:r>
        <w:rPr>
          <w:rFonts w:ascii="宋体" w:hAnsi="宋体" w:eastAsia="宋体" w:cs="宋体"/>
          <w:sz w:val="24"/>
        </w:rPr>
        <w:t>42.住院帕金森病患者进行急性左旋多巴试验评测率</w:t>
      </w:r>
    </w:p>
    <w:p>
      <w:pPr>
        <w:pStyle w:val="4"/>
        <w:spacing w:before="75" w:after="75"/>
        <w:jc w:val="left"/>
      </w:pPr>
      <w:r>
        <w:rPr>
          <w:rFonts w:ascii="宋体" w:hAnsi="宋体" w:eastAsia="宋体" w:cs="宋体"/>
          <w:sz w:val="24"/>
        </w:rPr>
        <w:t>43.住院帕金森病患者进行临床分期的比例</w:t>
      </w:r>
    </w:p>
    <w:p>
      <w:pPr>
        <w:pStyle w:val="4"/>
        <w:spacing w:before="75" w:after="75"/>
        <w:jc w:val="left"/>
      </w:pPr>
      <w:r>
        <w:rPr>
          <w:rFonts w:ascii="宋体" w:hAnsi="宋体" w:eastAsia="宋体" w:cs="宋体"/>
          <w:sz w:val="24"/>
        </w:rPr>
        <w:t>44.住院帕金森病患者全面神经功能缺损评估率</w:t>
      </w:r>
    </w:p>
    <w:p>
      <w:pPr>
        <w:pStyle w:val="4"/>
        <w:spacing w:before="75" w:after="75"/>
        <w:jc w:val="left"/>
      </w:pPr>
      <w:r>
        <w:rPr>
          <w:rFonts w:ascii="宋体" w:hAnsi="宋体" w:eastAsia="宋体" w:cs="宋体"/>
          <w:sz w:val="24"/>
        </w:rPr>
        <w:t>45.住院帕金森病患者运动并发症筛查率</w:t>
      </w:r>
    </w:p>
    <w:p>
      <w:pPr>
        <w:pStyle w:val="4"/>
        <w:spacing w:before="75" w:after="75"/>
        <w:jc w:val="left"/>
      </w:pPr>
      <w:r>
        <w:rPr>
          <w:rFonts w:ascii="宋体" w:hAnsi="宋体" w:eastAsia="宋体" w:cs="宋体"/>
          <w:sz w:val="24"/>
        </w:rPr>
        <w:t>46.住院帕金森病患者认知功能障碍筛查率</w:t>
      </w:r>
    </w:p>
    <w:p>
      <w:pPr>
        <w:pStyle w:val="4"/>
        <w:spacing w:before="75" w:after="75"/>
        <w:jc w:val="left"/>
      </w:pPr>
      <w:r>
        <w:rPr>
          <w:rFonts w:ascii="宋体" w:hAnsi="宋体" w:eastAsia="宋体" w:cs="宋体"/>
          <w:sz w:val="24"/>
        </w:rPr>
        <w:t>47.住院帕金森病体位性低血压筛查率</w:t>
      </w:r>
    </w:p>
    <w:p>
      <w:pPr>
        <w:pStyle w:val="4"/>
        <w:spacing w:before="75" w:after="75"/>
        <w:jc w:val="left"/>
      </w:pPr>
      <w:r>
        <w:rPr>
          <w:rFonts w:ascii="宋体" w:hAnsi="宋体" w:eastAsia="宋体" w:cs="宋体"/>
          <w:sz w:val="24"/>
        </w:rPr>
        <w:t>48.住院帕金森病患者康复评估率</w:t>
      </w:r>
    </w:p>
    <w:p>
      <w:pPr>
        <w:pStyle w:val="4"/>
        <w:spacing w:before="75" w:after="75"/>
        <w:jc w:val="left"/>
      </w:pPr>
      <w:r>
        <w:rPr>
          <w:rFonts w:ascii="宋体" w:hAnsi="宋体" w:eastAsia="宋体" w:cs="宋体"/>
          <w:sz w:val="24"/>
        </w:rPr>
        <w:t>49.住院帕金森病患者焦虑症状和抑郁症状筛查率</w:t>
      </w:r>
    </w:p>
    <w:p>
      <w:pPr>
        <w:pStyle w:val="4"/>
        <w:spacing w:before="75" w:after="75"/>
        <w:jc w:val="left"/>
      </w:pPr>
      <w:r>
        <w:rPr>
          <w:rFonts w:ascii="宋体" w:hAnsi="宋体" w:eastAsia="宋体" w:cs="宋体"/>
          <w:sz w:val="24"/>
        </w:rPr>
        <w:t>（四）颈动脉支架置入术</w:t>
      </w:r>
    </w:p>
    <w:p>
      <w:pPr>
        <w:pStyle w:val="4"/>
        <w:spacing w:before="75" w:after="75"/>
        <w:jc w:val="left"/>
      </w:pPr>
      <w:r>
        <w:rPr>
          <w:rFonts w:ascii="宋体" w:hAnsi="宋体" w:eastAsia="宋体" w:cs="宋体"/>
          <w:sz w:val="24"/>
        </w:rPr>
        <w:t>50.颈动脉支架置入术患者术前mRS评估率</w:t>
      </w:r>
    </w:p>
    <w:p>
      <w:pPr>
        <w:pStyle w:val="4"/>
        <w:spacing w:before="75" w:after="75"/>
        <w:jc w:val="left"/>
      </w:pPr>
      <w:r>
        <w:rPr>
          <w:rFonts w:ascii="宋体" w:hAnsi="宋体" w:eastAsia="宋体" w:cs="宋体"/>
          <w:sz w:val="24"/>
        </w:rPr>
        <w:t>51.颈动脉支架置入术患者术前颈动脉无创影像评估率</w:t>
      </w:r>
    </w:p>
    <w:p>
      <w:pPr>
        <w:pStyle w:val="4"/>
        <w:spacing w:before="75" w:after="75"/>
        <w:jc w:val="left"/>
      </w:pPr>
      <w:r>
        <w:rPr>
          <w:rFonts w:ascii="宋体" w:hAnsi="宋体" w:eastAsia="宋体" w:cs="宋体"/>
          <w:sz w:val="24"/>
        </w:rPr>
        <w:t>52.颈动脉支架置入术患者术前规范化药物治疗率</w:t>
      </w:r>
    </w:p>
    <w:p>
      <w:pPr>
        <w:pStyle w:val="4"/>
        <w:spacing w:before="75" w:after="75"/>
        <w:jc w:val="left"/>
      </w:pPr>
      <w:r>
        <w:rPr>
          <w:rFonts w:ascii="宋体" w:hAnsi="宋体" w:eastAsia="宋体" w:cs="宋体"/>
          <w:sz w:val="24"/>
        </w:rPr>
        <w:t>53.颈动脉支架置入术保护装置使用率</w:t>
      </w:r>
    </w:p>
    <w:p>
      <w:pPr>
        <w:pStyle w:val="4"/>
        <w:spacing w:before="75" w:after="75"/>
        <w:jc w:val="left"/>
      </w:pPr>
      <w:r>
        <w:rPr>
          <w:rFonts w:ascii="宋体" w:hAnsi="宋体" w:eastAsia="宋体" w:cs="宋体"/>
          <w:sz w:val="24"/>
        </w:rPr>
        <w:t>54.颈动脉支架置入术技术成功率</w:t>
      </w:r>
    </w:p>
    <w:p>
      <w:pPr>
        <w:pStyle w:val="4"/>
        <w:spacing w:before="75" w:after="75"/>
        <w:jc w:val="left"/>
      </w:pPr>
      <w:r>
        <w:rPr>
          <w:rFonts w:ascii="宋体" w:hAnsi="宋体" w:eastAsia="宋体" w:cs="宋体"/>
          <w:sz w:val="24"/>
        </w:rPr>
        <w:t>55.颈动脉支架置入术患者出院规范化药物治疗率</w:t>
      </w:r>
    </w:p>
    <w:p>
      <w:pPr>
        <w:pStyle w:val="4"/>
        <w:spacing w:before="75" w:after="75"/>
        <w:jc w:val="left"/>
      </w:pPr>
      <w:r>
        <w:rPr>
          <w:rFonts w:ascii="宋体" w:hAnsi="宋体" w:eastAsia="宋体" w:cs="宋体"/>
          <w:sz w:val="24"/>
        </w:rPr>
        <w:t>56.颈动脉支架置入术患者卒中和死亡发生率</w:t>
      </w:r>
    </w:p>
    <w:p>
      <w:pPr>
        <w:pStyle w:val="4"/>
        <w:spacing w:before="75" w:after="75"/>
        <w:jc w:val="left"/>
      </w:pPr>
      <w:r>
        <w:rPr>
          <w:rFonts w:ascii="宋体" w:hAnsi="宋体" w:eastAsia="宋体" w:cs="宋体"/>
          <w:sz w:val="24"/>
        </w:rPr>
        <w:t>（五）脑血管造影术</w:t>
      </w:r>
    </w:p>
    <w:p>
      <w:pPr>
        <w:pStyle w:val="4"/>
        <w:spacing w:before="75" w:after="75"/>
        <w:jc w:val="left"/>
      </w:pPr>
      <w:r>
        <w:rPr>
          <w:rFonts w:ascii="宋体" w:hAnsi="宋体" w:eastAsia="宋体" w:cs="宋体"/>
          <w:sz w:val="24"/>
        </w:rPr>
        <w:t>57.脑血管造影术（DSA）前无创影像评估率</w:t>
      </w:r>
    </w:p>
    <w:p>
      <w:pPr>
        <w:pStyle w:val="4"/>
        <w:spacing w:before="75" w:after="75"/>
        <w:jc w:val="left"/>
      </w:pPr>
      <w:r>
        <w:rPr>
          <w:rFonts w:ascii="宋体" w:hAnsi="宋体" w:eastAsia="宋体" w:cs="宋体"/>
          <w:sz w:val="24"/>
        </w:rPr>
        <w:t>58.脑血管造影术中非离子型对比剂应用率</w:t>
      </w:r>
    </w:p>
    <w:p>
      <w:pPr>
        <w:pStyle w:val="4"/>
        <w:spacing w:before="75" w:after="75"/>
        <w:jc w:val="left"/>
      </w:pPr>
      <w:r>
        <w:rPr>
          <w:rFonts w:ascii="宋体" w:hAnsi="宋体" w:eastAsia="宋体" w:cs="宋体"/>
          <w:sz w:val="24"/>
        </w:rPr>
        <w:t>59.脑血管造影术造影时相完整率</w:t>
      </w:r>
    </w:p>
    <w:p>
      <w:pPr>
        <w:pStyle w:val="4"/>
        <w:spacing w:before="75" w:after="75"/>
        <w:jc w:val="left"/>
      </w:pPr>
      <w:r>
        <w:rPr>
          <w:rFonts w:ascii="宋体" w:hAnsi="宋体" w:eastAsia="宋体" w:cs="宋体"/>
          <w:sz w:val="24"/>
        </w:rPr>
        <w:t>60.脑血管造影术造影阳性率</w:t>
      </w:r>
    </w:p>
    <w:p>
      <w:pPr>
        <w:pStyle w:val="4"/>
        <w:spacing w:before="75" w:after="75"/>
        <w:jc w:val="left"/>
      </w:pPr>
      <w:r>
        <w:rPr>
          <w:rFonts w:ascii="宋体" w:hAnsi="宋体" w:eastAsia="宋体" w:cs="宋体"/>
          <w:sz w:val="24"/>
        </w:rPr>
        <w:t>61.脑血管造影术穿刺点并发症发生率</w:t>
      </w:r>
    </w:p>
    <w:p>
      <w:pPr>
        <w:pStyle w:val="4"/>
        <w:spacing w:before="75" w:after="75"/>
        <w:jc w:val="left"/>
      </w:pPr>
      <w:r>
        <w:rPr>
          <w:rFonts w:ascii="宋体" w:hAnsi="宋体" w:eastAsia="宋体" w:cs="宋体"/>
          <w:sz w:val="24"/>
        </w:rPr>
        <w:t>62.脑血管造影术死亡率</w:t>
      </w:r>
    </w:p>
    <w:p>
      <w:pPr>
        <w:pStyle w:val="4"/>
        <w:jc w:val="left"/>
      </w:pPr>
      <w:r>
        <w:rPr>
          <w:rFonts w:ascii="宋体" w:hAnsi="宋体" w:eastAsia="宋体" w:cs="宋体"/>
          <w:b/>
          <w:sz w:val="24"/>
        </w:rPr>
        <w:t>2.2.6  单病种质控指标监测分析</w:t>
      </w:r>
    </w:p>
    <w:p>
      <w:pPr>
        <w:pStyle w:val="4"/>
        <w:spacing w:before="60" w:after="60"/>
        <w:jc w:val="left"/>
      </w:pPr>
      <w:r>
        <w:rPr>
          <w:rFonts w:ascii="宋体" w:hAnsi="宋体" w:eastAsia="宋体" w:cs="宋体"/>
          <w:color w:val="000000"/>
          <w:sz w:val="24"/>
        </w:rPr>
        <w:t>1.支持按时间段统计单病种质量控制指标的结果，支持按照年、季、月不同的时间周期查看各指标变化趋势。</w:t>
      </w:r>
    </w:p>
    <w:p>
      <w:pPr>
        <w:pStyle w:val="4"/>
        <w:spacing w:before="60" w:after="60"/>
        <w:jc w:val="left"/>
      </w:pPr>
      <w:r>
        <w:rPr>
          <w:rFonts w:ascii="宋体" w:hAnsi="宋体" w:eastAsia="宋体" w:cs="宋体"/>
          <w:color w:val="000000"/>
          <w:sz w:val="24"/>
        </w:rPr>
        <w:t>2.支持按照科室、医生等维度进行指标下钻分析，并可定位到各指标分子、分母的患者列表。</w:t>
      </w:r>
    </w:p>
    <w:p>
      <w:pPr>
        <w:pStyle w:val="4"/>
        <w:spacing w:before="60" w:after="60"/>
        <w:jc w:val="left"/>
      </w:pPr>
      <w:r>
        <w:rPr>
          <w:rFonts w:ascii="宋体" w:hAnsi="宋体" w:eastAsia="宋体" w:cs="宋体"/>
          <w:color w:val="000000"/>
          <w:sz w:val="24"/>
        </w:rPr>
        <w:t>3.支持比率型指标根据指标的分子和分母对应的患者明细分别进行展示，展示信息需包括患者姓名、患者编号、就诊号、科室等，并且支持患者明细的导出，方便医院进行指标的核验和确认。</w:t>
      </w:r>
    </w:p>
    <w:p>
      <w:pPr>
        <w:pStyle w:val="4"/>
        <w:spacing w:before="60" w:after="60"/>
        <w:jc w:val="left"/>
      </w:pPr>
      <w:r>
        <w:rPr>
          <w:rFonts w:ascii="宋体" w:hAnsi="宋体" w:eastAsia="宋体" w:cs="宋体"/>
          <w:color w:val="000000"/>
          <w:sz w:val="24"/>
        </w:rPr>
        <w:t>4.支持通过患者明细列表直接点击患者跳转查看患者对应的就诊信息，包括患者本次就诊的病历文本、医嘱信息、检验检查报告等，进行关键信息高亮查看。</w:t>
      </w:r>
    </w:p>
    <w:p>
      <w:pPr>
        <w:pStyle w:val="4"/>
        <w:spacing w:before="60" w:after="60"/>
        <w:jc w:val="left"/>
      </w:pPr>
      <w:r>
        <w:rPr>
          <w:rFonts w:ascii="宋体" w:hAnsi="宋体" w:eastAsia="宋体" w:cs="宋体"/>
          <w:color w:val="000000"/>
          <w:sz w:val="24"/>
        </w:rPr>
        <w:t>5.支持对接第三方单病种上报系统的数据进行指标填充。</w:t>
      </w:r>
    </w:p>
    <w:p>
      <w:pPr>
        <w:pStyle w:val="4"/>
        <w:spacing w:before="60" w:after="60"/>
        <w:ind w:firstLine="480"/>
        <w:jc w:val="left"/>
      </w:pPr>
      <w:r>
        <w:rPr>
          <w:rFonts w:ascii="宋体" w:hAnsi="宋体" w:eastAsia="宋体" w:cs="宋体"/>
          <w:sz w:val="24"/>
        </w:rPr>
        <w:t>本项目参考以下单病种质量控制指标进行建设，具体将根据本医院等级评审要求以及医院各专科实际情况进行建设：</w:t>
      </w:r>
    </w:p>
    <w:p>
      <w:pPr>
        <w:pStyle w:val="4"/>
        <w:spacing w:before="60" w:after="60"/>
        <w:ind w:firstLine="480"/>
        <w:jc w:val="left"/>
      </w:pPr>
      <w:r>
        <w:rPr>
          <w:rFonts w:ascii="宋体" w:hAnsi="宋体" w:eastAsia="宋体" w:cs="宋体"/>
          <w:sz w:val="24"/>
        </w:rPr>
        <w:t>（1）单病种例数:考核年度内符合单病种纳入条件的某病种出院人数之和,计量单位:人。</w:t>
      </w:r>
    </w:p>
    <w:p>
      <w:pPr>
        <w:pStyle w:val="4"/>
        <w:spacing w:before="60" w:after="60"/>
        <w:ind w:firstLine="480"/>
        <w:jc w:val="left"/>
      </w:pPr>
      <w:r>
        <w:rPr>
          <w:rFonts w:ascii="宋体" w:hAnsi="宋体" w:eastAsia="宋体" w:cs="宋体"/>
          <w:sz w:val="24"/>
        </w:rPr>
        <w:t>（2）平均住院日:考核年度内符合单病种纳入条件的某病种出院患者平均住院时间,计量单位:天。</w:t>
      </w:r>
    </w:p>
    <w:p>
      <w:pPr>
        <w:pStyle w:val="4"/>
        <w:spacing w:before="60" w:after="60"/>
        <w:ind w:firstLine="480"/>
        <w:jc w:val="left"/>
      </w:pPr>
      <w:r>
        <w:rPr>
          <w:rFonts w:ascii="宋体" w:hAnsi="宋体" w:eastAsia="宋体" w:cs="宋体"/>
          <w:sz w:val="24"/>
        </w:rPr>
        <w:t>（3）次均费用:考核年度内符合单病种纳入条件的某病种出院患者平均住院费用,计量单位:元。</w:t>
      </w:r>
    </w:p>
    <w:p>
      <w:pPr>
        <w:pStyle w:val="4"/>
        <w:spacing w:before="60" w:after="60"/>
        <w:ind w:firstLine="480"/>
        <w:jc w:val="left"/>
      </w:pPr>
      <w:r>
        <w:rPr>
          <w:rFonts w:ascii="宋体" w:hAnsi="宋体" w:eastAsia="宋体" w:cs="宋体"/>
          <w:sz w:val="24"/>
        </w:rPr>
        <w:t>（4）病死率:考核年度内符合单病种纳入条件的某病种出院患者死亡人数占同期同病种出院人数的比例,计量单位:百分比（%）。</w:t>
      </w:r>
    </w:p>
    <w:p>
      <w:pPr>
        <w:pStyle w:val="4"/>
        <w:spacing w:before="60" w:after="60"/>
        <w:ind w:firstLine="480"/>
        <w:jc w:val="left"/>
      </w:pPr>
      <w:r>
        <w:rPr>
          <w:rFonts w:ascii="宋体" w:hAnsi="宋体" w:eastAsia="宋体" w:cs="宋体"/>
          <w:sz w:val="24"/>
        </w:rPr>
        <w:t>病种包含</w:t>
      </w:r>
      <w:r>
        <w:rPr>
          <w:rFonts w:ascii="宋体" w:hAnsi="宋体" w:eastAsia="宋体" w:cs="宋体"/>
          <w:color w:val="000000"/>
          <w:sz w:val="24"/>
        </w:rPr>
        <w:t>但不限于</w:t>
      </w:r>
      <w:r>
        <w:rPr>
          <w:rFonts w:ascii="宋体" w:hAnsi="宋体" w:eastAsia="宋体" w:cs="宋体"/>
          <w:sz w:val="24"/>
        </w:rPr>
        <w:t>以下内容：</w:t>
      </w:r>
    </w:p>
    <w:p>
      <w:pPr>
        <w:pStyle w:val="4"/>
        <w:spacing w:before="60" w:after="60"/>
        <w:ind w:firstLine="480"/>
        <w:jc w:val="left"/>
      </w:pPr>
      <w:r>
        <w:rPr>
          <w:rFonts w:ascii="宋体" w:hAnsi="宋体" w:eastAsia="宋体" w:cs="宋体"/>
          <w:sz w:val="24"/>
        </w:rPr>
        <w:t>一、急性心肌梗死（ST 段抬高型，首次住院）主要诊断 ICD-10 编码：I21.0 至 I21.3，I21.9 的出院患者</w:t>
      </w:r>
    </w:p>
    <w:p>
      <w:pPr>
        <w:pStyle w:val="4"/>
        <w:spacing w:before="60" w:after="60"/>
        <w:ind w:firstLine="480"/>
        <w:jc w:val="left"/>
      </w:pPr>
      <w:r>
        <w:rPr>
          <w:rFonts w:ascii="宋体" w:hAnsi="宋体" w:eastAsia="宋体" w:cs="宋体"/>
          <w:sz w:val="24"/>
        </w:rPr>
        <w:t>二、心力衰竭主要诊断原发病ICD-10 编码：I05 至 I09，或 I11 至 I13，或 I20 至 241 I21，或 I40 至 I41，或 I42 至 I43 伴第二诊断为 I50 的出院患者三、冠状动脉旁路移植术主要手术 ICD-9-CM-3 编码：36.1 的手术出院患者</w:t>
      </w:r>
    </w:p>
    <w:p>
      <w:pPr>
        <w:pStyle w:val="4"/>
        <w:spacing w:before="60" w:after="60"/>
        <w:ind w:firstLine="480"/>
        <w:jc w:val="left"/>
      </w:pPr>
      <w:r>
        <w:rPr>
          <w:rFonts w:ascii="宋体" w:hAnsi="宋体" w:eastAsia="宋体" w:cs="宋体"/>
          <w:sz w:val="24"/>
        </w:rPr>
        <w:t>四、房颤主要诊断ICD-10 编码：I48 的出院患者</w:t>
      </w:r>
    </w:p>
    <w:p>
      <w:pPr>
        <w:pStyle w:val="4"/>
        <w:spacing w:before="60" w:after="60"/>
        <w:ind w:firstLine="480"/>
        <w:jc w:val="left"/>
      </w:pPr>
      <w:r>
        <w:rPr>
          <w:rFonts w:ascii="宋体" w:hAnsi="宋体" w:eastAsia="宋体" w:cs="宋体"/>
          <w:sz w:val="24"/>
        </w:rPr>
        <w:t>五、主动脉瓣置换术主要手术ICD-9-CM-3 编码：35.0，35.2 的手术出院患者</w:t>
      </w:r>
    </w:p>
    <w:p>
      <w:pPr>
        <w:pStyle w:val="4"/>
        <w:spacing w:before="60" w:after="60"/>
        <w:ind w:firstLine="480"/>
        <w:jc w:val="left"/>
      </w:pPr>
      <w:r>
        <w:rPr>
          <w:rFonts w:ascii="宋体" w:hAnsi="宋体" w:eastAsia="宋体" w:cs="宋体"/>
          <w:sz w:val="24"/>
        </w:rPr>
        <w:t>六、二尖瓣置换术主要手术ICD-9-CM-3 编码：35.02，35.12，35.23，35.24 的手术出院患者</w:t>
      </w:r>
    </w:p>
    <w:p>
      <w:pPr>
        <w:pStyle w:val="4"/>
        <w:spacing w:before="60" w:after="60"/>
        <w:ind w:firstLine="480"/>
        <w:jc w:val="left"/>
      </w:pPr>
      <w:r>
        <w:rPr>
          <w:rFonts w:ascii="宋体" w:hAnsi="宋体" w:eastAsia="宋体" w:cs="宋体"/>
          <w:sz w:val="24"/>
        </w:rPr>
        <w:t>七、房间隔缺损手术主要手术ICD-9-CM-3 编码：35.51，35.52，35.61，35.71 的手术出院患者</w:t>
      </w:r>
    </w:p>
    <w:p>
      <w:pPr>
        <w:pStyle w:val="4"/>
        <w:spacing w:before="60" w:after="60"/>
        <w:ind w:firstLine="480"/>
        <w:jc w:val="left"/>
      </w:pPr>
      <w:r>
        <w:rPr>
          <w:rFonts w:ascii="宋体" w:hAnsi="宋体" w:eastAsia="宋体" w:cs="宋体"/>
          <w:sz w:val="24"/>
        </w:rPr>
        <w:t>八、室间隔缺损手术主要手术ICD-9-CM-3 编码：35.53，35.55，35.62，35.72 的手术出院患者</w:t>
      </w:r>
    </w:p>
    <w:p>
      <w:pPr>
        <w:pStyle w:val="4"/>
        <w:spacing w:before="60" w:after="60"/>
        <w:ind w:firstLine="480"/>
        <w:jc w:val="left"/>
      </w:pPr>
      <w:r>
        <w:rPr>
          <w:rFonts w:ascii="宋体" w:hAnsi="宋体" w:eastAsia="宋体" w:cs="宋体"/>
          <w:sz w:val="24"/>
        </w:rPr>
        <w:t>九、脑梗死（首次住院）主要诊断ICD-10 编码：I63.0 至 I63.9 的出院患者</w:t>
      </w:r>
    </w:p>
    <w:p>
      <w:pPr>
        <w:pStyle w:val="4"/>
        <w:spacing w:before="60" w:after="60"/>
        <w:ind w:firstLine="480"/>
        <w:jc w:val="left"/>
      </w:pPr>
      <w:r>
        <w:rPr>
          <w:rFonts w:ascii="宋体" w:hAnsi="宋体" w:eastAsia="宋体" w:cs="宋体"/>
          <w:sz w:val="24"/>
        </w:rPr>
        <w:t>十、短暂性脑缺血发作主要诊断ICD-10 编码：G45.0 至 G45.9 的出院患者</w:t>
      </w:r>
    </w:p>
    <w:p>
      <w:pPr>
        <w:pStyle w:val="4"/>
        <w:spacing w:before="60" w:after="60"/>
        <w:ind w:firstLine="480"/>
        <w:jc w:val="left"/>
      </w:pPr>
      <w:r>
        <w:rPr>
          <w:rFonts w:ascii="宋体" w:hAnsi="宋体" w:eastAsia="宋体" w:cs="宋体"/>
          <w:sz w:val="24"/>
        </w:rPr>
        <w:t>十一、脑出血主要诊断ICD-10 编码：I61.0 至 I61.9 的出院患者</w:t>
      </w:r>
    </w:p>
    <w:p>
      <w:pPr>
        <w:pStyle w:val="4"/>
        <w:spacing w:before="60" w:after="60"/>
        <w:ind w:firstLine="480"/>
        <w:jc w:val="left"/>
      </w:pPr>
      <w:r>
        <w:rPr>
          <w:rFonts w:ascii="宋体" w:hAnsi="宋体" w:eastAsia="宋体" w:cs="宋体"/>
          <w:sz w:val="24"/>
        </w:rPr>
        <w:t>十二、脑膜瘤（初发，手术治疗）主要诊断ICD-10 编码：C70.0，C70.9，D32.0，D32.9，D42.9，且伴 ICD-9-CM-3 编码：01.51，01.59 的手术出院患者</w:t>
      </w:r>
    </w:p>
    <w:p>
      <w:pPr>
        <w:pStyle w:val="4"/>
        <w:spacing w:before="60" w:after="60"/>
        <w:ind w:firstLine="480"/>
        <w:jc w:val="left"/>
      </w:pPr>
      <w:r>
        <w:rPr>
          <w:rFonts w:ascii="宋体" w:hAnsi="宋体" w:eastAsia="宋体" w:cs="宋体"/>
          <w:sz w:val="24"/>
        </w:rPr>
        <w:t>十三、胶质瘤（初发，手术治疗）主要诊断ICD-10 编码：C71，且伴主要手术 ICD-9-CM-3 编码：01.52 至 01.59 的手术出院患者</w:t>
      </w:r>
    </w:p>
    <w:p>
      <w:pPr>
        <w:pStyle w:val="4"/>
        <w:spacing w:before="60" w:after="60"/>
        <w:ind w:firstLine="480"/>
        <w:jc w:val="left"/>
      </w:pPr>
      <w:r>
        <w:rPr>
          <w:rFonts w:ascii="宋体" w:hAnsi="宋体" w:eastAsia="宋体" w:cs="宋体"/>
          <w:sz w:val="24"/>
        </w:rPr>
        <w:t>十四、垂体腺瘤（初发，手术治疗）主要诊断ICD-10 编码：D35.2，C75.1，D44.3，E22.0，E23.6，且伴主要手术 ICD-9-CM-3 编码：07.61 至 07.69，07.71，07.72，07.79 和 01.59 242 的手术出院患者</w:t>
      </w:r>
    </w:p>
    <w:p>
      <w:pPr>
        <w:pStyle w:val="4"/>
        <w:spacing w:before="60" w:after="60"/>
        <w:ind w:firstLine="480"/>
        <w:jc w:val="left"/>
      </w:pPr>
      <w:r>
        <w:rPr>
          <w:rFonts w:ascii="宋体" w:hAnsi="宋体" w:eastAsia="宋体" w:cs="宋体"/>
          <w:sz w:val="24"/>
        </w:rPr>
        <w:t>十五、急性动脉瘤性蛛网膜下腔出血（初发，手术治疗）主要诊断ICD-10 编码：I60.0 至 I60.9，且伴主要手术 ICD-9-CM 编码： 01.3，02.2，02.3，38.3，38.4，38.6，39.5 的手术出院患者</w:t>
      </w:r>
    </w:p>
    <w:p>
      <w:pPr>
        <w:pStyle w:val="4"/>
        <w:spacing w:before="60" w:after="60"/>
        <w:ind w:firstLine="480"/>
        <w:jc w:val="left"/>
      </w:pPr>
      <w:r>
        <w:rPr>
          <w:rFonts w:ascii="宋体" w:hAnsi="宋体" w:eastAsia="宋体" w:cs="宋体"/>
          <w:sz w:val="24"/>
        </w:rPr>
        <w:t>十六、惊厥性癫痫持续状态主要诊断ICD-10 编码：G41.0，G41.8，G41.9 的出院患者</w:t>
      </w:r>
    </w:p>
    <w:p>
      <w:pPr>
        <w:pStyle w:val="4"/>
        <w:spacing w:before="60" w:after="60"/>
        <w:ind w:firstLine="480"/>
        <w:jc w:val="left"/>
      </w:pPr>
      <w:r>
        <w:rPr>
          <w:rFonts w:ascii="宋体" w:hAnsi="宋体" w:eastAsia="宋体" w:cs="宋体"/>
          <w:sz w:val="24"/>
        </w:rPr>
        <w:t>十七、帕金森病主要诊断ICD-10 编码：G20.x00 的出院患者</w:t>
      </w:r>
    </w:p>
    <w:p>
      <w:pPr>
        <w:pStyle w:val="4"/>
        <w:spacing w:before="60" w:after="60"/>
        <w:ind w:firstLine="480"/>
        <w:jc w:val="left"/>
      </w:pPr>
      <w:r>
        <w:rPr>
          <w:rFonts w:ascii="宋体" w:hAnsi="宋体" w:eastAsia="宋体" w:cs="宋体"/>
          <w:sz w:val="24"/>
        </w:rPr>
        <w:t>十八、社区获得性肺炎（成人，首次住院）主要诊断ICD-10 编码：J13 至 J16，J18；年龄≥18 岁的出院患者</w:t>
      </w:r>
    </w:p>
    <w:p>
      <w:pPr>
        <w:pStyle w:val="4"/>
        <w:spacing w:before="60" w:after="60"/>
        <w:ind w:firstLine="480"/>
        <w:jc w:val="left"/>
      </w:pPr>
      <w:r>
        <w:rPr>
          <w:rFonts w:ascii="宋体" w:hAnsi="宋体" w:eastAsia="宋体" w:cs="宋体"/>
          <w:sz w:val="24"/>
        </w:rPr>
        <w:t>十九、社区获得性肺炎（儿童，首次住院）主要诊断ICD-10 编码：J13 至 J16，J18；2 岁≤年龄＜18 岁的出院患儿</w:t>
      </w:r>
    </w:p>
    <w:p>
      <w:pPr>
        <w:pStyle w:val="4"/>
        <w:spacing w:before="60" w:after="60"/>
        <w:ind w:firstLine="480"/>
        <w:jc w:val="left"/>
      </w:pPr>
      <w:r>
        <w:rPr>
          <w:rFonts w:ascii="宋体" w:hAnsi="宋体" w:eastAsia="宋体" w:cs="宋体"/>
          <w:sz w:val="24"/>
        </w:rPr>
        <w:t>二十、慢性阻塞性肺疾病（急性发作，住院）主要诊断ICD-10 编码：J44.0，J44.1 的出院患者</w:t>
      </w:r>
    </w:p>
    <w:p>
      <w:pPr>
        <w:pStyle w:val="4"/>
        <w:spacing w:before="60" w:after="60"/>
        <w:ind w:firstLine="480"/>
        <w:jc w:val="left"/>
      </w:pPr>
      <w:r>
        <w:rPr>
          <w:rFonts w:ascii="宋体" w:hAnsi="宋体" w:eastAsia="宋体" w:cs="宋体"/>
          <w:sz w:val="24"/>
        </w:rPr>
        <w:t>二十一、哮喘（成人，急性发作，住院）主要诊断ICD-10 编码：J45，J46；年龄≥18 岁的出院患者</w:t>
      </w:r>
    </w:p>
    <w:p>
      <w:pPr>
        <w:pStyle w:val="4"/>
        <w:spacing w:before="60" w:after="60"/>
        <w:ind w:firstLine="480"/>
        <w:jc w:val="left"/>
      </w:pPr>
      <w:r>
        <w:rPr>
          <w:rFonts w:ascii="宋体" w:hAnsi="宋体" w:eastAsia="宋体" w:cs="宋体"/>
          <w:sz w:val="24"/>
        </w:rPr>
        <w:t>二十二、哮喘（儿童，住院）主要诊断ICD-10 编码：J45，J46；2 岁≤年龄＜18 岁的出院患儿</w:t>
      </w:r>
    </w:p>
    <w:p>
      <w:pPr>
        <w:pStyle w:val="4"/>
        <w:spacing w:before="60" w:after="60"/>
        <w:ind w:firstLine="480"/>
        <w:jc w:val="left"/>
      </w:pPr>
      <w:r>
        <w:rPr>
          <w:rFonts w:ascii="宋体" w:hAnsi="宋体" w:eastAsia="宋体" w:cs="宋体"/>
          <w:sz w:val="24"/>
        </w:rPr>
        <w:t>二十三、髋关节置换术主要手术ICD-9-CM-3 编码：00.7，81.51 至 81.53 的手术出院患者</w:t>
      </w:r>
    </w:p>
    <w:p>
      <w:pPr>
        <w:pStyle w:val="4"/>
        <w:spacing w:before="60" w:after="60"/>
        <w:ind w:firstLine="480"/>
        <w:jc w:val="left"/>
      </w:pPr>
      <w:r>
        <w:rPr>
          <w:rFonts w:ascii="宋体" w:hAnsi="宋体" w:eastAsia="宋体" w:cs="宋体"/>
          <w:sz w:val="24"/>
        </w:rPr>
        <w:t>二十四、膝关节置换术主要手术ICD-9-CM-3 编码：00.80 至 00.83，81.54，81.55 的手术出院患者</w:t>
      </w:r>
    </w:p>
    <w:p>
      <w:pPr>
        <w:pStyle w:val="4"/>
        <w:spacing w:before="60" w:after="60"/>
        <w:ind w:firstLine="480"/>
        <w:jc w:val="left"/>
      </w:pPr>
      <w:r>
        <w:rPr>
          <w:rFonts w:ascii="宋体" w:hAnsi="宋体" w:eastAsia="宋体" w:cs="宋体"/>
          <w:sz w:val="24"/>
        </w:rPr>
        <w:t>二十五、发育性髋关节发育不良（手术治疗）主要诊断ICD-10 编码：Q65.0 至 Q65.6，Q65.8，Q65.9,且伴主要手术 ICD-9-CM-3 编码: 79.85，77.25，77.29；1 岁≤年龄≤8 岁（旧称先天性髋关节脱位）的手术出院患儿</w:t>
      </w:r>
    </w:p>
    <w:p>
      <w:pPr>
        <w:pStyle w:val="4"/>
        <w:spacing w:before="60" w:after="60"/>
        <w:ind w:firstLine="480"/>
        <w:jc w:val="left"/>
      </w:pPr>
      <w:r>
        <w:rPr>
          <w:rFonts w:ascii="宋体" w:hAnsi="宋体" w:eastAsia="宋体" w:cs="宋体"/>
          <w:sz w:val="24"/>
        </w:rPr>
        <w:t>二十六、剖宫产主要手术ICD-9-CM-3 编码：74.0，74.1，74.2，74.4，74.99 的手术出院患者 243</w:t>
      </w:r>
    </w:p>
    <w:p>
      <w:pPr>
        <w:pStyle w:val="4"/>
        <w:spacing w:before="60" w:after="60"/>
        <w:ind w:firstLine="480"/>
        <w:jc w:val="left"/>
      </w:pPr>
      <w:r>
        <w:rPr>
          <w:rFonts w:ascii="宋体" w:hAnsi="宋体" w:eastAsia="宋体" w:cs="宋体"/>
          <w:sz w:val="24"/>
        </w:rPr>
        <w:t>二十七、异位妊娠（手术治疗）主要诊断ICD-10 编码：O00 开头，且伴主要手术 ICD-9-CM-3 编码： 66.01，66.02，66.62，66.95，74.30 的手术出院患者</w:t>
      </w:r>
    </w:p>
    <w:p>
      <w:pPr>
        <w:pStyle w:val="4"/>
        <w:spacing w:before="60" w:after="60"/>
        <w:ind w:firstLine="480"/>
        <w:jc w:val="left"/>
      </w:pPr>
      <w:r>
        <w:rPr>
          <w:rFonts w:ascii="宋体" w:hAnsi="宋体" w:eastAsia="宋体" w:cs="宋体"/>
          <w:sz w:val="24"/>
        </w:rPr>
        <w:t>二十八、子宫肌瘤（手术治疗）主要诊断ICD-10 编码与名称：D25 开头，且伴主要手术 ICD-9-CM-3 编码：68.29，68.3 至 68.5，68.9 的手术出院患者</w:t>
      </w:r>
    </w:p>
    <w:p>
      <w:pPr>
        <w:pStyle w:val="4"/>
        <w:spacing w:before="60" w:after="60"/>
        <w:ind w:firstLine="480"/>
        <w:jc w:val="left"/>
      </w:pPr>
      <w:r>
        <w:rPr>
          <w:rFonts w:ascii="宋体" w:hAnsi="宋体" w:eastAsia="宋体" w:cs="宋体"/>
          <w:sz w:val="24"/>
        </w:rPr>
        <w:t>二十九、肺癌（手术治疗）主要诊断ICD-10 编码：C34 开头，且伴主要手术 ICD-9-CM-3 编码： 32.2 至 32.6，32.9 的手术出院患者</w:t>
      </w:r>
    </w:p>
    <w:p>
      <w:pPr>
        <w:pStyle w:val="4"/>
        <w:spacing w:before="60" w:after="60"/>
        <w:ind w:firstLine="480"/>
        <w:jc w:val="left"/>
      </w:pPr>
      <w:r>
        <w:rPr>
          <w:rFonts w:ascii="宋体" w:hAnsi="宋体" w:eastAsia="宋体" w:cs="宋体"/>
          <w:sz w:val="24"/>
        </w:rPr>
        <w:t>三十、甲状腺癌（手术治疗）主要诊断ICD-10 编码：C73 开头，且伴主要手术操作 ICD-9-CM-3 编码：06.2 至 06.5 的手术出院患者</w:t>
      </w:r>
    </w:p>
    <w:p>
      <w:pPr>
        <w:pStyle w:val="4"/>
        <w:spacing w:before="60" w:after="60"/>
        <w:ind w:firstLine="480"/>
        <w:jc w:val="left"/>
      </w:pPr>
      <w:r>
        <w:rPr>
          <w:rFonts w:ascii="宋体" w:hAnsi="宋体" w:eastAsia="宋体" w:cs="宋体"/>
          <w:sz w:val="24"/>
        </w:rPr>
        <w:t>三十一、乳腺癌（手术治疗）主要诊断ICD-10 编码：C50 开头，且伴主要手术 ICD-9-CM-3 编码： 85.2 至 85.4 的手术出院患者</w:t>
      </w:r>
    </w:p>
    <w:p>
      <w:pPr>
        <w:pStyle w:val="4"/>
        <w:spacing w:before="60" w:after="60"/>
        <w:ind w:firstLine="480"/>
        <w:jc w:val="left"/>
      </w:pPr>
      <w:r>
        <w:rPr>
          <w:rFonts w:ascii="宋体" w:hAnsi="宋体" w:eastAsia="宋体" w:cs="宋体"/>
          <w:sz w:val="24"/>
        </w:rPr>
        <w:t>三十二、胃癌（手术治疗）主要诊断ICD-10 编码：C16 开头，且伴主要手术 ICD-9-CM-3 编码： 43.4 至 43.9 的手术出院患者</w:t>
      </w:r>
    </w:p>
    <w:p>
      <w:pPr>
        <w:pStyle w:val="4"/>
        <w:spacing w:before="60" w:after="60"/>
        <w:ind w:firstLine="480"/>
        <w:jc w:val="left"/>
      </w:pPr>
      <w:r>
        <w:rPr>
          <w:rFonts w:ascii="宋体" w:hAnsi="宋体" w:eastAsia="宋体" w:cs="宋体"/>
          <w:sz w:val="24"/>
        </w:rPr>
        <w:t>三十三、结肠癌（手术治疗）主要诊断ICD-10 编码：C18，D01.0；且伴主要手术操作 ICD-9-CM-3 编码：45.4, 45.73 至 45.79,45.8 的手术出院患者</w:t>
      </w:r>
    </w:p>
    <w:p>
      <w:pPr>
        <w:pStyle w:val="4"/>
        <w:spacing w:before="60" w:after="60"/>
        <w:ind w:firstLine="480"/>
        <w:jc w:val="left"/>
      </w:pPr>
      <w:r>
        <w:rPr>
          <w:rFonts w:ascii="宋体" w:hAnsi="宋体" w:eastAsia="宋体" w:cs="宋体"/>
          <w:sz w:val="24"/>
        </w:rPr>
        <w:t>三十四、宫颈癌（手术治疗）主要诊断ICD-10 编码：C53 开头，且伴主要手术 ICD-9-CM-3 编码： 67.2 至 67.4，68.4 至 68.7 的手术出院患者</w:t>
      </w:r>
    </w:p>
    <w:p>
      <w:pPr>
        <w:pStyle w:val="4"/>
        <w:spacing w:before="60" w:after="60"/>
        <w:ind w:firstLine="480"/>
        <w:jc w:val="left"/>
      </w:pPr>
      <w:r>
        <w:rPr>
          <w:rFonts w:ascii="宋体" w:hAnsi="宋体" w:eastAsia="宋体" w:cs="宋体"/>
          <w:sz w:val="24"/>
        </w:rPr>
        <w:t>三十五、糖尿病肾病主要诊断和其他诊断ICD-10 编码：E10 至 E14，且伴主要操作 ICD-9- CM-3 编码：55.23 的非产妇出院患者</w:t>
      </w:r>
    </w:p>
    <w:p>
      <w:pPr>
        <w:pStyle w:val="4"/>
        <w:spacing w:before="60" w:after="60"/>
        <w:ind w:firstLine="480"/>
        <w:jc w:val="left"/>
      </w:pPr>
      <w:r>
        <w:rPr>
          <w:rFonts w:ascii="宋体" w:hAnsi="宋体" w:eastAsia="宋体" w:cs="宋体"/>
          <w:sz w:val="24"/>
        </w:rPr>
        <w:t>三十六、终末期肾病血液透析主要诊断ICD-10 编码：N18.0，且伴主要操作 ICD-9-CM-3 编码：38.95， 39.27，39.42，39.95 的血液透析患者</w:t>
      </w:r>
    </w:p>
    <w:p>
      <w:pPr>
        <w:pStyle w:val="4"/>
        <w:spacing w:before="60" w:after="60"/>
        <w:ind w:firstLine="480"/>
        <w:jc w:val="left"/>
      </w:pPr>
      <w:r>
        <w:rPr>
          <w:rFonts w:ascii="宋体" w:hAnsi="宋体" w:eastAsia="宋体" w:cs="宋体"/>
          <w:sz w:val="24"/>
        </w:rPr>
        <w:t>三十七、终末期肾病腹膜透析244 主要诊断 ICD-10 编码：N18.0，且伴主要操作 ICD-9-CM-3 编码：54.98 的腹膜透析患者</w:t>
      </w:r>
    </w:p>
    <w:p>
      <w:pPr>
        <w:pStyle w:val="4"/>
        <w:spacing w:before="60" w:after="60"/>
        <w:ind w:firstLine="480"/>
        <w:jc w:val="left"/>
      </w:pPr>
      <w:r>
        <w:rPr>
          <w:rFonts w:ascii="宋体" w:hAnsi="宋体" w:eastAsia="宋体" w:cs="宋体"/>
          <w:sz w:val="24"/>
        </w:rPr>
        <w:t>三十八、舌鳞状细胞癌（手术治疗）主要诊断ICD-10 编码：C01，C02，且伴主要手术 ICD-9-CM-3 编码： 25.1 至 25.4，40.4 的手术出院患者</w:t>
      </w:r>
    </w:p>
    <w:p>
      <w:pPr>
        <w:pStyle w:val="4"/>
        <w:spacing w:before="60" w:after="60"/>
        <w:ind w:firstLine="480"/>
        <w:jc w:val="left"/>
      </w:pPr>
      <w:r>
        <w:rPr>
          <w:rFonts w:ascii="宋体" w:hAnsi="宋体" w:eastAsia="宋体" w:cs="宋体"/>
          <w:sz w:val="24"/>
        </w:rPr>
        <w:t>三十九、腮腺肿瘤（手术治疗）主要诊断ICD-10 编码：D11.0，且伴主要手术 ICD-9-CM-3 编码：26.2， 26.3 伴 04.42 的手术出院患者</w:t>
      </w:r>
    </w:p>
    <w:p>
      <w:pPr>
        <w:pStyle w:val="4"/>
        <w:spacing w:before="60" w:after="60"/>
        <w:ind w:firstLine="480"/>
        <w:jc w:val="left"/>
      </w:pPr>
      <w:r>
        <w:rPr>
          <w:rFonts w:ascii="宋体" w:hAnsi="宋体" w:eastAsia="宋体" w:cs="宋体"/>
          <w:sz w:val="24"/>
        </w:rPr>
        <w:t>四十、口腔种植术主要手术ICD-9-CM-3 编码：23.5，23.6 的门诊或者 76.09，76.91， 76.92，22.79 的手术出院患者</w:t>
      </w:r>
    </w:p>
    <w:p>
      <w:pPr>
        <w:pStyle w:val="4"/>
        <w:spacing w:before="60" w:after="60"/>
        <w:ind w:firstLine="480"/>
        <w:jc w:val="left"/>
      </w:pPr>
      <w:r>
        <w:rPr>
          <w:rFonts w:ascii="宋体" w:hAnsi="宋体" w:eastAsia="宋体" w:cs="宋体"/>
          <w:sz w:val="24"/>
        </w:rPr>
        <w:t>四十一、原发性急性闭角型青光眼（手术治疗）主要诊断ICD-10 编码：H26.2，H40.0，H40.2，H40.9 且伴主要手术 ICD-9-CM-3 编码：10.1，10.49，10.6，10.91，10.99，12.11，12.12，12.64， 12.66，12.67，12.71 至 12.73，12.79，12.83，12.85，12.87，12.91， 12.92，12.99，13.19，13.3，13.41，13.59，13.70，13.71，13.90，14.73， 14.74，14.79 的手术出院患者</w:t>
      </w:r>
    </w:p>
    <w:p>
      <w:pPr>
        <w:pStyle w:val="4"/>
        <w:spacing w:before="60" w:after="60"/>
        <w:ind w:firstLine="480"/>
        <w:jc w:val="left"/>
      </w:pPr>
      <w:r>
        <w:rPr>
          <w:rFonts w:ascii="宋体" w:hAnsi="宋体" w:eastAsia="宋体" w:cs="宋体"/>
          <w:sz w:val="24"/>
        </w:rPr>
        <w:t>四十二、复杂性视网膜脱离（手术治疗）主要诊断ICD-10 编码：E10.3，E11.3，E14.3，H33.0 至 H33.5，H59.8，且伴主要手术 ICD-9-CM-3 编码：13.19，13.3，13.41，13.42，13.43，13.59， 13.64，13.65，13.69，13.70，13.71，13.73，13.8，13.90，14.29，14.31， 14.49，14.51，14.52，14.53，14.54，14.59，14.71，14.72，14.73，14.75， 14.9 的手术出院患者</w:t>
      </w:r>
    </w:p>
    <w:p>
      <w:pPr>
        <w:pStyle w:val="4"/>
        <w:spacing w:before="60" w:after="60"/>
        <w:ind w:firstLine="480"/>
        <w:jc w:val="left"/>
      </w:pPr>
      <w:r>
        <w:rPr>
          <w:rFonts w:ascii="宋体" w:hAnsi="宋体" w:eastAsia="宋体" w:cs="宋体"/>
          <w:sz w:val="24"/>
        </w:rPr>
        <w:t>四十三、围手术期预防感染主要手术ICD-9-CM-3 编码如下的手术出院患者：1.甲状腺叶切除术：06.2 至 06.5 2.膝半月软骨切除术：80.6 3.晶状体相关手术：13.0 至 13.9 4.腹股沟疝相关手术：17.11 至 17.13，17.21 至 17.24，53.00 至 53.17 5.乳房组织相关手术：85.2 至 85.4 6.动脉内膜切除术：38.1 245 7.足和踝关节固定术和关节制动术：81.1 8.其他颅骨切开术：01.24 9.椎间盘切除术或破坏术：80.50 至 80.59 10.骨折切开复位+内固定术：03.53，21.72，76.72 至 76.79，79.30 至 79.39 11.关节脱位切开复位内固定术：76.94，79.8 12.骨内固定不伴骨折复位术及置入装置去除：78.5 至 78.6 13.卵巢相关手术：65.2 至 65.6 14.肌腱相关手术：83.11 至 83.14 15.睾丸相关手术：62.0 至 62.9 16.阴茎相关手术：64.0 至 64.4 17.室间隔缺损修补术：35.62 18.房间隔缺损修补术：35.61 19.髋关节置换术：00.7，81.51 至 81.53 20.膝关节置换术：00.80 至 00.83，81.54，81.55 21.冠状动脉旁路移植术：36.1 22.剖宫产：74.0，74.1，74.2，74.4，74.99</w:t>
      </w:r>
    </w:p>
    <w:p>
      <w:pPr>
        <w:pStyle w:val="4"/>
        <w:spacing w:before="60" w:after="60"/>
        <w:ind w:firstLine="480"/>
        <w:jc w:val="left"/>
      </w:pPr>
      <w:r>
        <w:rPr>
          <w:rFonts w:ascii="宋体" w:hAnsi="宋体" w:eastAsia="宋体" w:cs="宋体"/>
          <w:sz w:val="24"/>
        </w:rPr>
        <w:t>四十四、围手术期预防深静脉血栓栓塞主要手术ICD-9-CM-3 编码如下的手术出院患者： 1.闭合性心脏瓣膜切开术：35.00 至 35.04 2.心脏瓣膜切开和其他置换术：35.20 至 35.28 3.脊柱颈融合术：81.04 至 81.08 4.脊柱再融合术：81.34 至 81.38 5.胃部分切除术伴胃十二指肠吻合术：43.6 6.胃部分切除术伴胃空肠吻合术：43.7 7.其他胃部分切除术：43.8 8.胃全部切除术：43.9 9.开放性和其他部分大肠切除术：45.7 10.腹会阴直肠切除术：48.5 11.直肠其他切除术：48.6 12.肝叶切除术：50.3 246 13.部分肾切除术：55.4 14.全部肾切除术：55.5 15.部分膀胱切除术：57.6 16.全部膀胱切除术：57.7 17.卵巢病损或卵巢组织的局部切除术或破坏术：65.2 18.单侧卵巢切除术：65.3 19.单侧输卵管-卵巢切除术：65.4 20.双侧卵巢切除术：65.5 21.双侧输卵管-卵巢切除术：65.6 22.子宫病损或组织的切除术或破坏术：68.2 23.经腹子宫次全切除术：68.3 24.经腹子宫全部切除术：68.4 25.阴道子宫切除术：68.5 26.经腹根治性子宫切除术：68.6 27.根治性阴道子宫切除术：68.7 28.盆腔脏器去除术：68.8 29.髋关节置换术：00.7，81.51 至 81.53 30.膝关节置换术：00.80 至 00.83，81.54，81.55 31.冠状动脉旁路移植术：36.1</w:t>
      </w:r>
    </w:p>
    <w:p>
      <w:pPr>
        <w:pStyle w:val="4"/>
        <w:spacing w:before="60" w:after="60"/>
        <w:ind w:firstLine="480"/>
        <w:jc w:val="left"/>
      </w:pPr>
      <w:r>
        <w:rPr>
          <w:rFonts w:ascii="宋体" w:hAnsi="宋体" w:eastAsia="宋体" w:cs="宋体"/>
          <w:sz w:val="24"/>
        </w:rPr>
        <w:t>四十五、住院精神疾病主要诊断ICD-10 编码：F00-F99 的出院患者</w:t>
      </w:r>
    </w:p>
    <w:p>
      <w:pPr>
        <w:pStyle w:val="4"/>
        <w:spacing w:before="60" w:after="60"/>
        <w:ind w:firstLine="480"/>
        <w:jc w:val="left"/>
      </w:pPr>
      <w:r>
        <w:rPr>
          <w:rFonts w:ascii="宋体" w:hAnsi="宋体" w:eastAsia="宋体" w:cs="宋体"/>
          <w:sz w:val="24"/>
        </w:rPr>
        <w:t>四十六、中高危风险患者预防静脉血栓栓塞症需要落实预防静脉血栓措施的重点患者：1.入住 ICU 的患者 2.中高危风险患者</w:t>
      </w:r>
    </w:p>
    <w:p>
      <w:pPr>
        <w:pStyle w:val="4"/>
        <w:spacing w:before="60" w:after="60"/>
        <w:ind w:firstLine="480"/>
        <w:jc w:val="left"/>
      </w:pPr>
      <w:r>
        <w:rPr>
          <w:rFonts w:ascii="宋体" w:hAnsi="宋体" w:eastAsia="宋体" w:cs="宋体"/>
          <w:sz w:val="24"/>
        </w:rPr>
        <w:t>四十七、感染性休克早期治疗主要诊断/其他诊断 ICD-10 编码：A02.1，A22.7，A32.7，A40.1 至 A40.9， A41.0 至 A41.9，A42.7，A54.8，B37.7，R57.2 的出院患者</w:t>
      </w:r>
    </w:p>
    <w:p>
      <w:pPr>
        <w:pStyle w:val="4"/>
        <w:spacing w:before="60" w:after="60"/>
        <w:ind w:firstLine="480"/>
        <w:jc w:val="left"/>
      </w:pPr>
      <w:r>
        <w:rPr>
          <w:rFonts w:ascii="宋体" w:hAnsi="宋体" w:eastAsia="宋体" w:cs="宋体"/>
          <w:sz w:val="24"/>
        </w:rPr>
        <w:t>四十八、儿童急性淋巴细胞白血病（初始诱导化疗）主要诊断ICD-10 编码：C91.0，且伴主要操作 ICD-9-CM-3 编码：99.25 的出院患儿 247</w:t>
      </w:r>
    </w:p>
    <w:p>
      <w:pPr>
        <w:pStyle w:val="4"/>
        <w:spacing w:before="60" w:after="60"/>
        <w:ind w:firstLine="480"/>
        <w:jc w:val="left"/>
      </w:pPr>
      <w:r>
        <w:rPr>
          <w:rFonts w:ascii="宋体" w:hAnsi="宋体" w:eastAsia="宋体" w:cs="宋体"/>
          <w:sz w:val="24"/>
        </w:rPr>
        <w:t>四十九、儿童急性早幼粒细胞白血病（初始化疗）主要诊断ICD-10 编码：C92.4，且伴主要操作 ICD-9-CM-3 编码：99.25 的出院患儿</w:t>
      </w:r>
    </w:p>
    <w:p>
      <w:pPr>
        <w:pStyle w:val="4"/>
        <w:spacing w:before="60" w:after="60"/>
        <w:ind w:firstLine="480"/>
        <w:jc w:val="left"/>
      </w:pPr>
      <w:r>
        <w:rPr>
          <w:rFonts w:ascii="宋体" w:hAnsi="宋体" w:eastAsia="宋体" w:cs="宋体"/>
          <w:sz w:val="24"/>
        </w:rPr>
        <w:t>五十、甲状腺结节（手术治疗）主要诊断ICD-10 编码：D34，E04.0，E04.1，E04.2，且伴主要手术 ICD9-CM-3 编码：06.2 至 06.5 的手术出院患者</w:t>
      </w:r>
    </w:p>
    <w:p>
      <w:pPr>
        <w:pStyle w:val="4"/>
        <w:spacing w:before="60" w:after="60"/>
        <w:ind w:firstLine="480"/>
        <w:jc w:val="left"/>
      </w:pPr>
      <w:r>
        <w:rPr>
          <w:rFonts w:ascii="宋体" w:hAnsi="宋体" w:eastAsia="宋体" w:cs="宋体"/>
          <w:sz w:val="24"/>
        </w:rPr>
        <w:t>五十一、HBV 感染分娩母婴阻断主要诊断 ICD-10 编码：O98.4，Z22.5+O80 至 O84+Z37；且伴①阴道分娩操作 ICD-9-CM-3 编码 72.0 至 72.9，73.0，73.1，73.21，73.4 至 73.6， 73.9；或②剖宫产手术 ICD 9-CM-3 编码：74.0，74.1，74.2，74.4，74.99 的出院患者</w:t>
      </w:r>
    </w:p>
    <w:p>
      <w:pPr>
        <w:pStyle w:val="4"/>
        <w:spacing w:before="60" w:after="60"/>
        <w:jc w:val="left"/>
      </w:pPr>
      <w:r>
        <w:rPr>
          <w:rFonts w:ascii="宋体" w:hAnsi="宋体" w:eastAsia="宋体" w:cs="宋体"/>
          <w:b/>
          <w:sz w:val="24"/>
        </w:rPr>
        <w:t>2.2.7  重点医疗技术临床应用质控指标监测分析</w:t>
      </w:r>
    </w:p>
    <w:p>
      <w:pPr>
        <w:pStyle w:val="4"/>
        <w:spacing w:before="60" w:after="60"/>
        <w:ind w:firstLine="480"/>
        <w:jc w:val="left"/>
      </w:pPr>
      <w:r>
        <w:rPr>
          <w:rFonts w:ascii="宋体" w:hAnsi="宋体" w:eastAsia="宋体" w:cs="宋体"/>
          <w:color w:val="000000"/>
          <w:sz w:val="24"/>
        </w:rPr>
        <w:t>医院开展的重点医疗技术指标支持从病历文本、医嘱信息、检验检查报告等中自动抓取相关数据。重点医疗技术</w:t>
      </w:r>
      <w:r>
        <w:rPr>
          <w:rFonts w:ascii="宋体" w:hAnsi="宋体" w:eastAsia="宋体" w:cs="宋体"/>
          <w:sz w:val="24"/>
        </w:rPr>
        <w:t>指标自动统计率平均&gt;85%</w:t>
      </w:r>
      <w:r>
        <w:rPr>
          <w:rFonts w:ascii="宋体" w:hAnsi="宋体" w:eastAsia="宋体" w:cs="宋体"/>
          <w:color w:val="000000"/>
          <w:sz w:val="24"/>
        </w:rPr>
        <w:t>。无法提取的内容进</w:t>
      </w:r>
      <w:r>
        <w:rPr>
          <w:rFonts w:ascii="宋体" w:hAnsi="宋体" w:eastAsia="宋体" w:cs="宋体"/>
          <w:sz w:val="24"/>
        </w:rPr>
        <w:t>行手工填报，页面支持提供用户当前未填写数量提示。</w:t>
      </w:r>
    </w:p>
    <w:p>
      <w:pPr>
        <w:pStyle w:val="4"/>
        <w:jc w:val="left"/>
      </w:pPr>
      <w:r>
        <w:rPr>
          <w:rFonts w:ascii="宋体" w:hAnsi="宋体" w:eastAsia="宋体" w:cs="宋体"/>
          <w:sz w:val="24"/>
        </w:rPr>
        <w:t>指标内容包含：</w:t>
      </w:r>
    </w:p>
    <w:p>
      <w:pPr>
        <w:pStyle w:val="4"/>
        <w:jc w:val="left"/>
      </w:pPr>
      <w:r>
        <w:rPr>
          <w:b/>
        </w:rPr>
        <w:t xml:space="preserve"> </w:t>
      </w:r>
      <w:r>
        <w:rPr>
          <w:rFonts w:ascii="宋体" w:hAnsi="宋体" w:eastAsia="宋体" w:cs="宋体"/>
          <w:b/>
          <w:sz w:val="24"/>
        </w:rPr>
        <w:t>2.2.7.1  国家限制类医疗技术</w:t>
      </w:r>
    </w:p>
    <w:p>
      <w:pPr>
        <w:pStyle w:val="4"/>
        <w:spacing w:before="60" w:after="60"/>
        <w:ind w:firstLine="480"/>
        <w:jc w:val="left"/>
      </w:pPr>
      <w:r>
        <w:rPr>
          <w:rFonts w:ascii="宋体" w:hAnsi="宋体" w:eastAsia="宋体" w:cs="宋体"/>
          <w:sz w:val="24"/>
        </w:rPr>
        <w:t>（一）异基因造血干细胞移植技术临床应用质量控制指标</w:t>
      </w:r>
    </w:p>
    <w:p>
      <w:pPr>
        <w:pStyle w:val="4"/>
        <w:spacing w:before="60" w:after="60"/>
        <w:ind w:firstLine="480"/>
        <w:jc w:val="left"/>
      </w:pPr>
      <w:r>
        <w:rPr>
          <w:rFonts w:ascii="宋体" w:hAnsi="宋体" w:eastAsia="宋体" w:cs="宋体"/>
          <w:sz w:val="24"/>
        </w:rPr>
        <w:t>（二）同种胰岛移植技术临床应用质量控制指标</w:t>
      </w:r>
    </w:p>
    <w:p>
      <w:pPr>
        <w:pStyle w:val="4"/>
        <w:spacing w:before="60" w:after="60"/>
        <w:ind w:firstLine="480"/>
        <w:jc w:val="left"/>
      </w:pPr>
      <w:r>
        <w:rPr>
          <w:rFonts w:ascii="宋体" w:hAnsi="宋体" w:eastAsia="宋体" w:cs="宋体"/>
          <w:sz w:val="24"/>
        </w:rPr>
        <w:t>（三）同种异体运动系统结构性组织移植技术临床应用质量控制指标</w:t>
      </w:r>
    </w:p>
    <w:p>
      <w:pPr>
        <w:pStyle w:val="4"/>
        <w:spacing w:before="60" w:after="60"/>
        <w:ind w:firstLine="480"/>
        <w:jc w:val="left"/>
      </w:pPr>
      <w:r>
        <w:rPr>
          <w:rFonts w:ascii="宋体" w:hAnsi="宋体" w:eastAsia="宋体" w:cs="宋体"/>
          <w:sz w:val="24"/>
        </w:rPr>
        <w:t>（四）同种异体角膜移植技术临床应用质量控制指标</w:t>
      </w:r>
    </w:p>
    <w:p>
      <w:pPr>
        <w:pStyle w:val="4"/>
        <w:spacing w:before="60" w:after="60"/>
        <w:ind w:firstLine="480"/>
        <w:jc w:val="left"/>
      </w:pPr>
      <w:r>
        <w:rPr>
          <w:rFonts w:ascii="宋体" w:hAnsi="宋体" w:eastAsia="宋体" w:cs="宋体"/>
          <w:sz w:val="24"/>
        </w:rPr>
        <w:t>（五）性别重置技术临床应用质量控制指标</w:t>
      </w:r>
    </w:p>
    <w:p>
      <w:pPr>
        <w:pStyle w:val="4"/>
        <w:spacing w:before="60" w:after="60"/>
        <w:ind w:firstLine="480"/>
        <w:jc w:val="left"/>
      </w:pPr>
      <w:r>
        <w:rPr>
          <w:rFonts w:ascii="宋体" w:hAnsi="宋体" w:eastAsia="宋体" w:cs="宋体"/>
          <w:sz w:val="24"/>
        </w:rPr>
        <w:t>（六）质子和重离子加速器放射治疗技术临床应用质量控制指标</w:t>
      </w:r>
    </w:p>
    <w:p>
      <w:pPr>
        <w:pStyle w:val="4"/>
        <w:spacing w:before="60" w:after="60"/>
        <w:ind w:firstLine="480"/>
        <w:jc w:val="left"/>
      </w:pPr>
      <w:r>
        <w:rPr>
          <w:rFonts w:ascii="宋体" w:hAnsi="宋体" w:eastAsia="宋体" w:cs="宋体"/>
          <w:sz w:val="24"/>
        </w:rPr>
        <w:t>（七）放射性粒子植入治疗技术临床应用质量控制指标</w:t>
      </w:r>
    </w:p>
    <w:p>
      <w:pPr>
        <w:pStyle w:val="4"/>
        <w:spacing w:before="60" w:after="60"/>
        <w:ind w:firstLine="480"/>
        <w:jc w:val="left"/>
      </w:pPr>
      <w:r>
        <w:rPr>
          <w:rFonts w:ascii="宋体" w:hAnsi="宋体" w:eastAsia="宋体" w:cs="宋体"/>
          <w:sz w:val="24"/>
        </w:rPr>
        <w:t>（八）肿瘤消融治疗技术临床应用质量控制指标</w:t>
      </w:r>
    </w:p>
    <w:p>
      <w:pPr>
        <w:pStyle w:val="4"/>
        <w:spacing w:before="60" w:after="60"/>
        <w:ind w:firstLine="480"/>
        <w:jc w:val="left"/>
      </w:pPr>
      <w:r>
        <w:rPr>
          <w:rFonts w:ascii="宋体" w:hAnsi="宋体" w:eastAsia="宋体" w:cs="宋体"/>
          <w:sz w:val="24"/>
        </w:rPr>
        <w:t>（九）心室辅助技术临床应用质量控制指标</w:t>
      </w:r>
    </w:p>
    <w:p>
      <w:pPr>
        <w:pStyle w:val="4"/>
        <w:spacing w:before="60" w:after="60"/>
        <w:ind w:firstLine="480"/>
        <w:jc w:val="left"/>
      </w:pPr>
      <w:r>
        <w:rPr>
          <w:rFonts w:ascii="宋体" w:hAnsi="宋体" w:eastAsia="宋体" w:cs="宋体"/>
          <w:sz w:val="24"/>
        </w:rPr>
        <w:t>（十）人工智能辅助治疗技术临床应用质量控制指标</w:t>
      </w:r>
    </w:p>
    <w:p>
      <w:pPr>
        <w:pStyle w:val="4"/>
        <w:spacing w:before="60" w:after="60"/>
        <w:ind w:firstLine="480"/>
        <w:jc w:val="left"/>
      </w:pPr>
      <w:r>
        <w:rPr>
          <w:rFonts w:ascii="宋体" w:hAnsi="宋体" w:eastAsia="宋体" w:cs="宋体"/>
          <w:sz w:val="24"/>
        </w:rPr>
        <w:t>（十一）体外膜肺氧合（ECMO）技术临床应用质量控制指标</w:t>
      </w:r>
    </w:p>
    <w:p>
      <w:pPr>
        <w:pStyle w:val="4"/>
        <w:spacing w:before="60" w:after="60"/>
        <w:ind w:firstLine="480"/>
        <w:jc w:val="left"/>
      </w:pPr>
      <w:r>
        <w:rPr>
          <w:rFonts w:ascii="宋体" w:hAnsi="宋体" w:eastAsia="宋体" w:cs="宋体"/>
          <w:sz w:val="24"/>
        </w:rPr>
        <w:t>（十二）自体器官移植技术临床应用质量控制指标</w:t>
      </w:r>
    </w:p>
    <w:p>
      <w:pPr>
        <w:pStyle w:val="4"/>
        <w:spacing w:before="60" w:after="60"/>
        <w:jc w:val="left"/>
      </w:pPr>
      <w:r>
        <w:rPr>
          <w:rFonts w:ascii="宋体" w:hAnsi="宋体" w:eastAsia="宋体" w:cs="宋体"/>
          <w:b/>
          <w:sz w:val="24"/>
        </w:rPr>
        <w:t>2.2.7.2人体器官捐献、获取与移植技术</w:t>
      </w:r>
    </w:p>
    <w:p>
      <w:pPr>
        <w:pStyle w:val="4"/>
        <w:spacing w:before="60" w:after="60"/>
        <w:ind w:firstLine="480"/>
        <w:jc w:val="left"/>
      </w:pPr>
      <w:r>
        <w:rPr>
          <w:rFonts w:ascii="宋体" w:hAnsi="宋体" w:eastAsia="宋体" w:cs="宋体"/>
          <w:sz w:val="24"/>
        </w:rPr>
        <w:t>（一）向人体器官获取组织报送的潜在器官捐献者人数与院内死亡人数比</w:t>
      </w:r>
    </w:p>
    <w:p>
      <w:pPr>
        <w:pStyle w:val="4"/>
        <w:spacing w:before="60" w:after="60"/>
        <w:ind w:firstLine="480"/>
        <w:jc w:val="left"/>
      </w:pPr>
      <w:r>
        <w:rPr>
          <w:rFonts w:ascii="宋体" w:hAnsi="宋体" w:eastAsia="宋体" w:cs="宋体"/>
          <w:sz w:val="24"/>
        </w:rPr>
        <w:t>（二）实现器官捐献的人数与院内死亡人数比</w:t>
      </w:r>
    </w:p>
    <w:p>
      <w:pPr>
        <w:pStyle w:val="4"/>
        <w:spacing w:before="60" w:after="60"/>
        <w:ind w:firstLine="480"/>
        <w:jc w:val="left"/>
      </w:pPr>
      <w:r>
        <w:rPr>
          <w:rFonts w:ascii="宋体" w:hAnsi="宋体" w:eastAsia="宋体" w:cs="宋体"/>
          <w:sz w:val="24"/>
        </w:rPr>
        <w:t>（三）人体器官获取组织质量控制指标</w:t>
      </w:r>
    </w:p>
    <w:p>
      <w:pPr>
        <w:pStyle w:val="4"/>
        <w:spacing w:before="60" w:after="60"/>
        <w:ind w:firstLine="480"/>
        <w:jc w:val="left"/>
      </w:pPr>
      <w:r>
        <w:rPr>
          <w:rFonts w:ascii="宋体" w:hAnsi="宋体" w:eastAsia="宋体" w:cs="宋体"/>
          <w:sz w:val="24"/>
        </w:rPr>
        <w:t>（四）肝脏移植技术医疗质量控制指标（2020 年版）</w:t>
      </w:r>
    </w:p>
    <w:p>
      <w:pPr>
        <w:pStyle w:val="4"/>
        <w:spacing w:before="60" w:after="60"/>
        <w:ind w:firstLine="480"/>
        <w:jc w:val="left"/>
      </w:pPr>
      <w:r>
        <w:rPr>
          <w:rFonts w:ascii="宋体" w:hAnsi="宋体" w:eastAsia="宋体" w:cs="宋体"/>
          <w:sz w:val="24"/>
        </w:rPr>
        <w:t>（五）肾脏移植技术医疗质量控制指标（2020 年版）</w:t>
      </w:r>
    </w:p>
    <w:p>
      <w:pPr>
        <w:pStyle w:val="4"/>
        <w:spacing w:before="60" w:after="60"/>
        <w:ind w:firstLine="480"/>
        <w:jc w:val="left"/>
      </w:pPr>
      <w:r>
        <w:rPr>
          <w:rFonts w:ascii="宋体" w:hAnsi="宋体" w:eastAsia="宋体" w:cs="宋体"/>
          <w:sz w:val="24"/>
        </w:rPr>
        <w:t>（六）心脏移植技术医疗质量控制指标（2020 年版）</w:t>
      </w:r>
    </w:p>
    <w:p>
      <w:pPr>
        <w:pStyle w:val="4"/>
        <w:spacing w:before="60" w:after="60"/>
        <w:ind w:firstLine="480"/>
        <w:jc w:val="left"/>
      </w:pPr>
      <w:r>
        <w:rPr>
          <w:rFonts w:ascii="宋体" w:hAnsi="宋体" w:eastAsia="宋体" w:cs="宋体"/>
          <w:sz w:val="24"/>
        </w:rPr>
        <w:t>（七）肺脏移植技术医疗质量控制指标（2020 年版）</w:t>
      </w:r>
    </w:p>
    <w:p>
      <w:pPr>
        <w:pStyle w:val="4"/>
        <w:spacing w:before="60" w:after="60"/>
        <w:ind w:firstLine="480"/>
        <w:jc w:val="left"/>
      </w:pPr>
      <w:r>
        <w:rPr>
          <w:rFonts w:ascii="宋体" w:hAnsi="宋体" w:eastAsia="宋体" w:cs="宋体"/>
          <w:sz w:val="24"/>
        </w:rPr>
        <w:t>（八）其他器官移植技术医疗质量控制指标</w:t>
      </w:r>
    </w:p>
    <w:p>
      <w:pPr>
        <w:pStyle w:val="4"/>
        <w:spacing w:before="60" w:after="60"/>
        <w:jc w:val="left"/>
      </w:pPr>
      <w:r>
        <w:rPr>
          <w:rFonts w:ascii="宋体" w:hAnsi="宋体" w:eastAsia="宋体" w:cs="宋体"/>
          <w:b/>
          <w:sz w:val="24"/>
        </w:rPr>
        <w:t>2.2.7.3  临床专科医疗服务能力符合本医院等级评审要求</w:t>
      </w:r>
    </w:p>
    <w:p>
      <w:pPr>
        <w:pStyle w:val="4"/>
        <w:spacing w:before="60" w:after="60"/>
        <w:jc w:val="left"/>
      </w:pPr>
      <w:r>
        <w:rPr>
          <w:rFonts w:ascii="宋体" w:hAnsi="宋体" w:eastAsia="宋体" w:cs="宋体"/>
          <w:sz w:val="24"/>
        </w:rPr>
        <w:t>（1）</w:t>
      </w:r>
      <w:r>
        <w:rPr>
          <w:rFonts w:ascii="宋体" w:hAnsi="宋体" w:eastAsia="宋体" w:cs="宋体"/>
          <w:color w:val="000000"/>
          <w:sz w:val="24"/>
        </w:rPr>
        <w:t>心血管内科医疗服务能力</w:t>
      </w:r>
    </w:p>
    <w:p>
      <w:pPr>
        <w:pStyle w:val="4"/>
        <w:spacing w:before="60" w:after="60"/>
        <w:jc w:val="left"/>
      </w:pPr>
      <w:r>
        <w:rPr>
          <w:rFonts w:ascii="宋体" w:hAnsi="宋体" w:eastAsia="宋体" w:cs="宋体"/>
          <w:color w:val="000000"/>
          <w:sz w:val="24"/>
        </w:rPr>
        <w:t>心血管内科关键医疗技术开展例数：支持统计周期内各关键医疗技术种类开展例数。</w:t>
      </w:r>
    </w:p>
    <w:p>
      <w:pPr>
        <w:pStyle w:val="4"/>
        <w:spacing w:before="60" w:after="60"/>
        <w:jc w:val="left"/>
      </w:pPr>
      <w:r>
        <w:rPr>
          <w:rFonts w:ascii="宋体" w:hAnsi="宋体" w:eastAsia="宋体" w:cs="宋体"/>
          <w:color w:val="000000"/>
          <w:sz w:val="24"/>
        </w:rPr>
        <w:t>心血管内科关键医疗技术开展率：支持统计周期内开展关键医疗技术种类数占心血管内科关键医疗技术基本标准及推荐标准种数的比例。</w:t>
      </w:r>
    </w:p>
    <w:p>
      <w:pPr>
        <w:pStyle w:val="4"/>
        <w:spacing w:before="60" w:after="60"/>
        <w:jc w:val="left"/>
      </w:pPr>
      <w:r>
        <w:rPr>
          <w:rFonts w:ascii="宋体" w:hAnsi="宋体" w:eastAsia="宋体" w:cs="宋体"/>
          <w:sz w:val="24"/>
        </w:rPr>
        <w:t>（2）</w:t>
      </w:r>
      <w:r>
        <w:rPr>
          <w:rFonts w:ascii="宋体" w:hAnsi="宋体" w:eastAsia="宋体" w:cs="宋体"/>
          <w:color w:val="000000"/>
          <w:sz w:val="24"/>
        </w:rPr>
        <w:t>呼吸内科医疗服务能力</w:t>
      </w:r>
    </w:p>
    <w:p>
      <w:pPr>
        <w:pStyle w:val="4"/>
        <w:spacing w:before="60" w:after="60"/>
        <w:jc w:val="left"/>
      </w:pPr>
      <w:r>
        <w:rPr>
          <w:rFonts w:ascii="宋体" w:hAnsi="宋体" w:eastAsia="宋体" w:cs="宋体"/>
          <w:color w:val="000000"/>
          <w:sz w:val="24"/>
        </w:rPr>
        <w:t>呼吸内科关键医疗技术开展例数：支持统计周期内各关键医疗技术种类开展例数。</w:t>
      </w:r>
    </w:p>
    <w:p>
      <w:pPr>
        <w:pStyle w:val="4"/>
        <w:spacing w:before="60" w:after="60"/>
        <w:jc w:val="left"/>
      </w:pPr>
      <w:r>
        <w:rPr>
          <w:rFonts w:ascii="宋体" w:hAnsi="宋体" w:eastAsia="宋体" w:cs="宋体"/>
          <w:color w:val="000000"/>
          <w:sz w:val="24"/>
        </w:rPr>
        <w:t>呼吸内科关键医疗技术开展率：支持统计周期内开展关键医疗技术种类数占呼吸内科关键医疗技术基本标准及推荐标准种数的比例。</w:t>
      </w:r>
    </w:p>
    <w:p>
      <w:pPr>
        <w:pStyle w:val="4"/>
        <w:spacing w:before="60" w:after="60"/>
        <w:jc w:val="left"/>
      </w:pPr>
      <w:r>
        <w:rPr>
          <w:rFonts w:ascii="宋体" w:hAnsi="宋体" w:eastAsia="宋体" w:cs="宋体"/>
          <w:sz w:val="24"/>
        </w:rPr>
        <w:t>（3）</w:t>
      </w:r>
      <w:r>
        <w:rPr>
          <w:rFonts w:ascii="宋体" w:hAnsi="宋体" w:eastAsia="宋体" w:cs="宋体"/>
          <w:color w:val="000000"/>
          <w:sz w:val="24"/>
        </w:rPr>
        <w:t>消化内科医疗服务能力</w:t>
      </w:r>
    </w:p>
    <w:p>
      <w:pPr>
        <w:pStyle w:val="4"/>
        <w:spacing w:before="60" w:after="60"/>
        <w:jc w:val="left"/>
      </w:pPr>
      <w:r>
        <w:rPr>
          <w:rFonts w:ascii="宋体" w:hAnsi="宋体" w:eastAsia="宋体" w:cs="宋体"/>
          <w:color w:val="000000"/>
          <w:sz w:val="24"/>
        </w:rPr>
        <w:t>消化内科关键医疗技术开展例数：支持统计周期内各关键医疗技术种类开展例数。</w:t>
      </w:r>
    </w:p>
    <w:p>
      <w:pPr>
        <w:pStyle w:val="4"/>
        <w:spacing w:before="60" w:after="60"/>
        <w:jc w:val="left"/>
      </w:pPr>
      <w:r>
        <w:rPr>
          <w:rFonts w:ascii="宋体" w:hAnsi="宋体" w:eastAsia="宋体" w:cs="宋体"/>
          <w:color w:val="000000"/>
          <w:sz w:val="24"/>
        </w:rPr>
        <w:t>消化内科关键医疗技术开展率：支持统计周期内开展关键医疗技术种类数占消化内科关键医疗技术基本标准及推荐标准种数的比例。</w:t>
      </w:r>
    </w:p>
    <w:p>
      <w:pPr>
        <w:pStyle w:val="4"/>
        <w:spacing w:before="60" w:after="60"/>
        <w:jc w:val="left"/>
      </w:pPr>
      <w:r>
        <w:rPr>
          <w:rFonts w:ascii="宋体" w:hAnsi="宋体" w:eastAsia="宋体" w:cs="宋体"/>
          <w:sz w:val="24"/>
        </w:rPr>
        <w:t>（4）</w:t>
      </w:r>
      <w:r>
        <w:rPr>
          <w:rFonts w:ascii="宋体" w:hAnsi="宋体" w:eastAsia="宋体" w:cs="宋体"/>
          <w:color w:val="000000"/>
          <w:sz w:val="24"/>
        </w:rPr>
        <w:t>神经内科医疗服务能力</w:t>
      </w:r>
    </w:p>
    <w:p>
      <w:pPr>
        <w:pStyle w:val="4"/>
        <w:spacing w:before="60" w:after="60"/>
        <w:jc w:val="left"/>
      </w:pPr>
      <w:r>
        <w:rPr>
          <w:rFonts w:ascii="宋体" w:hAnsi="宋体" w:eastAsia="宋体" w:cs="宋体"/>
          <w:color w:val="000000"/>
          <w:sz w:val="24"/>
        </w:rPr>
        <w:t>神经内科关键医疗技术开展例数：支持统计周期内各关键医疗技术种类开展例数。</w:t>
      </w:r>
    </w:p>
    <w:p>
      <w:pPr>
        <w:pStyle w:val="4"/>
        <w:spacing w:before="60" w:after="60"/>
        <w:jc w:val="left"/>
      </w:pPr>
      <w:r>
        <w:rPr>
          <w:rFonts w:ascii="宋体" w:hAnsi="宋体" w:eastAsia="宋体" w:cs="宋体"/>
          <w:color w:val="000000"/>
          <w:sz w:val="24"/>
        </w:rPr>
        <w:t>神经内科关键医疗技术开展率：支持统计周期内开展关键医疗技术种类数占神经内科关键医疗技术基本标准及推荐标准种数的比例。</w:t>
      </w:r>
    </w:p>
    <w:p>
      <w:pPr>
        <w:pStyle w:val="4"/>
        <w:spacing w:before="60" w:after="60"/>
        <w:jc w:val="left"/>
      </w:pPr>
      <w:r>
        <w:rPr>
          <w:rFonts w:ascii="宋体" w:hAnsi="宋体" w:eastAsia="宋体" w:cs="宋体"/>
          <w:sz w:val="24"/>
        </w:rPr>
        <w:t>（5）</w:t>
      </w:r>
      <w:r>
        <w:rPr>
          <w:rFonts w:ascii="宋体" w:hAnsi="宋体" w:eastAsia="宋体" w:cs="宋体"/>
          <w:color w:val="000000"/>
          <w:sz w:val="24"/>
        </w:rPr>
        <w:t>内分泌科医疗服务能力</w:t>
      </w:r>
    </w:p>
    <w:p>
      <w:pPr>
        <w:pStyle w:val="4"/>
        <w:spacing w:before="60" w:after="60"/>
        <w:jc w:val="left"/>
      </w:pPr>
      <w:r>
        <w:rPr>
          <w:rFonts w:ascii="宋体" w:hAnsi="宋体" w:eastAsia="宋体" w:cs="宋体"/>
          <w:color w:val="000000"/>
          <w:sz w:val="24"/>
        </w:rPr>
        <w:t>内分泌科关键医疗技术开展例数：支持统计周期内各关键医疗技术种类开展例数。</w:t>
      </w:r>
    </w:p>
    <w:p>
      <w:pPr>
        <w:pStyle w:val="4"/>
        <w:spacing w:before="60" w:after="60"/>
        <w:jc w:val="left"/>
      </w:pPr>
      <w:r>
        <w:rPr>
          <w:rFonts w:ascii="宋体" w:hAnsi="宋体" w:eastAsia="宋体" w:cs="宋体"/>
          <w:color w:val="000000"/>
          <w:sz w:val="24"/>
        </w:rPr>
        <w:t>内分泌科关键医疗技术开展率：支持统计周期内开展关键医疗技术种类数占内分泌科关键医疗技术基本标准及推荐标准种数的比例。</w:t>
      </w:r>
    </w:p>
    <w:p>
      <w:pPr>
        <w:pStyle w:val="4"/>
        <w:spacing w:before="60" w:after="60"/>
        <w:jc w:val="left"/>
      </w:pPr>
      <w:r>
        <w:rPr>
          <w:rFonts w:ascii="宋体" w:hAnsi="宋体" w:eastAsia="宋体" w:cs="宋体"/>
          <w:sz w:val="24"/>
        </w:rPr>
        <w:t>（6）</w:t>
      </w:r>
      <w:r>
        <w:rPr>
          <w:rFonts w:ascii="宋体" w:hAnsi="宋体" w:eastAsia="宋体" w:cs="宋体"/>
          <w:color w:val="000000"/>
          <w:sz w:val="24"/>
        </w:rPr>
        <w:t>肾病学科医疗服务能力</w:t>
      </w:r>
    </w:p>
    <w:p>
      <w:pPr>
        <w:pStyle w:val="4"/>
        <w:spacing w:before="60" w:after="60"/>
        <w:jc w:val="left"/>
      </w:pPr>
      <w:r>
        <w:rPr>
          <w:rFonts w:ascii="宋体" w:hAnsi="宋体" w:eastAsia="宋体" w:cs="宋体"/>
          <w:color w:val="000000"/>
          <w:sz w:val="24"/>
        </w:rPr>
        <w:t>肾病学科关键医疗技术开展例数：支持统计周期内各关键医疗技术种类开展例数。</w:t>
      </w:r>
    </w:p>
    <w:p>
      <w:pPr>
        <w:pStyle w:val="4"/>
        <w:spacing w:before="60" w:after="60"/>
        <w:jc w:val="left"/>
      </w:pPr>
      <w:r>
        <w:rPr>
          <w:rFonts w:ascii="宋体" w:hAnsi="宋体" w:eastAsia="宋体" w:cs="宋体"/>
          <w:color w:val="000000"/>
          <w:sz w:val="24"/>
        </w:rPr>
        <w:t>肾病学科关键医疗技术开展率：支持统计周期内开展关键医疗技术种类数占肾病学科关键医疗技术基本标准及推荐标准种数的比例。</w:t>
      </w:r>
    </w:p>
    <w:p>
      <w:pPr>
        <w:pStyle w:val="4"/>
        <w:spacing w:before="60" w:after="60"/>
        <w:jc w:val="left"/>
      </w:pPr>
      <w:r>
        <w:rPr>
          <w:rFonts w:ascii="宋体" w:hAnsi="宋体" w:eastAsia="宋体" w:cs="宋体"/>
          <w:sz w:val="24"/>
        </w:rPr>
        <w:t>（7）</w:t>
      </w:r>
      <w:r>
        <w:rPr>
          <w:rFonts w:ascii="宋体" w:hAnsi="宋体" w:eastAsia="宋体" w:cs="宋体"/>
          <w:color w:val="000000"/>
          <w:sz w:val="24"/>
        </w:rPr>
        <w:t>血液内科医疗服务能力</w:t>
      </w:r>
    </w:p>
    <w:p>
      <w:pPr>
        <w:pStyle w:val="4"/>
        <w:spacing w:before="60" w:after="60"/>
        <w:jc w:val="left"/>
      </w:pPr>
      <w:r>
        <w:rPr>
          <w:rFonts w:ascii="宋体" w:hAnsi="宋体" w:eastAsia="宋体" w:cs="宋体"/>
          <w:color w:val="000000"/>
          <w:sz w:val="24"/>
        </w:rPr>
        <w:t>血液内科关键医疗技术开展例数：支持统计周期内各关键医疗技术种类开展例数。</w:t>
      </w:r>
    </w:p>
    <w:p>
      <w:pPr>
        <w:pStyle w:val="4"/>
        <w:spacing w:before="60" w:after="60"/>
        <w:jc w:val="left"/>
      </w:pPr>
      <w:r>
        <w:rPr>
          <w:rFonts w:ascii="宋体" w:hAnsi="宋体" w:eastAsia="宋体" w:cs="宋体"/>
          <w:color w:val="000000"/>
          <w:sz w:val="24"/>
        </w:rPr>
        <w:t>血液内科关键医疗技术开展率：支持统计周期内开展关键医疗技术种类数占血液内科关键医疗技术基本标准及推荐标准种数的比例。</w:t>
      </w:r>
    </w:p>
    <w:p>
      <w:pPr>
        <w:pStyle w:val="4"/>
        <w:spacing w:before="60" w:after="60"/>
        <w:jc w:val="left"/>
      </w:pPr>
      <w:r>
        <w:rPr>
          <w:rFonts w:ascii="宋体" w:hAnsi="宋体" w:eastAsia="宋体" w:cs="宋体"/>
          <w:sz w:val="24"/>
        </w:rPr>
        <w:t>（8）</w:t>
      </w:r>
      <w:r>
        <w:rPr>
          <w:rFonts w:ascii="宋体" w:hAnsi="宋体" w:eastAsia="宋体" w:cs="宋体"/>
          <w:color w:val="000000"/>
          <w:sz w:val="24"/>
        </w:rPr>
        <w:t>免疫学科医疗服务能力</w:t>
      </w:r>
    </w:p>
    <w:p>
      <w:pPr>
        <w:pStyle w:val="4"/>
        <w:spacing w:before="60" w:after="60"/>
        <w:jc w:val="left"/>
      </w:pPr>
      <w:r>
        <w:rPr>
          <w:rFonts w:ascii="宋体" w:hAnsi="宋体" w:eastAsia="宋体" w:cs="宋体"/>
          <w:color w:val="000000"/>
          <w:sz w:val="24"/>
        </w:rPr>
        <w:t>免疫学科关键医疗技术开展例数：支持统计周期内各关键医疗技术种类开展例数。</w:t>
      </w:r>
    </w:p>
    <w:p>
      <w:pPr>
        <w:pStyle w:val="4"/>
        <w:spacing w:before="60" w:after="60"/>
        <w:jc w:val="left"/>
      </w:pPr>
      <w:r>
        <w:rPr>
          <w:rFonts w:ascii="宋体" w:hAnsi="宋体" w:eastAsia="宋体" w:cs="宋体"/>
          <w:color w:val="000000"/>
          <w:sz w:val="24"/>
        </w:rPr>
        <w:t>免疫学科关键医疗技术开展率：支持统计周期内开展关键医疗技术种类数占免疫学科关键医疗技术基本标准及推荐标准种数的比例。</w:t>
      </w:r>
    </w:p>
    <w:p>
      <w:pPr>
        <w:pStyle w:val="4"/>
        <w:spacing w:before="60" w:after="60"/>
        <w:jc w:val="left"/>
      </w:pPr>
      <w:r>
        <w:rPr>
          <w:rFonts w:ascii="宋体" w:hAnsi="宋体" w:eastAsia="宋体" w:cs="宋体"/>
          <w:sz w:val="24"/>
        </w:rPr>
        <w:t>（9）</w:t>
      </w:r>
      <w:r>
        <w:rPr>
          <w:rFonts w:ascii="宋体" w:hAnsi="宋体" w:eastAsia="宋体" w:cs="宋体"/>
          <w:color w:val="000000"/>
          <w:sz w:val="24"/>
        </w:rPr>
        <w:t>普通外科医疗服务能力</w:t>
      </w:r>
    </w:p>
    <w:p>
      <w:pPr>
        <w:pStyle w:val="4"/>
        <w:spacing w:before="60" w:after="60"/>
        <w:jc w:val="left"/>
      </w:pPr>
      <w:r>
        <w:rPr>
          <w:rFonts w:ascii="宋体" w:hAnsi="宋体" w:eastAsia="宋体" w:cs="宋体"/>
          <w:color w:val="000000"/>
          <w:sz w:val="24"/>
        </w:rPr>
        <w:t>普通外科关键医疗技术开展例数：支持统计周期内各关键医疗技术种类开展例数。</w:t>
      </w:r>
    </w:p>
    <w:p>
      <w:pPr>
        <w:pStyle w:val="4"/>
        <w:spacing w:before="60" w:after="60"/>
        <w:jc w:val="left"/>
      </w:pPr>
      <w:r>
        <w:rPr>
          <w:rFonts w:ascii="宋体" w:hAnsi="宋体" w:eastAsia="宋体" w:cs="宋体"/>
          <w:color w:val="000000"/>
          <w:sz w:val="24"/>
        </w:rPr>
        <w:t>普通外科关键医疗技术开展率：支持统计周期内开展关键医疗技术种类数占普通外科关键医疗技术基本标准及推荐标准种数的比例。</w:t>
      </w:r>
    </w:p>
    <w:p>
      <w:pPr>
        <w:pStyle w:val="4"/>
        <w:spacing w:before="60" w:after="60"/>
        <w:jc w:val="left"/>
      </w:pPr>
      <w:r>
        <w:rPr>
          <w:rFonts w:ascii="宋体" w:hAnsi="宋体" w:eastAsia="宋体" w:cs="宋体"/>
          <w:sz w:val="24"/>
        </w:rPr>
        <w:t>（10）</w:t>
      </w:r>
      <w:r>
        <w:rPr>
          <w:rFonts w:ascii="宋体" w:hAnsi="宋体" w:eastAsia="宋体" w:cs="宋体"/>
          <w:color w:val="000000"/>
          <w:sz w:val="24"/>
        </w:rPr>
        <w:t>骨科医疗服务能力</w:t>
      </w:r>
    </w:p>
    <w:p>
      <w:pPr>
        <w:pStyle w:val="4"/>
        <w:spacing w:before="60" w:after="60"/>
        <w:jc w:val="left"/>
      </w:pPr>
      <w:r>
        <w:rPr>
          <w:rFonts w:ascii="宋体" w:hAnsi="宋体" w:eastAsia="宋体" w:cs="宋体"/>
          <w:color w:val="000000"/>
          <w:sz w:val="24"/>
        </w:rPr>
        <w:t>骨科关键医疗技术开展例数：支持统计周期内各关键医疗技术种类开展例数。</w:t>
      </w:r>
    </w:p>
    <w:p>
      <w:pPr>
        <w:pStyle w:val="4"/>
        <w:spacing w:before="60" w:after="60"/>
        <w:jc w:val="left"/>
      </w:pPr>
      <w:r>
        <w:rPr>
          <w:rFonts w:ascii="宋体" w:hAnsi="宋体" w:eastAsia="宋体" w:cs="宋体"/>
          <w:color w:val="000000"/>
          <w:sz w:val="24"/>
        </w:rPr>
        <w:t>骨科关键医疗技术开展率：支持统计周期内开展关键医疗技术种类数占骨科关键医疗技术基本标准及推荐标准种数的比例。</w:t>
      </w:r>
    </w:p>
    <w:p>
      <w:pPr>
        <w:pStyle w:val="4"/>
        <w:spacing w:before="60" w:after="60"/>
        <w:jc w:val="left"/>
      </w:pPr>
      <w:r>
        <w:rPr>
          <w:rFonts w:ascii="宋体" w:hAnsi="宋体" w:eastAsia="宋体" w:cs="宋体"/>
          <w:sz w:val="24"/>
        </w:rPr>
        <w:t>（11）</w:t>
      </w:r>
      <w:r>
        <w:rPr>
          <w:rFonts w:ascii="宋体" w:hAnsi="宋体" w:eastAsia="宋体" w:cs="宋体"/>
          <w:color w:val="000000"/>
          <w:sz w:val="24"/>
        </w:rPr>
        <w:t>神经外科医疗服务能力</w:t>
      </w:r>
    </w:p>
    <w:p>
      <w:pPr>
        <w:pStyle w:val="4"/>
        <w:spacing w:before="60" w:after="60"/>
        <w:jc w:val="left"/>
      </w:pPr>
      <w:r>
        <w:rPr>
          <w:rFonts w:ascii="宋体" w:hAnsi="宋体" w:eastAsia="宋体" w:cs="宋体"/>
          <w:color w:val="000000"/>
          <w:sz w:val="24"/>
        </w:rPr>
        <w:t>神经外科关键医疗技术开展例数：支持统计周期内各关键医疗技术种类开展例数。</w:t>
      </w:r>
    </w:p>
    <w:p>
      <w:pPr>
        <w:pStyle w:val="4"/>
        <w:spacing w:before="60" w:after="60"/>
        <w:jc w:val="left"/>
      </w:pPr>
      <w:r>
        <w:rPr>
          <w:rFonts w:ascii="宋体" w:hAnsi="宋体" w:eastAsia="宋体" w:cs="宋体"/>
          <w:color w:val="000000"/>
          <w:sz w:val="24"/>
        </w:rPr>
        <w:t>神经外科关键医疗技术开展率：支持统计周期内开展关键医疗技术种类数占神经外科关键医疗技术基本标准及推荐标准种数的比例。</w:t>
      </w:r>
    </w:p>
    <w:p>
      <w:pPr>
        <w:pStyle w:val="4"/>
        <w:spacing w:before="60" w:after="60"/>
        <w:jc w:val="left"/>
      </w:pPr>
      <w:r>
        <w:rPr>
          <w:rFonts w:ascii="宋体" w:hAnsi="宋体" w:eastAsia="宋体" w:cs="宋体"/>
          <w:sz w:val="24"/>
        </w:rPr>
        <w:t>（12）</w:t>
      </w:r>
      <w:r>
        <w:rPr>
          <w:rFonts w:ascii="宋体" w:hAnsi="宋体" w:eastAsia="宋体" w:cs="宋体"/>
          <w:color w:val="000000"/>
          <w:sz w:val="24"/>
        </w:rPr>
        <w:t>泌尿外科医疗服务能力</w:t>
      </w:r>
    </w:p>
    <w:p>
      <w:pPr>
        <w:pStyle w:val="4"/>
        <w:spacing w:before="60" w:after="60"/>
        <w:jc w:val="left"/>
      </w:pPr>
      <w:r>
        <w:rPr>
          <w:rFonts w:ascii="宋体" w:hAnsi="宋体" w:eastAsia="宋体" w:cs="宋体"/>
          <w:color w:val="000000"/>
          <w:sz w:val="24"/>
        </w:rPr>
        <w:t>泌尿外科关键医疗技术开展例数：支持统计周期内各关键医疗技术种类开展例数。</w:t>
      </w:r>
    </w:p>
    <w:p>
      <w:pPr>
        <w:pStyle w:val="4"/>
        <w:spacing w:before="60" w:after="60"/>
        <w:jc w:val="left"/>
      </w:pPr>
      <w:r>
        <w:rPr>
          <w:rFonts w:ascii="宋体" w:hAnsi="宋体" w:eastAsia="宋体" w:cs="宋体"/>
          <w:color w:val="000000"/>
          <w:sz w:val="24"/>
        </w:rPr>
        <w:t>泌尿外科关键医疗技术开展率：支持统计周期内开展关键医疗技术种类数占泌尿外科关键医疗技术基本标准及推荐标准种数的比例。</w:t>
      </w:r>
    </w:p>
    <w:p>
      <w:pPr>
        <w:pStyle w:val="4"/>
        <w:spacing w:before="60" w:after="60"/>
        <w:jc w:val="left"/>
      </w:pPr>
      <w:r>
        <w:rPr>
          <w:rFonts w:ascii="宋体" w:hAnsi="宋体" w:eastAsia="宋体" w:cs="宋体"/>
          <w:sz w:val="24"/>
        </w:rPr>
        <w:t>（13）</w:t>
      </w:r>
      <w:r>
        <w:rPr>
          <w:rFonts w:ascii="宋体" w:hAnsi="宋体" w:eastAsia="宋体" w:cs="宋体"/>
          <w:color w:val="000000"/>
          <w:sz w:val="24"/>
        </w:rPr>
        <w:t>胸外科医疗服务能力</w:t>
      </w:r>
    </w:p>
    <w:p>
      <w:pPr>
        <w:pStyle w:val="4"/>
        <w:spacing w:before="60" w:after="60"/>
        <w:jc w:val="left"/>
      </w:pPr>
      <w:r>
        <w:rPr>
          <w:rFonts w:ascii="宋体" w:hAnsi="宋体" w:eastAsia="宋体" w:cs="宋体"/>
          <w:color w:val="000000"/>
          <w:sz w:val="24"/>
        </w:rPr>
        <w:t>胸外科关键医疗技术开展例数：支持统计周期内各关键医疗技术种类开展例数。</w:t>
      </w:r>
    </w:p>
    <w:p>
      <w:pPr>
        <w:pStyle w:val="4"/>
        <w:spacing w:before="60" w:after="60"/>
        <w:jc w:val="left"/>
      </w:pPr>
      <w:r>
        <w:rPr>
          <w:rFonts w:ascii="宋体" w:hAnsi="宋体" w:eastAsia="宋体" w:cs="宋体"/>
          <w:color w:val="000000"/>
          <w:sz w:val="24"/>
        </w:rPr>
        <w:t>胸外科关键医疗技术开展率：支持统计周期内开展关键医疗技术种类数占胸外科关键医疗技术基本标准及推荐标准种数的比例。</w:t>
      </w:r>
    </w:p>
    <w:p>
      <w:pPr>
        <w:pStyle w:val="4"/>
        <w:spacing w:before="60" w:after="60"/>
        <w:jc w:val="left"/>
      </w:pPr>
      <w:r>
        <w:rPr>
          <w:rFonts w:ascii="宋体" w:hAnsi="宋体" w:eastAsia="宋体" w:cs="宋体"/>
          <w:sz w:val="24"/>
        </w:rPr>
        <w:t>（14）</w:t>
      </w:r>
      <w:r>
        <w:rPr>
          <w:rFonts w:ascii="宋体" w:hAnsi="宋体" w:eastAsia="宋体" w:cs="宋体"/>
          <w:color w:val="000000"/>
          <w:sz w:val="24"/>
        </w:rPr>
        <w:t>心脏大血管外科医疗服务能力</w:t>
      </w:r>
    </w:p>
    <w:p>
      <w:pPr>
        <w:pStyle w:val="4"/>
        <w:spacing w:before="60" w:after="60"/>
        <w:jc w:val="left"/>
      </w:pPr>
      <w:r>
        <w:rPr>
          <w:rFonts w:ascii="宋体" w:hAnsi="宋体" w:eastAsia="宋体" w:cs="宋体"/>
          <w:color w:val="000000"/>
          <w:sz w:val="24"/>
        </w:rPr>
        <w:t>心脏大血管外科关键医疗技术开展例数：支持统计周期内各关键医疗技术种类开展例数。</w:t>
      </w:r>
    </w:p>
    <w:p>
      <w:pPr>
        <w:pStyle w:val="4"/>
        <w:spacing w:before="60" w:after="60"/>
        <w:jc w:val="left"/>
      </w:pPr>
      <w:r>
        <w:rPr>
          <w:rFonts w:ascii="宋体" w:hAnsi="宋体" w:eastAsia="宋体" w:cs="宋体"/>
          <w:color w:val="000000"/>
          <w:sz w:val="24"/>
        </w:rPr>
        <w:t>心脏大血管外科关键医疗技术开展率：支持统计周期内开展关键医疗技术种类数占心脏大血管外科关键医疗技术基本标准及推荐标准种数的比例。</w:t>
      </w:r>
    </w:p>
    <w:p>
      <w:pPr>
        <w:pStyle w:val="4"/>
        <w:spacing w:before="60" w:after="60"/>
        <w:jc w:val="left"/>
      </w:pPr>
      <w:r>
        <w:rPr>
          <w:rFonts w:ascii="宋体" w:hAnsi="宋体" w:eastAsia="宋体" w:cs="宋体"/>
          <w:sz w:val="24"/>
        </w:rPr>
        <w:t>（15）</w:t>
      </w:r>
      <w:r>
        <w:rPr>
          <w:rFonts w:ascii="宋体" w:hAnsi="宋体" w:eastAsia="宋体" w:cs="宋体"/>
          <w:color w:val="000000"/>
          <w:sz w:val="24"/>
        </w:rPr>
        <w:t>妇科医疗服务能力</w:t>
      </w:r>
    </w:p>
    <w:p>
      <w:pPr>
        <w:pStyle w:val="4"/>
        <w:spacing w:before="60" w:after="60"/>
        <w:jc w:val="left"/>
      </w:pPr>
      <w:r>
        <w:rPr>
          <w:rFonts w:ascii="宋体" w:hAnsi="宋体" w:eastAsia="宋体" w:cs="宋体"/>
          <w:color w:val="000000"/>
          <w:sz w:val="24"/>
        </w:rPr>
        <w:t>妇科关键医疗技术开展例数：支持统计周期内各关键医疗技术种类开展例数。</w:t>
      </w:r>
    </w:p>
    <w:p>
      <w:pPr>
        <w:pStyle w:val="4"/>
        <w:spacing w:before="60" w:after="60"/>
        <w:jc w:val="left"/>
      </w:pPr>
      <w:r>
        <w:rPr>
          <w:rFonts w:ascii="宋体" w:hAnsi="宋体" w:eastAsia="宋体" w:cs="宋体"/>
          <w:color w:val="000000"/>
          <w:sz w:val="24"/>
        </w:rPr>
        <w:t>妇科关键医疗技术开展率：支持统计周期内开展关键医疗技术种类数占妇科关键医疗技术基本标准及推荐标准种数的比例。</w:t>
      </w:r>
    </w:p>
    <w:p>
      <w:pPr>
        <w:pStyle w:val="4"/>
        <w:spacing w:before="60" w:after="60"/>
        <w:jc w:val="left"/>
      </w:pPr>
      <w:r>
        <w:rPr>
          <w:rFonts w:ascii="宋体" w:hAnsi="宋体" w:eastAsia="宋体" w:cs="宋体"/>
          <w:sz w:val="24"/>
        </w:rPr>
        <w:t>（16）</w:t>
      </w:r>
      <w:r>
        <w:rPr>
          <w:rFonts w:ascii="宋体" w:hAnsi="宋体" w:eastAsia="宋体" w:cs="宋体"/>
          <w:color w:val="000000"/>
          <w:sz w:val="24"/>
        </w:rPr>
        <w:t>产科医疗服务能力</w:t>
      </w:r>
    </w:p>
    <w:p>
      <w:pPr>
        <w:pStyle w:val="4"/>
        <w:spacing w:before="60" w:after="60"/>
        <w:jc w:val="left"/>
      </w:pPr>
      <w:r>
        <w:rPr>
          <w:rFonts w:ascii="宋体" w:hAnsi="宋体" w:eastAsia="宋体" w:cs="宋体"/>
          <w:color w:val="000000"/>
          <w:sz w:val="24"/>
        </w:rPr>
        <w:t>产科关键医疗技术开展例数：支持统计周期内各关键医疗技术种类开展例数。</w:t>
      </w:r>
    </w:p>
    <w:p>
      <w:pPr>
        <w:pStyle w:val="4"/>
        <w:spacing w:before="60" w:after="60"/>
        <w:jc w:val="left"/>
      </w:pPr>
      <w:r>
        <w:rPr>
          <w:rFonts w:ascii="宋体" w:hAnsi="宋体" w:eastAsia="宋体" w:cs="宋体"/>
          <w:color w:val="000000"/>
          <w:sz w:val="24"/>
        </w:rPr>
        <w:t>产科关键医疗技术开展率：支持统计周期内开展关键医疗技术种类数占产科关键医疗技术基本标准及推荐标准种数的比例。</w:t>
      </w:r>
    </w:p>
    <w:p>
      <w:pPr>
        <w:pStyle w:val="4"/>
        <w:spacing w:before="60" w:after="60"/>
        <w:jc w:val="left"/>
      </w:pPr>
    </w:p>
    <w:p>
      <w:pPr>
        <w:pStyle w:val="4"/>
        <w:spacing w:before="60" w:after="60"/>
        <w:jc w:val="left"/>
      </w:pPr>
      <w:r>
        <w:rPr>
          <w:rFonts w:ascii="宋体" w:hAnsi="宋体" w:eastAsia="宋体" w:cs="宋体"/>
          <w:sz w:val="24"/>
        </w:rPr>
        <w:t>（17）</w:t>
      </w:r>
      <w:r>
        <w:rPr>
          <w:rFonts w:ascii="宋体" w:hAnsi="宋体" w:eastAsia="宋体" w:cs="宋体"/>
          <w:color w:val="000000"/>
          <w:sz w:val="24"/>
        </w:rPr>
        <w:t>新生儿科医疗服务能力</w:t>
      </w:r>
    </w:p>
    <w:p>
      <w:pPr>
        <w:pStyle w:val="4"/>
        <w:spacing w:before="60" w:after="60"/>
        <w:jc w:val="left"/>
      </w:pPr>
      <w:r>
        <w:rPr>
          <w:rFonts w:ascii="宋体" w:hAnsi="宋体" w:eastAsia="宋体" w:cs="宋体"/>
          <w:color w:val="000000"/>
          <w:sz w:val="24"/>
        </w:rPr>
        <w:t>新生儿科关键医疗技术开展例数：支持统计周期内各关键医疗技术种类开展例数。</w:t>
      </w:r>
    </w:p>
    <w:p>
      <w:pPr>
        <w:pStyle w:val="4"/>
        <w:spacing w:before="60" w:after="60"/>
        <w:jc w:val="left"/>
      </w:pPr>
      <w:r>
        <w:rPr>
          <w:rFonts w:ascii="宋体" w:hAnsi="宋体" w:eastAsia="宋体" w:cs="宋体"/>
          <w:color w:val="000000"/>
          <w:sz w:val="24"/>
        </w:rPr>
        <w:t>新生儿科关键医疗技术开展率：支持统计周期内开展关键医疗技术种类数占新生儿科关键医疗技术基本标准及推荐标准种数的比例。</w:t>
      </w:r>
    </w:p>
    <w:p>
      <w:pPr>
        <w:pStyle w:val="4"/>
        <w:spacing w:before="60" w:after="60"/>
        <w:jc w:val="left"/>
      </w:pPr>
      <w:r>
        <w:rPr>
          <w:rFonts w:ascii="宋体" w:hAnsi="宋体" w:eastAsia="宋体" w:cs="宋体"/>
          <w:sz w:val="24"/>
        </w:rPr>
        <w:t>（18）</w:t>
      </w:r>
      <w:r>
        <w:rPr>
          <w:rFonts w:ascii="宋体" w:hAnsi="宋体" w:eastAsia="宋体" w:cs="宋体"/>
          <w:color w:val="000000"/>
          <w:sz w:val="24"/>
        </w:rPr>
        <w:t>儿科其他医疗服务能力</w:t>
      </w:r>
    </w:p>
    <w:p>
      <w:pPr>
        <w:pStyle w:val="4"/>
        <w:spacing w:before="60" w:after="60"/>
        <w:jc w:val="left"/>
      </w:pPr>
      <w:r>
        <w:rPr>
          <w:rFonts w:ascii="宋体" w:hAnsi="宋体" w:eastAsia="宋体" w:cs="宋体"/>
          <w:color w:val="000000"/>
          <w:sz w:val="24"/>
        </w:rPr>
        <w:t>儿科关键医疗技术开展例数：支持统计周期内各关键医疗技术种类开展例数。</w:t>
      </w:r>
    </w:p>
    <w:p>
      <w:pPr>
        <w:pStyle w:val="4"/>
        <w:spacing w:before="60" w:after="60"/>
        <w:jc w:val="left"/>
      </w:pPr>
      <w:r>
        <w:rPr>
          <w:rFonts w:ascii="宋体" w:hAnsi="宋体" w:eastAsia="宋体" w:cs="宋体"/>
          <w:color w:val="000000"/>
          <w:sz w:val="24"/>
        </w:rPr>
        <w:t>儿科关键医疗技术开展率：支持统计周期内开展关键医疗技术种类数占儿科关键医疗技术基本标准及推荐标准种数的比例。</w:t>
      </w:r>
    </w:p>
    <w:p>
      <w:pPr>
        <w:pStyle w:val="4"/>
        <w:spacing w:before="60" w:after="60"/>
        <w:jc w:val="left"/>
      </w:pPr>
      <w:r>
        <w:rPr>
          <w:rFonts w:ascii="宋体" w:hAnsi="宋体" w:eastAsia="宋体" w:cs="宋体"/>
          <w:sz w:val="24"/>
        </w:rPr>
        <w:t>（19）</w:t>
      </w:r>
      <w:r>
        <w:rPr>
          <w:rFonts w:ascii="宋体" w:hAnsi="宋体" w:eastAsia="宋体" w:cs="宋体"/>
          <w:color w:val="000000"/>
          <w:sz w:val="24"/>
        </w:rPr>
        <w:t>眼科医疗服务能力</w:t>
      </w:r>
    </w:p>
    <w:p>
      <w:pPr>
        <w:pStyle w:val="4"/>
        <w:spacing w:before="60" w:after="60"/>
        <w:jc w:val="left"/>
      </w:pPr>
      <w:r>
        <w:rPr>
          <w:rFonts w:ascii="宋体" w:hAnsi="宋体" w:eastAsia="宋体" w:cs="宋体"/>
          <w:color w:val="000000"/>
          <w:sz w:val="24"/>
        </w:rPr>
        <w:t>眼科关键医疗技术开展例数：支持统计周期内各关键医疗技术种类开展例数。</w:t>
      </w:r>
    </w:p>
    <w:p>
      <w:pPr>
        <w:pStyle w:val="4"/>
        <w:spacing w:before="60" w:after="60"/>
        <w:jc w:val="left"/>
      </w:pPr>
      <w:r>
        <w:rPr>
          <w:rFonts w:ascii="宋体" w:hAnsi="宋体" w:eastAsia="宋体" w:cs="宋体"/>
          <w:color w:val="000000"/>
          <w:sz w:val="24"/>
        </w:rPr>
        <w:t>眼科关键医疗技术开展率：支持统计周期内开展关键医疗技术种类数占眼科关键医疗技术基本标准及推荐标准种数的比例。</w:t>
      </w:r>
    </w:p>
    <w:p>
      <w:pPr>
        <w:pStyle w:val="4"/>
        <w:spacing w:before="60" w:after="60"/>
        <w:jc w:val="left"/>
      </w:pPr>
      <w:r>
        <w:rPr>
          <w:rFonts w:ascii="宋体" w:hAnsi="宋体" w:eastAsia="宋体" w:cs="宋体"/>
          <w:sz w:val="24"/>
        </w:rPr>
        <w:t>（20）</w:t>
      </w:r>
      <w:r>
        <w:rPr>
          <w:rFonts w:ascii="宋体" w:hAnsi="宋体" w:eastAsia="宋体" w:cs="宋体"/>
          <w:color w:val="000000"/>
          <w:sz w:val="24"/>
        </w:rPr>
        <w:t>耳鼻咽喉科医疗服务能力</w:t>
      </w:r>
    </w:p>
    <w:p>
      <w:pPr>
        <w:pStyle w:val="4"/>
        <w:spacing w:before="60" w:after="60"/>
        <w:jc w:val="left"/>
      </w:pPr>
      <w:r>
        <w:rPr>
          <w:rFonts w:ascii="宋体" w:hAnsi="宋体" w:eastAsia="宋体" w:cs="宋体"/>
          <w:color w:val="000000"/>
          <w:sz w:val="24"/>
        </w:rPr>
        <w:t>耳鼻咽喉科关键医疗技术开展例数：支持统计周期内各关键医疗技术种类开展例数。</w:t>
      </w:r>
    </w:p>
    <w:p>
      <w:pPr>
        <w:pStyle w:val="4"/>
        <w:spacing w:before="60" w:after="60"/>
        <w:jc w:val="left"/>
      </w:pPr>
      <w:r>
        <w:rPr>
          <w:rFonts w:ascii="宋体" w:hAnsi="宋体" w:eastAsia="宋体" w:cs="宋体"/>
          <w:color w:val="000000"/>
          <w:sz w:val="24"/>
        </w:rPr>
        <w:t>耳鼻咽喉科关键医疗技术开展率：支持统计周期内开展关键医疗技术种类数占耳鼻咽喉科关键医疗技术基本标准及推荐标准种数的比例。</w:t>
      </w:r>
    </w:p>
    <w:p>
      <w:pPr>
        <w:pStyle w:val="4"/>
        <w:spacing w:before="60" w:after="60"/>
        <w:jc w:val="left"/>
      </w:pPr>
      <w:r>
        <w:rPr>
          <w:rFonts w:ascii="宋体" w:hAnsi="宋体" w:eastAsia="宋体" w:cs="宋体"/>
          <w:sz w:val="24"/>
        </w:rPr>
        <w:t>（21）</w:t>
      </w:r>
      <w:r>
        <w:rPr>
          <w:rFonts w:ascii="宋体" w:hAnsi="宋体" w:eastAsia="宋体" w:cs="宋体"/>
          <w:color w:val="000000"/>
          <w:sz w:val="24"/>
        </w:rPr>
        <w:t>口腔科医疗服务能力</w:t>
      </w:r>
    </w:p>
    <w:p>
      <w:pPr>
        <w:pStyle w:val="4"/>
        <w:spacing w:before="60" w:after="60"/>
        <w:jc w:val="left"/>
      </w:pPr>
      <w:r>
        <w:rPr>
          <w:rFonts w:ascii="宋体" w:hAnsi="宋体" w:eastAsia="宋体" w:cs="宋体"/>
          <w:color w:val="000000"/>
          <w:sz w:val="24"/>
        </w:rPr>
        <w:t>口腔科关键医疗技术开展例数：支持统计周期内各关键医疗技术种类开展例数。</w:t>
      </w:r>
    </w:p>
    <w:p>
      <w:pPr>
        <w:pStyle w:val="4"/>
        <w:spacing w:before="60" w:after="60"/>
        <w:jc w:val="left"/>
      </w:pPr>
      <w:r>
        <w:rPr>
          <w:rFonts w:ascii="宋体" w:hAnsi="宋体" w:eastAsia="宋体" w:cs="宋体"/>
          <w:color w:val="000000"/>
          <w:sz w:val="24"/>
        </w:rPr>
        <w:t>口腔科关键医疗技术开展率：支持统计周期内开展关键医疗技术种类数占口腔科关键医疗技术基本标准及推荐标准种数的比例。</w:t>
      </w:r>
    </w:p>
    <w:p>
      <w:pPr>
        <w:pStyle w:val="4"/>
        <w:spacing w:before="60" w:after="60"/>
        <w:jc w:val="left"/>
      </w:pPr>
      <w:r>
        <w:rPr>
          <w:rFonts w:ascii="宋体" w:hAnsi="宋体" w:eastAsia="宋体" w:cs="宋体"/>
          <w:sz w:val="24"/>
        </w:rPr>
        <w:t>（22）</w:t>
      </w:r>
      <w:r>
        <w:rPr>
          <w:rFonts w:ascii="宋体" w:hAnsi="宋体" w:eastAsia="宋体" w:cs="宋体"/>
          <w:color w:val="000000"/>
          <w:sz w:val="24"/>
        </w:rPr>
        <w:t>皮肤科医疗服务能力</w:t>
      </w:r>
    </w:p>
    <w:p>
      <w:pPr>
        <w:pStyle w:val="4"/>
        <w:spacing w:before="60" w:after="60"/>
        <w:jc w:val="left"/>
      </w:pPr>
      <w:r>
        <w:rPr>
          <w:rFonts w:ascii="宋体" w:hAnsi="宋体" w:eastAsia="宋体" w:cs="宋体"/>
          <w:color w:val="000000"/>
          <w:sz w:val="24"/>
        </w:rPr>
        <w:t>皮肤科关键医疗技术开展例数：支持统计周期内各关键医疗技术种类开展例数。</w:t>
      </w:r>
    </w:p>
    <w:p>
      <w:pPr>
        <w:pStyle w:val="4"/>
        <w:spacing w:before="60" w:after="60"/>
        <w:jc w:val="left"/>
      </w:pPr>
      <w:r>
        <w:rPr>
          <w:rFonts w:ascii="宋体" w:hAnsi="宋体" w:eastAsia="宋体" w:cs="宋体"/>
          <w:color w:val="000000"/>
          <w:sz w:val="24"/>
        </w:rPr>
        <w:t>皮肤科关键医疗技术开展率：支持统计周期内开展关键医疗技术种类数占皮肤科关键医疗技术基本标准及推荐标准种数的比例。</w:t>
      </w:r>
    </w:p>
    <w:p>
      <w:pPr>
        <w:pStyle w:val="4"/>
        <w:spacing w:before="60" w:after="60"/>
        <w:jc w:val="left"/>
      </w:pPr>
      <w:r>
        <w:rPr>
          <w:rFonts w:ascii="宋体" w:hAnsi="宋体" w:eastAsia="宋体" w:cs="宋体"/>
          <w:sz w:val="24"/>
        </w:rPr>
        <w:t>（23）</w:t>
      </w:r>
      <w:r>
        <w:rPr>
          <w:rFonts w:ascii="宋体" w:hAnsi="宋体" w:eastAsia="宋体" w:cs="宋体"/>
          <w:color w:val="000000"/>
          <w:sz w:val="24"/>
        </w:rPr>
        <w:t>精神科医疗服务能力</w:t>
      </w:r>
    </w:p>
    <w:p>
      <w:pPr>
        <w:pStyle w:val="4"/>
        <w:spacing w:before="60" w:after="60"/>
        <w:jc w:val="left"/>
      </w:pPr>
      <w:r>
        <w:rPr>
          <w:rFonts w:ascii="宋体" w:hAnsi="宋体" w:eastAsia="宋体" w:cs="宋体"/>
          <w:color w:val="000000"/>
          <w:sz w:val="24"/>
        </w:rPr>
        <w:t>精神科关键医疗技术开展例数：支持统计周期内各关键医疗技术种类开展例数。</w:t>
      </w:r>
    </w:p>
    <w:p>
      <w:pPr>
        <w:pStyle w:val="4"/>
        <w:spacing w:before="60" w:after="60"/>
        <w:jc w:val="left"/>
      </w:pPr>
      <w:r>
        <w:rPr>
          <w:rFonts w:ascii="宋体" w:hAnsi="宋体" w:eastAsia="宋体" w:cs="宋体"/>
          <w:color w:val="000000"/>
          <w:sz w:val="24"/>
        </w:rPr>
        <w:t>精神科关键医疗技术开展率：支持统计周期内开展关键医疗技术种类数占精神科关键医疗技术基本标准及推荐标准种数的比例。</w:t>
      </w:r>
    </w:p>
    <w:p>
      <w:pPr>
        <w:pStyle w:val="4"/>
        <w:spacing w:before="60" w:after="60"/>
        <w:jc w:val="left"/>
      </w:pPr>
      <w:r>
        <w:rPr>
          <w:rFonts w:ascii="宋体" w:hAnsi="宋体" w:eastAsia="宋体" w:cs="宋体"/>
          <w:sz w:val="24"/>
        </w:rPr>
        <w:t>（24）</w:t>
      </w:r>
      <w:r>
        <w:rPr>
          <w:rFonts w:ascii="宋体" w:hAnsi="宋体" w:eastAsia="宋体" w:cs="宋体"/>
          <w:color w:val="000000"/>
          <w:sz w:val="24"/>
        </w:rPr>
        <w:t>感染科医疗服务能力</w:t>
      </w:r>
    </w:p>
    <w:p>
      <w:pPr>
        <w:pStyle w:val="4"/>
        <w:spacing w:before="60" w:after="60"/>
        <w:jc w:val="left"/>
      </w:pPr>
      <w:r>
        <w:rPr>
          <w:rFonts w:ascii="宋体" w:hAnsi="宋体" w:eastAsia="宋体" w:cs="宋体"/>
          <w:color w:val="000000"/>
          <w:sz w:val="24"/>
        </w:rPr>
        <w:t>感染科关键医疗技术开展例数：支持统计周期内各关键医疗技术种类开展例数。</w:t>
      </w:r>
    </w:p>
    <w:p>
      <w:pPr>
        <w:pStyle w:val="4"/>
        <w:spacing w:before="60" w:after="60"/>
        <w:jc w:val="left"/>
      </w:pPr>
      <w:r>
        <w:rPr>
          <w:rFonts w:ascii="宋体" w:hAnsi="宋体" w:eastAsia="宋体" w:cs="宋体"/>
          <w:color w:val="000000"/>
          <w:sz w:val="24"/>
        </w:rPr>
        <w:t>感染科关键医疗技术开展率：支持统计周期内开展关键医疗技术种类数占感染科关键医疗技术基本标准及推荐标准种数的比例。</w:t>
      </w:r>
    </w:p>
    <w:p>
      <w:pPr>
        <w:pStyle w:val="4"/>
        <w:spacing w:before="60" w:after="60"/>
        <w:jc w:val="left"/>
      </w:pPr>
      <w:r>
        <w:rPr>
          <w:rFonts w:ascii="宋体" w:hAnsi="宋体" w:eastAsia="宋体" w:cs="宋体"/>
          <w:sz w:val="24"/>
        </w:rPr>
        <w:t>（25）</w:t>
      </w:r>
      <w:r>
        <w:rPr>
          <w:rFonts w:ascii="宋体" w:hAnsi="宋体" w:eastAsia="宋体" w:cs="宋体"/>
          <w:color w:val="000000"/>
          <w:sz w:val="24"/>
        </w:rPr>
        <w:t>肿瘤科医疗服务能力</w:t>
      </w:r>
    </w:p>
    <w:p>
      <w:pPr>
        <w:pStyle w:val="4"/>
        <w:spacing w:before="60" w:after="60"/>
        <w:jc w:val="left"/>
      </w:pPr>
      <w:r>
        <w:rPr>
          <w:rFonts w:ascii="宋体" w:hAnsi="宋体" w:eastAsia="宋体" w:cs="宋体"/>
          <w:color w:val="000000"/>
          <w:sz w:val="24"/>
        </w:rPr>
        <w:t>肿瘤科关键医疗技术开展例数：支持统计周期内各关键医疗技术种类开展例数。</w:t>
      </w:r>
    </w:p>
    <w:p>
      <w:pPr>
        <w:pStyle w:val="4"/>
        <w:spacing w:before="60" w:after="60"/>
        <w:jc w:val="left"/>
      </w:pPr>
      <w:r>
        <w:rPr>
          <w:rFonts w:ascii="宋体" w:hAnsi="宋体" w:eastAsia="宋体" w:cs="宋体"/>
          <w:color w:val="000000"/>
          <w:sz w:val="24"/>
        </w:rPr>
        <w:t>肿瘤科关键医疗技术开展率：支持统计周期内开展关键医疗技术种类数占肿瘤科关键医疗技术基本标准及推荐标准种数的比例。</w:t>
      </w:r>
    </w:p>
    <w:p>
      <w:pPr>
        <w:pStyle w:val="4"/>
        <w:spacing w:before="60" w:after="60"/>
        <w:jc w:val="left"/>
      </w:pPr>
      <w:r>
        <w:rPr>
          <w:rFonts w:ascii="宋体" w:hAnsi="宋体" w:eastAsia="宋体" w:cs="宋体"/>
          <w:sz w:val="24"/>
        </w:rPr>
        <w:t>（26）</w:t>
      </w:r>
      <w:r>
        <w:rPr>
          <w:rFonts w:ascii="宋体" w:hAnsi="宋体" w:eastAsia="宋体" w:cs="宋体"/>
          <w:color w:val="000000"/>
          <w:sz w:val="24"/>
        </w:rPr>
        <w:t>急诊医学科医疗服务能力</w:t>
      </w:r>
    </w:p>
    <w:p>
      <w:pPr>
        <w:pStyle w:val="4"/>
        <w:spacing w:before="60" w:after="60"/>
        <w:jc w:val="left"/>
      </w:pPr>
      <w:r>
        <w:rPr>
          <w:rFonts w:ascii="宋体" w:hAnsi="宋体" w:eastAsia="宋体" w:cs="宋体"/>
          <w:color w:val="000000"/>
          <w:sz w:val="24"/>
        </w:rPr>
        <w:t>急诊医学科关键医疗技术开展例数：支持统计周期内各关键医疗技术种类开展例数。</w:t>
      </w:r>
    </w:p>
    <w:p>
      <w:pPr>
        <w:pStyle w:val="4"/>
        <w:spacing w:before="60" w:after="60"/>
        <w:jc w:val="left"/>
      </w:pPr>
      <w:r>
        <w:rPr>
          <w:rFonts w:ascii="宋体" w:hAnsi="宋体" w:eastAsia="宋体" w:cs="宋体"/>
          <w:color w:val="000000"/>
          <w:sz w:val="24"/>
        </w:rPr>
        <w:t>急诊医学科关键医疗技术开展率：支持统计周期内开展关键医疗技术种类数占急诊医学科关键医疗技术基本标准及推荐标准种数的比例。</w:t>
      </w:r>
    </w:p>
    <w:p>
      <w:pPr>
        <w:pStyle w:val="4"/>
        <w:spacing w:before="60" w:after="60"/>
        <w:jc w:val="left"/>
      </w:pPr>
      <w:r>
        <w:rPr>
          <w:rFonts w:ascii="宋体" w:hAnsi="宋体" w:eastAsia="宋体" w:cs="宋体"/>
          <w:sz w:val="24"/>
        </w:rPr>
        <w:t>（27）</w:t>
      </w:r>
      <w:r>
        <w:rPr>
          <w:rFonts w:ascii="宋体" w:hAnsi="宋体" w:eastAsia="宋体" w:cs="宋体"/>
          <w:color w:val="000000"/>
          <w:sz w:val="24"/>
        </w:rPr>
        <w:t>康复医学科医疗服务能力</w:t>
      </w:r>
    </w:p>
    <w:p>
      <w:pPr>
        <w:pStyle w:val="4"/>
        <w:spacing w:before="60" w:after="60"/>
        <w:jc w:val="left"/>
      </w:pPr>
      <w:r>
        <w:rPr>
          <w:rFonts w:ascii="宋体" w:hAnsi="宋体" w:eastAsia="宋体" w:cs="宋体"/>
          <w:color w:val="000000"/>
          <w:sz w:val="24"/>
        </w:rPr>
        <w:t>康复医学科关键医疗技术开展例数：支持统计周期内各关键医疗技术种类开展例数。</w:t>
      </w:r>
    </w:p>
    <w:p>
      <w:pPr>
        <w:pStyle w:val="4"/>
        <w:spacing w:before="60" w:after="60"/>
        <w:jc w:val="left"/>
      </w:pPr>
      <w:r>
        <w:rPr>
          <w:rFonts w:ascii="宋体" w:hAnsi="宋体" w:eastAsia="宋体" w:cs="宋体"/>
          <w:color w:val="000000"/>
          <w:sz w:val="24"/>
        </w:rPr>
        <w:t>康复医学科关键医疗技术开展率：支持统计周期内开展关键医疗技术种类数占康复医学科关键医疗技术基本标准及推荐标准种数的比例。</w:t>
      </w:r>
    </w:p>
    <w:p>
      <w:pPr>
        <w:pStyle w:val="4"/>
        <w:spacing w:before="60" w:after="60"/>
        <w:jc w:val="left"/>
      </w:pPr>
      <w:r>
        <w:rPr>
          <w:rFonts w:ascii="宋体" w:hAnsi="宋体" w:eastAsia="宋体" w:cs="宋体"/>
          <w:sz w:val="24"/>
        </w:rPr>
        <w:t>（28）</w:t>
      </w:r>
      <w:r>
        <w:rPr>
          <w:rFonts w:ascii="宋体" w:hAnsi="宋体" w:eastAsia="宋体" w:cs="宋体"/>
          <w:color w:val="000000"/>
          <w:sz w:val="24"/>
        </w:rPr>
        <w:t>麻醉科医疗服务能力</w:t>
      </w:r>
    </w:p>
    <w:p>
      <w:pPr>
        <w:pStyle w:val="4"/>
        <w:spacing w:before="60" w:after="60"/>
        <w:jc w:val="left"/>
      </w:pPr>
      <w:r>
        <w:rPr>
          <w:rFonts w:ascii="宋体" w:hAnsi="宋体" w:eastAsia="宋体" w:cs="宋体"/>
          <w:color w:val="000000"/>
          <w:sz w:val="24"/>
        </w:rPr>
        <w:t>麻醉科关键医疗技术开展例数：支持统计周期内各关键医疗技术种类开展例数。</w:t>
      </w:r>
    </w:p>
    <w:p>
      <w:pPr>
        <w:pStyle w:val="4"/>
        <w:spacing w:before="60" w:after="60"/>
        <w:jc w:val="left"/>
      </w:pPr>
      <w:r>
        <w:rPr>
          <w:rFonts w:ascii="宋体" w:hAnsi="宋体" w:eastAsia="宋体" w:cs="宋体"/>
          <w:color w:val="000000"/>
          <w:sz w:val="24"/>
        </w:rPr>
        <w:t>麻醉科关键医疗技术开展率：支持统计周期内开展关键医疗技术种类数占麻醉科关键医疗技术基本标准及推荐标准种数的比例。</w:t>
      </w:r>
    </w:p>
    <w:p>
      <w:pPr>
        <w:pStyle w:val="4"/>
        <w:spacing w:before="60" w:after="60"/>
        <w:jc w:val="left"/>
      </w:pPr>
      <w:r>
        <w:rPr>
          <w:rFonts w:ascii="宋体" w:hAnsi="宋体" w:eastAsia="宋体" w:cs="宋体"/>
          <w:sz w:val="24"/>
        </w:rPr>
        <w:t>（29）</w:t>
      </w:r>
      <w:r>
        <w:rPr>
          <w:rFonts w:ascii="宋体" w:hAnsi="宋体" w:eastAsia="宋体" w:cs="宋体"/>
          <w:color w:val="000000"/>
          <w:sz w:val="24"/>
        </w:rPr>
        <w:t>重症医学科医疗服务能力</w:t>
      </w:r>
    </w:p>
    <w:p>
      <w:pPr>
        <w:pStyle w:val="4"/>
        <w:spacing w:before="60" w:after="60"/>
        <w:jc w:val="left"/>
      </w:pPr>
      <w:r>
        <w:rPr>
          <w:rFonts w:ascii="宋体" w:hAnsi="宋体" w:eastAsia="宋体" w:cs="宋体"/>
          <w:color w:val="000000"/>
          <w:sz w:val="24"/>
        </w:rPr>
        <w:t>重症医学科关键医疗技术开展例数：支持统计周期内各关键医疗技术种类开展例数。</w:t>
      </w:r>
    </w:p>
    <w:p>
      <w:pPr>
        <w:pStyle w:val="4"/>
        <w:spacing w:before="60" w:after="60"/>
        <w:jc w:val="left"/>
      </w:pPr>
      <w:r>
        <w:rPr>
          <w:rFonts w:ascii="宋体" w:hAnsi="宋体" w:eastAsia="宋体" w:cs="宋体"/>
          <w:color w:val="000000"/>
          <w:sz w:val="24"/>
        </w:rPr>
        <w:t>重症医学科关键医疗技术开展率：支持统计周期内开展关键医疗技术种类数占重症医学科关键医疗技术基本标准及推荐标准种数的比例。</w:t>
      </w:r>
    </w:p>
    <w:p>
      <w:pPr>
        <w:pStyle w:val="4"/>
        <w:spacing w:before="60" w:after="60"/>
        <w:jc w:val="left"/>
      </w:pPr>
      <w:r>
        <w:rPr>
          <w:rFonts w:ascii="宋体" w:hAnsi="宋体" w:eastAsia="宋体" w:cs="宋体"/>
          <w:sz w:val="24"/>
        </w:rPr>
        <w:t>（30）</w:t>
      </w:r>
      <w:r>
        <w:rPr>
          <w:rFonts w:ascii="宋体" w:hAnsi="宋体" w:eastAsia="宋体" w:cs="宋体"/>
          <w:color w:val="000000"/>
          <w:sz w:val="24"/>
        </w:rPr>
        <w:t>疼痛科医疗服务能力</w:t>
      </w:r>
    </w:p>
    <w:p>
      <w:pPr>
        <w:pStyle w:val="4"/>
        <w:spacing w:before="60" w:after="60"/>
        <w:jc w:val="left"/>
      </w:pPr>
      <w:r>
        <w:rPr>
          <w:rFonts w:ascii="宋体" w:hAnsi="宋体" w:eastAsia="宋体" w:cs="宋体"/>
          <w:color w:val="000000"/>
          <w:sz w:val="24"/>
        </w:rPr>
        <w:t>疼痛科关键医疗技术开展例数：支持统计周期内各关键医疗技术种类开展例数。</w:t>
      </w:r>
    </w:p>
    <w:p>
      <w:pPr>
        <w:pStyle w:val="4"/>
        <w:spacing w:before="60" w:after="60"/>
        <w:jc w:val="left"/>
      </w:pPr>
      <w:r>
        <w:rPr>
          <w:rFonts w:ascii="宋体" w:hAnsi="宋体" w:eastAsia="宋体" w:cs="宋体"/>
          <w:color w:val="000000"/>
          <w:sz w:val="24"/>
        </w:rPr>
        <w:t>疼痛科关键医疗技术开展率：支持统计周期内开展关键医疗技术种类数占疼痛科关键医疗技术基本标准及推荐标准种数的比例。</w:t>
      </w:r>
    </w:p>
    <w:p>
      <w:pPr>
        <w:pStyle w:val="4"/>
        <w:spacing w:before="60" w:after="60"/>
        <w:jc w:val="left"/>
      </w:pPr>
      <w:r>
        <w:rPr>
          <w:rFonts w:ascii="宋体" w:hAnsi="宋体" w:eastAsia="宋体" w:cs="宋体"/>
          <w:sz w:val="24"/>
        </w:rPr>
        <w:t>（31）</w:t>
      </w:r>
      <w:r>
        <w:rPr>
          <w:rFonts w:ascii="宋体" w:hAnsi="宋体" w:eastAsia="宋体" w:cs="宋体"/>
          <w:color w:val="000000"/>
          <w:sz w:val="24"/>
        </w:rPr>
        <w:t>中医科医疗服务能力</w:t>
      </w:r>
    </w:p>
    <w:p>
      <w:pPr>
        <w:pStyle w:val="4"/>
        <w:spacing w:before="60" w:after="60"/>
        <w:jc w:val="left"/>
      </w:pPr>
      <w:r>
        <w:rPr>
          <w:rFonts w:ascii="宋体" w:hAnsi="宋体" w:eastAsia="宋体" w:cs="宋体"/>
          <w:color w:val="000000"/>
          <w:sz w:val="24"/>
        </w:rPr>
        <w:t>中医科关键医疗技术开展例数：支持统计周期内各关键医疗技术种类开展例数。</w:t>
      </w:r>
    </w:p>
    <w:p>
      <w:pPr>
        <w:pStyle w:val="4"/>
        <w:spacing w:before="60" w:after="60"/>
        <w:jc w:val="left"/>
      </w:pPr>
      <w:r>
        <w:rPr>
          <w:rFonts w:ascii="宋体" w:hAnsi="宋体" w:eastAsia="宋体" w:cs="宋体"/>
          <w:color w:val="000000"/>
          <w:sz w:val="24"/>
        </w:rPr>
        <w:t>中医科关键医疗技术开展率：支持统计周期内开展关键医疗技术种类数占中医科关键医疗技术基本标准及推荐标准种数的比例。</w:t>
      </w:r>
    </w:p>
    <w:p>
      <w:pPr>
        <w:pStyle w:val="4"/>
        <w:spacing w:before="60" w:after="60"/>
        <w:jc w:val="left"/>
      </w:pPr>
      <w:r>
        <w:rPr>
          <w:rFonts w:ascii="宋体" w:hAnsi="宋体" w:eastAsia="宋体" w:cs="宋体"/>
          <w:sz w:val="24"/>
        </w:rPr>
        <w:t>说明：根据医院实际数据情况进行建设，无数据源的指标需要手工维护。</w:t>
      </w:r>
    </w:p>
    <w:p>
      <w:pPr>
        <w:pStyle w:val="4"/>
        <w:spacing w:before="60" w:after="60"/>
        <w:jc w:val="left"/>
      </w:pPr>
      <w:r>
        <w:rPr>
          <w:rFonts w:ascii="宋体" w:hAnsi="宋体" w:eastAsia="宋体" w:cs="宋体"/>
          <w:b/>
          <w:sz w:val="24"/>
        </w:rPr>
        <w:t>2.2.7.4其他重点医疗技术质量控制指标：</w:t>
      </w:r>
    </w:p>
    <w:p>
      <w:pPr>
        <w:pStyle w:val="4"/>
        <w:jc w:val="left"/>
      </w:pPr>
      <w:r>
        <w:rPr>
          <w:rFonts w:ascii="宋体" w:hAnsi="宋体" w:eastAsia="宋体" w:cs="宋体"/>
          <w:sz w:val="24"/>
        </w:rPr>
        <w:t>（一）消化内镜诊疗技术医疗质量控制指标</w:t>
      </w:r>
    </w:p>
    <w:p>
      <w:pPr>
        <w:pStyle w:val="4"/>
        <w:jc w:val="left"/>
      </w:pPr>
      <w:r>
        <w:rPr>
          <w:rFonts w:ascii="宋体" w:hAnsi="宋体" w:eastAsia="宋体" w:cs="宋体"/>
          <w:b/>
          <w:sz w:val="24"/>
        </w:rPr>
        <w:t>2.2.8 循证溯源管理系统</w:t>
      </w:r>
    </w:p>
    <w:p>
      <w:pPr>
        <w:pStyle w:val="4"/>
        <w:jc w:val="left"/>
      </w:pPr>
      <w:r>
        <w:rPr>
          <w:rFonts w:ascii="宋体" w:hAnsi="宋体" w:eastAsia="宋体" w:cs="宋体"/>
          <w:b/>
          <w:sz w:val="24"/>
        </w:rPr>
        <w:t>2.2.8.1 医学循证溯源引擎</w:t>
      </w:r>
    </w:p>
    <w:p>
      <w:pPr>
        <w:pStyle w:val="4"/>
        <w:spacing w:before="60" w:after="60"/>
        <w:ind w:firstLine="480"/>
        <w:jc w:val="left"/>
      </w:pPr>
      <w:r>
        <w:rPr>
          <w:rFonts w:ascii="宋体" w:hAnsi="宋体" w:eastAsia="宋体" w:cs="宋体"/>
          <w:color w:val="000000"/>
          <w:sz w:val="24"/>
        </w:rPr>
        <w:t>▲</w:t>
      </w:r>
      <w:r>
        <w:rPr>
          <w:rFonts w:ascii="宋体" w:hAnsi="宋体" w:eastAsia="宋体" w:cs="宋体"/>
          <w:sz w:val="24"/>
        </w:rPr>
        <w:t>针对指标取数规则利用医学循证溯源引擎处理提供应用端进行溯源查看。拿到原始规则逻辑后，通过对逻辑文本全要素多纬度赋能编译引擎处理，可以获取到规则逻辑中包含的表信息，并将规则逻辑条件解析为包含层次的条件列、条件值、操作符等输出给应用端提供溯源服务。</w:t>
      </w:r>
      <w:r>
        <w:rPr>
          <w:rFonts w:ascii="宋体" w:hAnsi="宋体" w:eastAsia="宋体" w:cs="宋体"/>
          <w:b/>
          <w:color w:val="000000"/>
          <w:sz w:val="24"/>
        </w:rPr>
        <w:t>（需提供系统截图</w:t>
      </w:r>
      <w:r>
        <w:rPr>
          <w:rFonts w:ascii="宋体" w:hAnsi="宋体" w:eastAsia="宋体" w:cs="宋体"/>
          <w:b/>
          <w:sz w:val="24"/>
        </w:rPr>
        <w:t>证明</w:t>
      </w:r>
      <w:r>
        <w:rPr>
          <w:rFonts w:ascii="宋体" w:hAnsi="宋体" w:eastAsia="宋体" w:cs="宋体"/>
          <w:b/>
          <w:color w:val="000000"/>
          <w:sz w:val="24"/>
        </w:rPr>
        <w:t>）</w:t>
      </w:r>
    </w:p>
    <w:p>
      <w:pPr>
        <w:pStyle w:val="4"/>
        <w:jc w:val="left"/>
      </w:pPr>
      <w:r>
        <w:rPr>
          <w:rFonts w:ascii="宋体" w:hAnsi="宋体" w:eastAsia="宋体" w:cs="宋体"/>
          <w:color w:val="000000"/>
          <w:sz w:val="24"/>
        </w:rPr>
        <w:t>▲支持</w:t>
      </w:r>
      <w:r>
        <w:rPr>
          <w:rFonts w:ascii="宋体" w:hAnsi="宋体" w:eastAsia="宋体" w:cs="宋体"/>
          <w:sz w:val="24"/>
        </w:rPr>
        <w:t>在指标明细列表可以直接跳转到对应患者的循证溯源模式视图。支持指标溯源点涉及医嘱、文书、检验检查报告等对应溯源点的展示和高亮关键词。支持用户查看溯源条数和点击下一处进行快速定位溯源点。</w:t>
      </w:r>
      <w:r>
        <w:rPr>
          <w:rFonts w:ascii="宋体" w:hAnsi="宋体" w:eastAsia="宋体" w:cs="宋体"/>
          <w:b/>
          <w:color w:val="000000"/>
          <w:sz w:val="24"/>
        </w:rPr>
        <w:t>（需提供系统截图</w:t>
      </w:r>
      <w:r>
        <w:rPr>
          <w:rFonts w:ascii="宋体" w:hAnsi="宋体" w:eastAsia="宋体" w:cs="宋体"/>
          <w:b/>
          <w:sz w:val="24"/>
        </w:rPr>
        <w:t>证明</w:t>
      </w:r>
      <w:r>
        <w:rPr>
          <w:rFonts w:ascii="宋体" w:hAnsi="宋体" w:eastAsia="宋体" w:cs="宋体"/>
          <w:b/>
          <w:color w:val="000000"/>
          <w:sz w:val="24"/>
        </w:rPr>
        <w:t>）</w:t>
      </w:r>
    </w:p>
    <w:p>
      <w:pPr>
        <w:pStyle w:val="4"/>
        <w:jc w:val="left"/>
      </w:pPr>
      <w:r>
        <w:rPr>
          <w:rFonts w:ascii="宋体" w:hAnsi="宋体" w:eastAsia="宋体" w:cs="宋体"/>
          <w:b/>
          <w:sz w:val="24"/>
        </w:rPr>
        <w:t>2.2.8.2患者就诊循证全息视图</w:t>
      </w:r>
    </w:p>
    <w:p>
      <w:pPr>
        <w:pStyle w:val="4"/>
        <w:ind w:firstLine="480"/>
        <w:jc w:val="left"/>
      </w:pPr>
      <w:r>
        <w:rPr>
          <w:rFonts w:ascii="宋体" w:hAnsi="宋体" w:eastAsia="宋体" w:cs="宋体"/>
          <w:sz w:val="24"/>
        </w:rPr>
        <w:t>支持对接院内第三方360系统，在指标明细列表可以直接跳转到对应患者的就诊视图。</w:t>
      </w:r>
    </w:p>
    <w:p>
      <w:pPr>
        <w:pStyle w:val="4"/>
        <w:jc w:val="left"/>
      </w:pPr>
      <w:r>
        <w:rPr>
          <w:rFonts w:ascii="宋体" w:hAnsi="宋体" w:eastAsia="宋体" w:cs="宋体"/>
          <w:b/>
          <w:sz w:val="24"/>
        </w:rPr>
        <w:t>2.2.9重点指标大屏监测</w:t>
      </w:r>
    </w:p>
    <w:p>
      <w:pPr>
        <w:pStyle w:val="4"/>
        <w:spacing w:before="60" w:after="60"/>
        <w:jc w:val="left"/>
      </w:pPr>
      <w:r>
        <w:rPr>
          <w:rFonts w:ascii="宋体" w:hAnsi="宋体" w:eastAsia="宋体" w:cs="宋体"/>
          <w:color w:val="000000"/>
          <w:sz w:val="24"/>
        </w:rPr>
        <w:t>1.支持等级评审内的重点指标内容展示。</w:t>
      </w:r>
    </w:p>
    <w:p>
      <w:pPr>
        <w:pStyle w:val="4"/>
        <w:spacing w:before="60" w:after="60"/>
        <w:jc w:val="left"/>
      </w:pPr>
      <w:r>
        <w:rPr>
          <w:rFonts w:ascii="宋体" w:hAnsi="宋体" w:eastAsia="宋体" w:cs="宋体"/>
          <w:color w:val="000000"/>
          <w:sz w:val="24"/>
        </w:rPr>
        <w:t>2.支持各指标下钻跳转至指标多维分析模块。</w:t>
      </w:r>
    </w:p>
    <w:p>
      <w:pPr>
        <w:pStyle w:val="4"/>
        <w:spacing w:before="60" w:after="60"/>
        <w:jc w:val="left"/>
      </w:pPr>
      <w:r>
        <w:rPr>
          <w:rFonts w:ascii="宋体" w:hAnsi="宋体" w:eastAsia="宋体" w:cs="宋体"/>
          <w:color w:val="000000"/>
          <w:sz w:val="24"/>
        </w:rPr>
        <w:t>3.支持各指标按照各地需求进行本地化适配，指标可以自定义配置。</w:t>
      </w:r>
    </w:p>
    <w:p>
      <w:pPr>
        <w:pStyle w:val="4"/>
        <w:spacing w:before="60" w:after="60"/>
        <w:jc w:val="left"/>
      </w:pPr>
      <w:r>
        <w:rPr>
          <w:rFonts w:ascii="宋体" w:hAnsi="宋体" w:eastAsia="宋体" w:cs="宋体"/>
          <w:sz w:val="24"/>
        </w:rPr>
        <w:t>4.大屏支持按照院区和年份进行查询显示</w:t>
      </w:r>
    </w:p>
    <w:p>
      <w:pPr>
        <w:pStyle w:val="4"/>
        <w:spacing w:before="60" w:after="60"/>
        <w:jc w:val="left"/>
      </w:pPr>
      <w:r>
        <w:rPr>
          <w:rFonts w:ascii="宋体" w:hAnsi="宋体" w:eastAsia="宋体" w:cs="宋体"/>
          <w:sz w:val="24"/>
        </w:rPr>
        <w:t>5.内置2章大屏，资源配置与运行大屏指标需包含：核定床位数、实际开放床位数、床位使用率、卫生技术人员数与开放床位数比、急诊医学科、重症医学科、麻醉科、中医科、康复医学科、感染性疾病科人数占比、麻醉科医师和手术科室医师比、相关手术科室年手术人次占其出院人次比例、开放床位使用率、人员支出占业务支出的比重、新技术临床转化数量、取得临床相关国家专利数量。医疗服务能力与医院质量安全大屏需包含医院医疗服务能力下各类指标：收治病种数量、住院术种数量、DRG-DRGs 组数、DRG-CMI 、DRG 时间消耗指数、DRG 费用消耗指数、出院患者人次数、出院患者手术比例、出院患者四级手术占比、出院患者微创手术占比等指标内容、患者住院总死亡率、新生儿患者住院死亡率、手术患者住院死亡率。10个医疗安全指标（年度医院获得性指标）。</w:t>
      </w:r>
    </w:p>
    <w:p>
      <w:pPr>
        <w:pStyle w:val="4"/>
        <w:spacing w:before="60" w:after="60"/>
        <w:jc w:val="left"/>
      </w:pPr>
      <w:r>
        <w:rPr>
          <w:rFonts w:ascii="宋体" w:hAnsi="宋体" w:eastAsia="宋体" w:cs="宋体"/>
          <w:sz w:val="24"/>
        </w:rPr>
        <w:t>6.大屏支持展示医院资产编码号。</w:t>
      </w:r>
    </w:p>
    <w:p>
      <w:pPr>
        <w:pStyle w:val="4"/>
        <w:jc w:val="left"/>
      </w:pPr>
      <w:r>
        <w:rPr>
          <w:rFonts w:ascii="宋体" w:hAnsi="宋体" w:eastAsia="宋体" w:cs="宋体"/>
          <w:b/>
          <w:sz w:val="24"/>
        </w:rPr>
        <w:t>2.2.10自助监测报告</w:t>
      </w:r>
    </w:p>
    <w:p>
      <w:pPr>
        <w:pStyle w:val="4"/>
        <w:jc w:val="left"/>
      </w:pPr>
      <w:r>
        <w:t xml:space="preserve"> </w:t>
      </w:r>
    </w:p>
    <w:p>
      <w:pPr>
        <w:pStyle w:val="4"/>
        <w:spacing w:before="75" w:after="75"/>
        <w:ind w:firstLine="480"/>
        <w:jc w:val="left"/>
      </w:pPr>
      <w:r>
        <w:rPr>
          <w:rFonts w:ascii="宋体" w:hAnsi="宋体" w:eastAsia="宋体" w:cs="宋体"/>
          <w:color w:val="000000"/>
          <w:sz w:val="24"/>
        </w:rPr>
        <w:t>医院通过日常监测数据可自动生成评审指标监测报告，系统可配置多套报告模版，模版支持word、excel格式。报告模版实现各项文档编辑操作功能可根据不同场景需求进行编辑补充。</w:t>
      </w:r>
    </w:p>
    <w:p>
      <w:pPr>
        <w:pStyle w:val="4"/>
        <w:spacing w:before="75" w:after="75"/>
        <w:ind w:firstLine="480"/>
        <w:jc w:val="left"/>
      </w:pPr>
      <w:r>
        <w:rPr>
          <w:rFonts w:ascii="宋体" w:hAnsi="宋体" w:eastAsia="宋体" w:cs="宋体"/>
          <w:color w:val="000000"/>
          <w:sz w:val="24"/>
        </w:rPr>
        <w:t>指标监测评审报告可在线编辑，编辑器支持Word、Excel等形式的在线编辑，支持所有的Excel公式的在线使用。</w:t>
      </w:r>
    </w:p>
    <w:p>
      <w:pPr>
        <w:pStyle w:val="4"/>
        <w:jc w:val="left"/>
      </w:pPr>
      <w:r>
        <w:rPr>
          <w:rFonts w:ascii="宋体" w:hAnsi="宋体" w:eastAsia="宋体" w:cs="宋体"/>
          <w:b/>
          <w:sz w:val="24"/>
        </w:rPr>
        <w:t>2.2.10.1元素维护</w:t>
      </w:r>
    </w:p>
    <w:p>
      <w:pPr>
        <w:pStyle w:val="4"/>
        <w:spacing w:before="60" w:after="60"/>
        <w:ind w:firstLine="240"/>
        <w:jc w:val="left"/>
      </w:pPr>
      <w:r>
        <w:rPr>
          <w:rFonts w:ascii="宋体" w:hAnsi="宋体" w:eastAsia="宋体" w:cs="宋体"/>
          <w:color w:val="000000"/>
          <w:sz w:val="24"/>
        </w:rPr>
        <w:t>1.编辑器应采用先进的控件组设计报告文书的格式化模板，控件组中包含常用的界面控件如文本输入框、下拉选择框、选择输入框、签名输入框等。</w:t>
      </w:r>
    </w:p>
    <w:p>
      <w:pPr>
        <w:pStyle w:val="4"/>
        <w:jc w:val="left"/>
      </w:pPr>
      <w:r>
        <w:t xml:space="preserve"> </w:t>
      </w:r>
      <w:r>
        <w:rPr>
          <w:rFonts w:ascii="宋体" w:hAnsi="宋体" w:eastAsia="宋体" w:cs="宋体"/>
          <w:sz w:val="24"/>
        </w:rPr>
        <w:t xml:space="preserve"> 2.提供级联数据配置，根据输入内容，动态显示结构化的输入项目。</w:t>
      </w:r>
    </w:p>
    <w:p>
      <w:pPr>
        <w:pStyle w:val="4"/>
        <w:jc w:val="left"/>
      </w:pPr>
      <w:r>
        <w:rPr>
          <w:rFonts w:ascii="宋体" w:hAnsi="宋体" w:eastAsia="宋体" w:cs="宋体"/>
          <w:b/>
          <w:sz w:val="24"/>
        </w:rPr>
        <w:t xml:space="preserve"> 2.2.10.2  模版维护</w:t>
      </w:r>
    </w:p>
    <w:p>
      <w:pPr>
        <w:pStyle w:val="4"/>
        <w:spacing w:before="75" w:after="75"/>
        <w:jc w:val="both"/>
      </w:pPr>
      <w:r>
        <w:rPr>
          <w:rFonts w:ascii="宋体" w:hAnsi="宋体" w:eastAsia="宋体" w:cs="宋体"/>
          <w:sz w:val="24"/>
        </w:rPr>
        <w:t>1.▲分析报告中通常是结构化元素和非结构化描述共存，要求结构化录入与自然语言录入在同一编辑界面下完成。（</w:t>
      </w:r>
      <w:r>
        <w:rPr>
          <w:rFonts w:ascii="宋体" w:hAnsi="宋体" w:eastAsia="宋体" w:cs="宋体"/>
          <w:b/>
          <w:color w:val="000000"/>
          <w:sz w:val="24"/>
        </w:rPr>
        <w:t>需提供系统截图</w:t>
      </w:r>
      <w:r>
        <w:rPr>
          <w:rFonts w:ascii="宋体" w:hAnsi="宋体" w:eastAsia="宋体" w:cs="宋体"/>
          <w:b/>
          <w:sz w:val="24"/>
        </w:rPr>
        <w:t>证明）</w:t>
      </w:r>
    </w:p>
    <w:p>
      <w:pPr>
        <w:pStyle w:val="4"/>
        <w:spacing w:before="75" w:after="75"/>
        <w:jc w:val="both"/>
      </w:pPr>
      <w:r>
        <w:rPr>
          <w:rFonts w:ascii="宋体" w:hAnsi="宋体" w:eastAsia="宋体" w:cs="宋体"/>
          <w:sz w:val="24"/>
        </w:rPr>
        <w:t>2.满足基础的文书编辑需求，输入时能够任意插入文字、图片、表格等内容，并可对图片进行编辑。</w:t>
      </w:r>
    </w:p>
    <w:p>
      <w:pPr>
        <w:pStyle w:val="4"/>
        <w:spacing w:before="75" w:after="75"/>
        <w:jc w:val="both"/>
      </w:pPr>
      <w:r>
        <w:rPr>
          <w:rFonts w:ascii="宋体" w:hAnsi="宋体" w:eastAsia="宋体" w:cs="宋体"/>
          <w:sz w:val="24"/>
        </w:rPr>
        <w:t>3.支持三级审签，上级审签提醒，提供批量审签及审签同时查阅功能。</w:t>
      </w:r>
    </w:p>
    <w:p>
      <w:pPr>
        <w:pStyle w:val="4"/>
        <w:jc w:val="left"/>
      </w:pPr>
      <w:r>
        <w:rPr>
          <w:rFonts w:ascii="宋体" w:hAnsi="宋体" w:eastAsia="宋体" w:cs="宋体"/>
          <w:sz w:val="24"/>
        </w:rPr>
        <w:t>4.支持用户将现有报告内容保存为报告模板功能。</w:t>
      </w:r>
    </w:p>
    <w:p>
      <w:pPr>
        <w:pStyle w:val="4"/>
        <w:jc w:val="left"/>
      </w:pPr>
      <w:r>
        <w:rPr>
          <w:rFonts w:ascii="宋体" w:hAnsi="宋体" w:eastAsia="宋体" w:cs="宋体"/>
          <w:b/>
          <w:sz w:val="24"/>
        </w:rPr>
        <w:t>2.2.10.3 分析报告</w:t>
      </w:r>
    </w:p>
    <w:p>
      <w:pPr>
        <w:pStyle w:val="4"/>
        <w:spacing w:before="75" w:after="75"/>
        <w:ind w:firstLine="480"/>
        <w:jc w:val="both"/>
      </w:pPr>
      <w:r>
        <w:rPr>
          <w:rFonts w:ascii="宋体" w:hAnsi="宋体" w:eastAsia="宋体" w:cs="宋体"/>
          <w:sz w:val="24"/>
        </w:rPr>
        <w:t>▲B/S架构的智能报告编辑器，编辑器的内核引擎是基于SVG元素的渲染。（</w:t>
      </w:r>
      <w:r>
        <w:rPr>
          <w:rFonts w:ascii="宋体" w:hAnsi="宋体" w:eastAsia="宋体" w:cs="宋体"/>
          <w:b/>
          <w:color w:val="000000"/>
          <w:sz w:val="24"/>
        </w:rPr>
        <w:t>需提供系统截图</w:t>
      </w:r>
      <w:r>
        <w:rPr>
          <w:rFonts w:ascii="宋体" w:hAnsi="宋体" w:eastAsia="宋体" w:cs="宋体"/>
          <w:b/>
          <w:sz w:val="24"/>
        </w:rPr>
        <w:t>证明）</w:t>
      </w:r>
    </w:p>
    <w:p>
      <w:pPr>
        <w:pStyle w:val="4"/>
        <w:jc w:val="left"/>
      </w:pPr>
      <w:r>
        <w:rPr>
          <w:rFonts w:ascii="宋体" w:hAnsi="宋体" w:eastAsia="宋体" w:cs="宋体"/>
          <w:b/>
          <w:sz w:val="24"/>
        </w:rPr>
        <w:t>2.2.11迎评评审评价管理</w:t>
      </w:r>
    </w:p>
    <w:p>
      <w:pPr>
        <w:pStyle w:val="4"/>
        <w:jc w:val="left"/>
      </w:pPr>
      <w:r>
        <w:rPr>
          <w:rFonts w:ascii="宋体" w:hAnsi="宋体" w:eastAsia="宋体" w:cs="宋体"/>
          <w:b/>
          <w:sz w:val="24"/>
        </w:rPr>
        <w:t>2.2.11.1三类指标上报平台</w:t>
      </w:r>
    </w:p>
    <w:p>
      <w:pPr>
        <w:pStyle w:val="4"/>
        <w:spacing w:before="60" w:after="60"/>
        <w:ind w:firstLine="420"/>
        <w:jc w:val="left"/>
      </w:pPr>
      <w:r>
        <w:rPr>
          <w:rFonts w:ascii="宋体" w:hAnsi="宋体" w:eastAsia="宋体" w:cs="宋体"/>
          <w:sz w:val="24"/>
        </w:rPr>
        <w:t>支持福建省等级医院创建政策解读，严格按照福建省卫健委创建标准实施细则的要求，内置第四周期《福建省综合性医院等级创建标准》各类指标；内置与《福建省医院等级创建标准》各类指标相匹配的参考资料和模板；针对《福建省医院等级创建标准》各类指标提供专家的专业解读，并预置在任务详情中，便于执行人查看。</w:t>
      </w:r>
    </w:p>
    <w:p>
      <w:pPr>
        <w:pStyle w:val="4"/>
        <w:spacing w:before="60" w:after="60"/>
        <w:ind w:firstLine="420"/>
        <w:jc w:val="left"/>
      </w:pPr>
      <w:r>
        <w:rPr>
          <w:rFonts w:ascii="宋体" w:hAnsi="宋体" w:eastAsia="宋体" w:cs="宋体"/>
          <w:sz w:val="24"/>
        </w:rPr>
        <w:t>通过软件系统可辅助医院梳理管理组织架构、重建制度架构体系，支持医院日常创建管理。</w:t>
      </w:r>
    </w:p>
    <w:p>
      <w:pPr>
        <w:pStyle w:val="4"/>
        <w:spacing w:before="60" w:after="60"/>
        <w:ind w:firstLine="420"/>
        <w:jc w:val="left"/>
      </w:pPr>
      <w:r>
        <w:rPr>
          <w:rFonts w:ascii="宋体" w:hAnsi="宋体" w:eastAsia="宋体" w:cs="宋体"/>
          <w:sz w:val="24"/>
        </w:rPr>
        <w:t>支持通过信息化技术，一键导入创建任务分配,协助医院任务分配。一键导入自动创建人员登录信息和权限。支持创建标准维护，医院在等级医院迎评中优化任务分配、管控任务执行效果、整体把握项目进度；落实日常自评自查和迎评督评督查；汇集学习考试功能；所有操作关联条款并做到任务执行全过程留痕，便于追踪检查；同时资料归档在迎评台账下，实现信息集成，一键下载。</w:t>
      </w:r>
    </w:p>
    <w:p>
      <w:pPr>
        <w:pStyle w:val="4"/>
        <w:spacing w:before="60" w:after="60"/>
        <w:ind w:firstLine="420"/>
        <w:jc w:val="left"/>
      </w:pPr>
      <w:r>
        <w:rPr>
          <w:rFonts w:ascii="宋体" w:hAnsi="宋体" w:eastAsia="宋体" w:cs="宋体"/>
          <w:sz w:val="24"/>
        </w:rPr>
        <w:t>内置部分自查、督查模板，自查督查模板符合日常工作实际，以利于工作常态化、标准化。</w:t>
      </w:r>
    </w:p>
    <w:p>
      <w:pPr>
        <w:pStyle w:val="4"/>
        <w:spacing w:before="60" w:after="60"/>
        <w:ind w:firstLine="420"/>
        <w:jc w:val="left"/>
      </w:pPr>
      <w:r>
        <w:rPr>
          <w:rFonts w:ascii="宋体" w:hAnsi="宋体" w:eastAsia="宋体" w:cs="宋体"/>
          <w:sz w:val="24"/>
        </w:rPr>
        <w:t>系统可安装在医院内、外网。</w:t>
      </w:r>
    </w:p>
    <w:p>
      <w:pPr>
        <w:pStyle w:val="4"/>
        <w:spacing w:before="60" w:after="60"/>
        <w:ind w:firstLine="420"/>
        <w:jc w:val="left"/>
      </w:pPr>
      <w:r>
        <w:rPr>
          <w:rFonts w:ascii="宋体" w:hAnsi="宋体" w:eastAsia="宋体" w:cs="宋体"/>
          <w:sz w:val="24"/>
        </w:rPr>
        <w:t>各科室免安装客户端、直接使用浏览器访问。</w:t>
      </w:r>
    </w:p>
    <w:p>
      <w:pPr>
        <w:pStyle w:val="4"/>
        <w:spacing w:before="60" w:after="60"/>
        <w:jc w:val="left"/>
      </w:pPr>
      <w:r>
        <w:rPr>
          <w:rFonts w:ascii="宋体" w:hAnsi="宋体" w:eastAsia="宋体" w:cs="宋体"/>
          <w:sz w:val="24"/>
        </w:rPr>
        <w:t>（1）权限管理</w:t>
      </w:r>
    </w:p>
    <w:p>
      <w:pPr>
        <w:pStyle w:val="4"/>
        <w:spacing w:before="60" w:after="60"/>
        <w:ind w:firstLine="420"/>
        <w:jc w:val="left"/>
      </w:pPr>
      <w:r>
        <w:rPr>
          <w:rFonts w:ascii="宋体" w:hAnsi="宋体" w:eastAsia="宋体" w:cs="宋体"/>
          <w:sz w:val="24"/>
        </w:rPr>
        <w:t>资料库支持设置查看权限和编辑权限，任务条款、自查考核、督查考核、评价创建均支持权限管理，非管理员仅可查看到与自己相关的内容。</w:t>
      </w:r>
    </w:p>
    <w:p>
      <w:pPr>
        <w:pStyle w:val="4"/>
        <w:spacing w:before="60" w:after="60"/>
        <w:jc w:val="left"/>
      </w:pPr>
      <w:r>
        <w:rPr>
          <w:rFonts w:ascii="宋体" w:hAnsi="宋体" w:eastAsia="宋体" w:cs="宋体"/>
          <w:sz w:val="24"/>
        </w:rPr>
        <w:t>（2）角色管理</w:t>
      </w:r>
    </w:p>
    <w:p>
      <w:pPr>
        <w:pStyle w:val="4"/>
        <w:spacing w:before="60" w:after="60"/>
        <w:ind w:firstLine="420"/>
        <w:jc w:val="left"/>
      </w:pPr>
      <w:r>
        <w:rPr>
          <w:rFonts w:ascii="宋体" w:hAnsi="宋体" w:eastAsia="宋体" w:cs="宋体"/>
          <w:sz w:val="24"/>
        </w:rPr>
        <w:t>支持对人员设置角色，如医疗组、督导领导、责任科室、执行科室等；支持对自查表和督查表设置标签、编号、类型等。</w:t>
      </w:r>
    </w:p>
    <w:p>
      <w:pPr>
        <w:pStyle w:val="4"/>
        <w:spacing w:before="60" w:after="60"/>
        <w:jc w:val="left"/>
      </w:pPr>
      <w:r>
        <w:rPr>
          <w:rFonts w:ascii="宋体" w:hAnsi="宋体" w:eastAsia="宋体" w:cs="宋体"/>
          <w:sz w:val="24"/>
        </w:rPr>
        <w:t>（3）参考模板及解读</w:t>
      </w:r>
    </w:p>
    <w:p>
      <w:pPr>
        <w:pStyle w:val="4"/>
        <w:spacing w:before="60" w:after="60"/>
        <w:ind w:firstLine="420"/>
        <w:jc w:val="left"/>
      </w:pPr>
      <w:r>
        <w:rPr>
          <w:rFonts w:ascii="宋体" w:hAnsi="宋体" w:eastAsia="宋体" w:cs="宋体"/>
          <w:sz w:val="24"/>
        </w:rPr>
        <w:t>内置等级标准要点以及围绕第四周期《福建省综合性医院等级创建标准》及《福建省精神病专科医院等级创建标准》各类指标迎评任务执行的参考附件及解读，可支持复制和下载，以利于执行人参考和提高修订效率；</w:t>
      </w:r>
    </w:p>
    <w:p>
      <w:pPr>
        <w:pStyle w:val="4"/>
        <w:spacing w:before="60" w:after="60"/>
        <w:jc w:val="left"/>
      </w:pPr>
      <w:r>
        <w:rPr>
          <w:rFonts w:ascii="宋体" w:hAnsi="宋体" w:eastAsia="宋体" w:cs="宋体"/>
          <w:sz w:val="24"/>
        </w:rPr>
        <w:t>（4）知识库</w:t>
      </w:r>
    </w:p>
    <w:p>
      <w:pPr>
        <w:pStyle w:val="4"/>
        <w:spacing w:before="60" w:after="60"/>
        <w:ind w:firstLine="420"/>
        <w:jc w:val="left"/>
      </w:pPr>
      <w:r>
        <w:rPr>
          <w:rFonts w:ascii="宋体" w:hAnsi="宋体" w:eastAsia="宋体" w:cs="宋体"/>
          <w:sz w:val="24"/>
        </w:rPr>
        <w:t>支持知识库库管理，资料库内可存储医院各类制度、会议、培训、检查等资料；支持查看权限和编辑权限的设置；支持批量导入知识库文件；支持新建、删除、移动等操作；支持资料批量上传。知识库内的文件可与条款双向关联，以免重复上传。</w:t>
      </w:r>
    </w:p>
    <w:p>
      <w:pPr>
        <w:pStyle w:val="4"/>
        <w:spacing w:before="60" w:after="60"/>
        <w:jc w:val="left"/>
      </w:pPr>
      <w:r>
        <w:rPr>
          <w:rFonts w:ascii="宋体" w:hAnsi="宋体" w:eastAsia="宋体" w:cs="宋体"/>
          <w:sz w:val="24"/>
        </w:rPr>
        <w:t>（5）试题及考试管理</w:t>
      </w:r>
    </w:p>
    <w:p>
      <w:pPr>
        <w:pStyle w:val="4"/>
        <w:spacing w:before="60" w:after="60"/>
        <w:ind w:firstLine="420"/>
        <w:jc w:val="left"/>
      </w:pPr>
      <w:r>
        <w:rPr>
          <w:rFonts w:ascii="宋体" w:hAnsi="宋体" w:eastAsia="宋体" w:cs="宋体"/>
          <w:sz w:val="24"/>
        </w:rPr>
        <w:t>支持医院新建题库、试卷库，可批量导入题目。支持新建、删除、编辑考试卷；支持试题手动添加和批量导入和从题库抽取题目（题库需医院自己维护）；支持指定考试人员和规定的考试次数、考试时间、支持进行题目随机设置；支持电脑端进行考试；支持自动评分；支持重考；支持考试统计结果导出，关联条款，并进行考试资料自动归档。</w:t>
      </w:r>
    </w:p>
    <w:p>
      <w:pPr>
        <w:pStyle w:val="4"/>
        <w:spacing w:before="60" w:after="60"/>
        <w:jc w:val="left"/>
      </w:pPr>
      <w:r>
        <w:rPr>
          <w:rFonts w:ascii="宋体" w:hAnsi="宋体" w:eastAsia="宋体" w:cs="宋体"/>
          <w:sz w:val="24"/>
        </w:rPr>
        <w:t>（6）学习管理</w:t>
      </w:r>
    </w:p>
    <w:p>
      <w:pPr>
        <w:pStyle w:val="4"/>
        <w:spacing w:before="75" w:after="75"/>
        <w:ind w:firstLine="420"/>
        <w:jc w:val="both"/>
      </w:pPr>
      <w:r>
        <w:rPr>
          <w:rFonts w:ascii="宋体" w:hAnsi="宋体" w:eastAsia="宋体" w:cs="宋体"/>
          <w:sz w:val="24"/>
        </w:rPr>
        <w:t>支持新建学习任务，支持从本地添加学习资料，支持指定学习人员和学习时间，学习资料格式支持PPT、Word、Excel、图片、PDF、视频；支持电脑端进行学习；支持查看学习结果；支持学习资料关联条款，医务人员学习情况留痕。</w:t>
      </w:r>
    </w:p>
    <w:p>
      <w:pPr>
        <w:pStyle w:val="4"/>
        <w:jc w:val="left"/>
      </w:pPr>
      <w:r>
        <w:rPr>
          <w:rFonts w:ascii="宋体" w:hAnsi="宋体" w:eastAsia="宋体" w:cs="宋体"/>
          <w:b/>
          <w:sz w:val="24"/>
        </w:rPr>
        <w:t>2.2.11.2 质控督查模块</w:t>
      </w:r>
    </w:p>
    <w:p>
      <w:pPr>
        <w:pStyle w:val="4"/>
        <w:spacing w:before="60" w:after="60"/>
        <w:jc w:val="left"/>
      </w:pPr>
      <w:r>
        <w:rPr>
          <w:rFonts w:ascii="宋体" w:hAnsi="宋体" w:eastAsia="宋体" w:cs="宋体"/>
          <w:sz w:val="24"/>
        </w:rPr>
        <w:t>（1）自查考核模板管理</w:t>
      </w:r>
    </w:p>
    <w:p>
      <w:pPr>
        <w:pStyle w:val="4"/>
        <w:spacing w:before="60" w:after="60"/>
        <w:ind w:firstLine="420"/>
        <w:jc w:val="left"/>
      </w:pPr>
      <w:r>
        <w:rPr>
          <w:rFonts w:ascii="宋体" w:hAnsi="宋体" w:eastAsia="宋体" w:cs="宋体"/>
          <w:sz w:val="24"/>
        </w:rPr>
        <w:t>支持手动添加自查模板；支持模板批量导入；支持自查模板批量作废；支持模板设置编号、类别、名称、自查频次、自查人等，支持自查模板权限管理。</w:t>
      </w:r>
    </w:p>
    <w:p>
      <w:pPr>
        <w:pStyle w:val="4"/>
        <w:spacing w:before="60" w:after="60"/>
        <w:jc w:val="left"/>
      </w:pPr>
      <w:r>
        <w:rPr>
          <w:rFonts w:ascii="宋体" w:hAnsi="宋体" w:eastAsia="宋体" w:cs="宋体"/>
          <w:sz w:val="24"/>
        </w:rPr>
        <w:t>（2）督查考核流程管理</w:t>
      </w:r>
    </w:p>
    <w:p>
      <w:pPr>
        <w:pStyle w:val="4"/>
        <w:spacing w:before="60" w:after="60"/>
        <w:ind w:firstLine="420"/>
        <w:jc w:val="left"/>
      </w:pPr>
      <w:r>
        <w:rPr>
          <w:rFonts w:ascii="宋体" w:hAnsi="宋体" w:eastAsia="宋体" w:cs="宋体"/>
          <w:sz w:val="24"/>
        </w:rPr>
        <w:t>收到待办督查时能收到提醒；支持督查打分、上传图片并反馈督查当前问题和解决建议的输入；根据督查的类别不同，支持定期督查。支持所有已执行完成的督查表单统一归档，支持自己部门和上级领导对督查表单进行统计；统计结果支持数据或用曲线图柱状图等多种图表展示；支持按科室、日期等进行查询统计。</w:t>
      </w:r>
    </w:p>
    <w:p>
      <w:pPr>
        <w:pStyle w:val="4"/>
        <w:spacing w:before="60" w:after="60"/>
        <w:ind w:firstLine="420"/>
        <w:jc w:val="left"/>
      </w:pPr>
      <w:r>
        <w:rPr>
          <w:rFonts w:ascii="宋体" w:hAnsi="宋体" w:eastAsia="宋体" w:cs="宋体"/>
          <w:sz w:val="24"/>
        </w:rPr>
        <w:t>支持督查意见抓取流转并可以反馈给科室成员，形成督查持续改进。</w:t>
      </w:r>
    </w:p>
    <w:p>
      <w:pPr>
        <w:pStyle w:val="4"/>
        <w:spacing w:before="60" w:after="60"/>
        <w:jc w:val="left"/>
      </w:pPr>
      <w:r>
        <w:rPr>
          <w:rFonts w:ascii="宋体" w:hAnsi="宋体" w:eastAsia="宋体" w:cs="宋体"/>
          <w:sz w:val="24"/>
        </w:rPr>
        <w:t>（3）督查考核模板管理</w:t>
      </w:r>
    </w:p>
    <w:p>
      <w:pPr>
        <w:pStyle w:val="4"/>
        <w:spacing w:before="60" w:after="60"/>
        <w:ind w:firstLine="420"/>
        <w:jc w:val="left"/>
      </w:pPr>
      <w:r>
        <w:rPr>
          <w:rFonts w:ascii="宋体" w:hAnsi="宋体" w:eastAsia="宋体" w:cs="宋体"/>
          <w:sz w:val="24"/>
        </w:rPr>
        <w:t>收到待办督查时能收到提醒；支持自查打分、上传图片并反馈督查当前问题和解决建议的输入；根据督查的类别不同，支持定期督自查。支持所有已执行完成的督查表单统一归档，支持自己部门和上级领导对督查表单进行统计；统计结果支持数据或用曲线图柱状图等多种图表展示；支持按科室、日期等进行查询统计</w:t>
      </w:r>
    </w:p>
    <w:p>
      <w:pPr>
        <w:pStyle w:val="4"/>
        <w:spacing w:before="75" w:after="75"/>
        <w:ind w:firstLine="420"/>
        <w:jc w:val="both"/>
      </w:pPr>
      <w:r>
        <w:rPr>
          <w:rFonts w:ascii="宋体" w:hAnsi="宋体" w:eastAsia="宋体" w:cs="宋体"/>
          <w:sz w:val="24"/>
        </w:rPr>
        <w:t>支持督查意见抓取流转并可以反馈给科室成员，形成督查持续改进。</w:t>
      </w:r>
    </w:p>
    <w:p>
      <w:pPr>
        <w:pStyle w:val="4"/>
        <w:spacing w:before="75" w:after="75"/>
        <w:ind w:firstLine="420"/>
        <w:jc w:val="both"/>
      </w:pPr>
      <w:r>
        <w:rPr>
          <w:rFonts w:ascii="宋体" w:hAnsi="宋体" w:eastAsia="宋体" w:cs="宋体"/>
          <w:b/>
          <w:sz w:val="24"/>
        </w:rPr>
        <w:t>2.2.11.3台账管理</w:t>
      </w:r>
    </w:p>
    <w:p>
      <w:pPr>
        <w:pStyle w:val="4"/>
        <w:spacing w:before="75" w:after="75"/>
        <w:ind w:firstLine="420"/>
        <w:jc w:val="both"/>
      </w:pPr>
      <w:r>
        <w:t xml:space="preserve"> </w:t>
      </w:r>
      <w:r>
        <w:rPr>
          <w:rFonts w:ascii="宋体" w:hAnsi="宋体" w:eastAsia="宋体" w:cs="宋体"/>
          <w:sz w:val="24"/>
        </w:rPr>
        <w:t>（1）在线学习</w:t>
      </w:r>
    </w:p>
    <w:p>
      <w:pPr>
        <w:pStyle w:val="4"/>
        <w:spacing w:before="60" w:after="60"/>
        <w:ind w:firstLine="420"/>
        <w:jc w:val="left"/>
      </w:pPr>
      <w:r>
        <w:rPr>
          <w:rFonts w:ascii="宋体" w:hAnsi="宋体" w:eastAsia="宋体" w:cs="宋体"/>
          <w:sz w:val="24"/>
        </w:rPr>
        <w:t>用户可突破办公环境限制，可通过移动端+PC端随时随地对制度进行学习、查阅、考试。</w:t>
      </w:r>
    </w:p>
    <w:p>
      <w:pPr>
        <w:pStyle w:val="4"/>
        <w:spacing w:before="60" w:after="60"/>
        <w:jc w:val="left"/>
      </w:pPr>
      <w:r>
        <w:rPr>
          <w:rFonts w:ascii="宋体" w:hAnsi="宋体" w:eastAsia="宋体" w:cs="宋体"/>
          <w:sz w:val="24"/>
        </w:rPr>
        <w:t>学习板块通过计时学习+自测+自测答疑解析，可及时巩固知识点，全院制度学习排名也会在每个用户的主界面进行显示，增强学习氛围感。</w:t>
      </w:r>
    </w:p>
    <w:p>
      <w:pPr>
        <w:pStyle w:val="4"/>
        <w:spacing w:before="60" w:after="60"/>
        <w:ind w:firstLine="420"/>
        <w:jc w:val="left"/>
      </w:pPr>
      <w:r>
        <w:rPr>
          <w:rFonts w:ascii="宋体" w:hAnsi="宋体" w:eastAsia="宋体" w:cs="宋体"/>
          <w:sz w:val="24"/>
        </w:rPr>
        <w:t>制度查阅板块采用高级搜索，可按制度类别/学习状态/修订单位查询，或者采用编号和关键字的模糊查询，快速获取想要的制度并导出（带动态水印保护知识成果）。</w:t>
      </w:r>
    </w:p>
    <w:p>
      <w:pPr>
        <w:pStyle w:val="4"/>
        <w:spacing w:before="60" w:after="60"/>
        <w:jc w:val="left"/>
      </w:pPr>
      <w:r>
        <w:rPr>
          <w:rFonts w:ascii="宋体" w:hAnsi="宋体" w:eastAsia="宋体" w:cs="宋体"/>
          <w:sz w:val="24"/>
        </w:rPr>
        <w:t>制度考试板块设置个人考务管理中心，在这里可以完成医院推送的试卷，也可对已完成试卷查看成绩，并参照显示的解析对错误点进行及时巩固复习。</w:t>
      </w:r>
    </w:p>
    <w:p>
      <w:pPr>
        <w:pStyle w:val="4"/>
        <w:spacing w:before="60" w:after="60"/>
        <w:jc w:val="left"/>
      </w:pPr>
      <w:r>
        <w:rPr>
          <w:rFonts w:ascii="宋体" w:hAnsi="宋体" w:eastAsia="宋体" w:cs="宋体"/>
          <w:sz w:val="24"/>
        </w:rPr>
        <w:t>1）通过工号+密码登陆查看</w:t>
      </w:r>
    </w:p>
    <w:p>
      <w:pPr>
        <w:pStyle w:val="4"/>
        <w:spacing w:before="60" w:after="60"/>
        <w:jc w:val="left"/>
      </w:pPr>
      <w:r>
        <w:rPr>
          <w:rFonts w:ascii="宋体" w:hAnsi="宋体" w:eastAsia="宋体" w:cs="宋体"/>
          <w:sz w:val="24"/>
        </w:rPr>
        <w:t>2）动态学习面板</w:t>
      </w:r>
    </w:p>
    <w:p>
      <w:pPr>
        <w:pStyle w:val="4"/>
        <w:spacing w:before="60" w:after="60"/>
        <w:jc w:val="left"/>
      </w:pPr>
      <w:r>
        <w:rPr>
          <w:rFonts w:ascii="宋体" w:hAnsi="宋体" w:eastAsia="宋体" w:cs="宋体"/>
          <w:sz w:val="24"/>
        </w:rPr>
        <w:t>3）计时学习</w:t>
      </w:r>
    </w:p>
    <w:p>
      <w:pPr>
        <w:pStyle w:val="4"/>
        <w:spacing w:before="60" w:after="60"/>
        <w:jc w:val="left"/>
      </w:pPr>
      <w:r>
        <w:rPr>
          <w:rFonts w:ascii="宋体" w:hAnsi="宋体" w:eastAsia="宋体" w:cs="宋体"/>
          <w:sz w:val="24"/>
        </w:rPr>
        <w:t>4）自测练习</w:t>
      </w:r>
    </w:p>
    <w:p>
      <w:pPr>
        <w:pStyle w:val="4"/>
        <w:spacing w:before="60" w:after="60"/>
        <w:jc w:val="left"/>
      </w:pPr>
      <w:r>
        <w:rPr>
          <w:rFonts w:ascii="宋体" w:hAnsi="宋体" w:eastAsia="宋体" w:cs="宋体"/>
          <w:sz w:val="24"/>
        </w:rPr>
        <w:t>5）自测答疑解析</w:t>
      </w:r>
    </w:p>
    <w:p>
      <w:pPr>
        <w:pStyle w:val="4"/>
        <w:spacing w:before="60" w:after="60"/>
        <w:jc w:val="left"/>
      </w:pPr>
      <w:r>
        <w:rPr>
          <w:rFonts w:ascii="宋体" w:hAnsi="宋体" w:eastAsia="宋体" w:cs="宋体"/>
          <w:sz w:val="24"/>
        </w:rPr>
        <w:t>6）个人考务管理</w:t>
      </w:r>
    </w:p>
    <w:p>
      <w:pPr>
        <w:pStyle w:val="4"/>
        <w:spacing w:before="60" w:after="60"/>
        <w:jc w:val="left"/>
      </w:pPr>
      <w:r>
        <w:rPr>
          <w:rFonts w:ascii="宋体" w:hAnsi="宋体" w:eastAsia="宋体" w:cs="宋体"/>
          <w:sz w:val="24"/>
        </w:rPr>
        <w:t>7）制度高级搜索</w:t>
      </w:r>
    </w:p>
    <w:p>
      <w:pPr>
        <w:pStyle w:val="4"/>
        <w:spacing w:before="60" w:after="60"/>
        <w:jc w:val="left"/>
      </w:pPr>
      <w:r>
        <w:rPr>
          <w:rFonts w:ascii="宋体" w:hAnsi="宋体" w:eastAsia="宋体" w:cs="宋体"/>
          <w:sz w:val="24"/>
        </w:rPr>
        <w:t>8）全屏阅读缩放</w:t>
      </w:r>
    </w:p>
    <w:p>
      <w:pPr>
        <w:pStyle w:val="4"/>
        <w:spacing w:before="60" w:after="60"/>
        <w:jc w:val="left"/>
      </w:pPr>
      <w:r>
        <w:rPr>
          <w:rFonts w:ascii="宋体" w:hAnsi="宋体" w:eastAsia="宋体" w:cs="宋体"/>
          <w:sz w:val="24"/>
        </w:rPr>
        <w:t>（2）审批流程</w:t>
      </w:r>
    </w:p>
    <w:p>
      <w:pPr>
        <w:pStyle w:val="4"/>
        <w:spacing w:before="60" w:after="60"/>
        <w:jc w:val="left"/>
      </w:pPr>
      <w:r>
        <w:rPr>
          <w:rFonts w:ascii="宋体" w:hAnsi="宋体" w:eastAsia="宋体" w:cs="宋体"/>
          <w:sz w:val="24"/>
        </w:rPr>
        <w:t>1）对应制度分类自由创建审批流程</w:t>
      </w:r>
    </w:p>
    <w:p>
      <w:pPr>
        <w:pStyle w:val="4"/>
        <w:spacing w:before="60" w:after="60"/>
        <w:jc w:val="left"/>
      </w:pPr>
      <w:r>
        <w:rPr>
          <w:rFonts w:ascii="宋体" w:hAnsi="宋体" w:eastAsia="宋体" w:cs="宋体"/>
          <w:sz w:val="24"/>
        </w:rPr>
        <w:t>2）同级、交叉审批人员选择、流程设定</w:t>
      </w:r>
    </w:p>
    <w:p>
      <w:pPr>
        <w:pStyle w:val="4"/>
        <w:spacing w:before="60" w:after="60"/>
        <w:jc w:val="left"/>
      </w:pPr>
      <w:r>
        <w:rPr>
          <w:rFonts w:ascii="宋体" w:hAnsi="宋体" w:eastAsia="宋体" w:cs="宋体"/>
          <w:sz w:val="24"/>
        </w:rPr>
        <w:t>3）审批任务提醒</w:t>
      </w:r>
    </w:p>
    <w:p>
      <w:pPr>
        <w:pStyle w:val="4"/>
        <w:spacing w:before="60" w:after="60"/>
        <w:jc w:val="left"/>
      </w:pPr>
      <w:r>
        <w:rPr>
          <w:rFonts w:ascii="宋体" w:hAnsi="宋体" w:eastAsia="宋体" w:cs="宋体"/>
          <w:sz w:val="24"/>
        </w:rPr>
        <w:t>4）个人审批清单汇总（已审核/未审核/审核总进度）</w:t>
      </w:r>
    </w:p>
    <w:p>
      <w:pPr>
        <w:pStyle w:val="4"/>
        <w:spacing w:before="60" w:after="60"/>
        <w:jc w:val="left"/>
      </w:pPr>
      <w:r>
        <w:rPr>
          <w:rFonts w:ascii="宋体" w:hAnsi="宋体" w:eastAsia="宋体" w:cs="宋体"/>
          <w:sz w:val="24"/>
        </w:rPr>
        <w:t>5）审批历史记录查看</w:t>
      </w:r>
    </w:p>
    <w:p>
      <w:pPr>
        <w:pStyle w:val="4"/>
        <w:spacing w:before="60" w:after="60"/>
        <w:jc w:val="left"/>
      </w:pPr>
      <w:r>
        <w:rPr>
          <w:rFonts w:ascii="宋体" w:hAnsi="宋体" w:eastAsia="宋体" w:cs="宋体"/>
          <w:sz w:val="24"/>
        </w:rPr>
        <w:t>6）审批节点耗时查看</w:t>
      </w:r>
    </w:p>
    <w:p>
      <w:pPr>
        <w:pStyle w:val="4"/>
        <w:spacing w:before="60" w:after="60"/>
        <w:jc w:val="left"/>
      </w:pPr>
      <w:r>
        <w:rPr>
          <w:rFonts w:ascii="宋体" w:hAnsi="宋体" w:eastAsia="宋体" w:cs="宋体"/>
          <w:sz w:val="24"/>
        </w:rPr>
        <w:t>7）节点超时消息催审</w:t>
      </w:r>
    </w:p>
    <w:p>
      <w:pPr>
        <w:pStyle w:val="4"/>
        <w:spacing w:before="60" w:after="60"/>
        <w:jc w:val="left"/>
      </w:pPr>
      <w:r>
        <w:rPr>
          <w:rFonts w:ascii="宋体" w:hAnsi="宋体" w:eastAsia="宋体" w:cs="宋体"/>
          <w:sz w:val="24"/>
        </w:rPr>
        <w:t>8）待审批制度全页面预览+审批意见填写（拒绝/同意+意见）</w:t>
      </w:r>
    </w:p>
    <w:p>
      <w:pPr>
        <w:pStyle w:val="4"/>
        <w:spacing w:before="60" w:after="60"/>
        <w:jc w:val="left"/>
      </w:pPr>
      <w:r>
        <w:rPr>
          <w:rFonts w:ascii="宋体" w:hAnsi="宋体" w:eastAsia="宋体" w:cs="宋体"/>
          <w:sz w:val="24"/>
        </w:rPr>
        <w:t>9）集中审批绑定（如科室制度审批流程相同，可绑定同个审批流）</w:t>
      </w:r>
    </w:p>
    <w:p>
      <w:pPr>
        <w:pStyle w:val="4"/>
        <w:spacing w:before="60" w:after="60"/>
        <w:jc w:val="left"/>
      </w:pPr>
      <w:r>
        <w:rPr>
          <w:rFonts w:ascii="宋体" w:hAnsi="宋体" w:eastAsia="宋体" w:cs="宋体"/>
          <w:sz w:val="24"/>
        </w:rPr>
        <w:t>10）审批人员对通过的制度可在线电子会签及盖章。</w:t>
      </w:r>
    </w:p>
    <w:p>
      <w:pPr>
        <w:pStyle w:val="4"/>
        <w:spacing w:before="60" w:after="60"/>
        <w:jc w:val="left"/>
      </w:pPr>
      <w:r>
        <w:rPr>
          <w:rFonts w:ascii="宋体" w:hAnsi="宋体" w:eastAsia="宋体" w:cs="宋体"/>
          <w:sz w:val="24"/>
        </w:rPr>
        <w:t>（3）制度发布及流程管理：</w:t>
      </w:r>
    </w:p>
    <w:p>
      <w:pPr>
        <w:pStyle w:val="4"/>
        <w:spacing w:before="60" w:after="60"/>
        <w:ind w:firstLine="420"/>
        <w:jc w:val="left"/>
      </w:pPr>
      <w:r>
        <w:rPr>
          <w:rFonts w:ascii="宋体" w:hAnsi="宋体" w:eastAsia="宋体" w:cs="宋体"/>
          <w:sz w:val="24"/>
        </w:rPr>
        <w:t>可实现多组织管理（医联体/医共体），可对用户一键导出，赋予相应角色加对应权限，可实现制度个性化展示（如科员仅能查看本科室制度），科室各自维护制度等个性化功能。</w:t>
      </w:r>
    </w:p>
    <w:p>
      <w:pPr>
        <w:pStyle w:val="4"/>
        <w:spacing w:before="60" w:after="60"/>
        <w:ind w:firstLine="420"/>
        <w:jc w:val="left"/>
      </w:pPr>
      <w:r>
        <w:rPr>
          <w:rFonts w:ascii="宋体" w:hAnsi="宋体" w:eastAsia="宋体" w:cs="宋体"/>
          <w:sz w:val="24"/>
        </w:rPr>
        <w:t>系统支持结构化数据存储和word版本批量录入导入方式。将制度统一拆解成几大板块，分模块编辑录入，统一制度建设和管理标准，可对核心制度进行呈现上的标注强调；制度新增或修改完成后，可直接提交进入审批流程，提高实效性。</w:t>
      </w:r>
    </w:p>
    <w:p>
      <w:pPr>
        <w:pStyle w:val="4"/>
        <w:spacing w:before="60" w:after="60"/>
        <w:jc w:val="left"/>
      </w:pPr>
      <w:r>
        <w:rPr>
          <w:rFonts w:ascii="宋体" w:hAnsi="宋体" w:eastAsia="宋体" w:cs="宋体"/>
          <w:sz w:val="24"/>
        </w:rPr>
        <w:t xml:space="preserve">  制度考试可在管理后台进行一键组卷，选择考试人员进行一键推送，可实现PC/手机端考试，或生成本试卷二维码，进行统一线下考试，考试完成后可查看考生成绩，进行成绩导出，为后续管理提供参考。</w:t>
      </w:r>
    </w:p>
    <w:p>
      <w:pPr>
        <w:pStyle w:val="4"/>
        <w:spacing w:before="60" w:after="60"/>
        <w:jc w:val="left"/>
      </w:pPr>
      <w:r>
        <w:rPr>
          <w:rFonts w:ascii="宋体" w:hAnsi="宋体" w:eastAsia="宋体" w:cs="宋体"/>
          <w:sz w:val="24"/>
        </w:rPr>
        <w:t>1）多组织管理（医联体/医共体）</w:t>
      </w:r>
    </w:p>
    <w:p>
      <w:pPr>
        <w:pStyle w:val="4"/>
        <w:spacing w:before="60" w:after="60"/>
        <w:jc w:val="left"/>
      </w:pPr>
      <w:r>
        <w:rPr>
          <w:rFonts w:ascii="宋体" w:hAnsi="宋体" w:eastAsia="宋体" w:cs="宋体"/>
          <w:sz w:val="24"/>
        </w:rPr>
        <w:t>2）用户一键导出</w:t>
      </w:r>
    </w:p>
    <w:p>
      <w:pPr>
        <w:pStyle w:val="4"/>
        <w:spacing w:before="60" w:after="60"/>
        <w:jc w:val="left"/>
      </w:pPr>
      <w:r>
        <w:rPr>
          <w:rFonts w:ascii="宋体" w:hAnsi="宋体" w:eastAsia="宋体" w:cs="宋体"/>
          <w:sz w:val="24"/>
        </w:rPr>
        <w:t>3）用户权限自由分配</w:t>
      </w:r>
    </w:p>
    <w:p>
      <w:pPr>
        <w:pStyle w:val="4"/>
        <w:spacing w:before="60" w:after="60"/>
        <w:jc w:val="left"/>
      </w:pPr>
      <w:r>
        <w:rPr>
          <w:rFonts w:ascii="宋体" w:hAnsi="宋体" w:eastAsia="宋体" w:cs="宋体"/>
          <w:sz w:val="24"/>
        </w:rPr>
        <w:t>4）制度模版自定义</w:t>
      </w:r>
    </w:p>
    <w:p>
      <w:pPr>
        <w:pStyle w:val="4"/>
        <w:spacing w:before="60" w:after="60"/>
        <w:jc w:val="left"/>
      </w:pPr>
      <w:r>
        <w:rPr>
          <w:rFonts w:ascii="宋体" w:hAnsi="宋体" w:eastAsia="宋体" w:cs="宋体"/>
          <w:sz w:val="24"/>
        </w:rPr>
        <w:t>5）制度一键发布</w:t>
      </w:r>
    </w:p>
    <w:p>
      <w:pPr>
        <w:pStyle w:val="4"/>
        <w:spacing w:before="60" w:after="60"/>
        <w:jc w:val="left"/>
      </w:pPr>
      <w:r>
        <w:rPr>
          <w:rFonts w:ascii="宋体" w:hAnsi="宋体" w:eastAsia="宋体" w:cs="宋体"/>
          <w:sz w:val="24"/>
        </w:rPr>
        <w:t>6）历史版本留痕对比（等级评审要求所有制度可溯源）</w:t>
      </w:r>
    </w:p>
    <w:p>
      <w:pPr>
        <w:pStyle w:val="4"/>
        <w:spacing w:before="60" w:after="60"/>
        <w:jc w:val="left"/>
      </w:pPr>
      <w:r>
        <w:rPr>
          <w:rFonts w:ascii="宋体" w:hAnsi="宋体" w:eastAsia="宋体" w:cs="宋体"/>
          <w:sz w:val="24"/>
        </w:rPr>
        <w:t>7）结构化数据存储</w:t>
      </w:r>
    </w:p>
    <w:p>
      <w:pPr>
        <w:pStyle w:val="4"/>
        <w:spacing w:before="60" w:after="60"/>
        <w:jc w:val="left"/>
      </w:pPr>
      <w:r>
        <w:rPr>
          <w:rFonts w:ascii="宋体" w:hAnsi="宋体" w:eastAsia="宋体" w:cs="宋体"/>
          <w:sz w:val="24"/>
        </w:rPr>
        <w:t>8）一键自由组卷</w:t>
      </w:r>
    </w:p>
    <w:p>
      <w:pPr>
        <w:pStyle w:val="4"/>
        <w:spacing w:before="60" w:after="60"/>
        <w:jc w:val="left"/>
      </w:pPr>
      <w:r>
        <w:rPr>
          <w:rFonts w:ascii="宋体" w:hAnsi="宋体" w:eastAsia="宋体" w:cs="宋体"/>
          <w:sz w:val="24"/>
        </w:rPr>
        <w:t>9）一键安排考试</w:t>
      </w:r>
    </w:p>
    <w:p>
      <w:pPr>
        <w:pStyle w:val="4"/>
        <w:spacing w:before="60" w:after="60"/>
        <w:jc w:val="left"/>
      </w:pPr>
      <w:r>
        <w:rPr>
          <w:rFonts w:ascii="宋体" w:hAnsi="宋体" w:eastAsia="宋体" w:cs="宋体"/>
          <w:sz w:val="24"/>
        </w:rPr>
        <w:t>10）考试成绩查询</w:t>
      </w:r>
    </w:p>
    <w:p>
      <w:pPr>
        <w:pStyle w:val="4"/>
        <w:spacing w:before="60" w:after="60"/>
        <w:jc w:val="left"/>
      </w:pPr>
      <w:r>
        <w:rPr>
          <w:rFonts w:ascii="宋体" w:hAnsi="宋体" w:eastAsia="宋体" w:cs="宋体"/>
          <w:sz w:val="24"/>
        </w:rPr>
        <w:t>（4）知识库</w:t>
      </w:r>
    </w:p>
    <w:p>
      <w:pPr>
        <w:pStyle w:val="4"/>
        <w:spacing w:before="60" w:after="60"/>
        <w:jc w:val="left"/>
      </w:pPr>
      <w:r>
        <w:rPr>
          <w:rFonts w:ascii="宋体" w:hAnsi="宋体" w:eastAsia="宋体" w:cs="宋体"/>
          <w:sz w:val="24"/>
        </w:rPr>
        <w:t>1）系统内置院科两级的制度管理体系建设</w:t>
      </w:r>
    </w:p>
    <w:p>
      <w:pPr>
        <w:pStyle w:val="4"/>
        <w:spacing w:before="60" w:after="60"/>
        <w:jc w:val="left"/>
      </w:pPr>
      <w:r>
        <w:rPr>
          <w:rFonts w:ascii="宋体" w:hAnsi="宋体" w:eastAsia="宋体" w:cs="宋体"/>
          <w:sz w:val="24"/>
        </w:rPr>
        <w:t>2）系统内置制度的表单设计</w:t>
      </w:r>
    </w:p>
    <w:p>
      <w:pPr>
        <w:pStyle w:val="4"/>
        <w:spacing w:before="60" w:after="60"/>
        <w:jc w:val="left"/>
      </w:pPr>
      <w:r>
        <w:rPr>
          <w:rFonts w:ascii="宋体" w:hAnsi="宋体" w:eastAsia="宋体" w:cs="宋体"/>
          <w:sz w:val="24"/>
        </w:rPr>
        <w:t>3）系统内置制度内容的模板及参考文件</w:t>
      </w:r>
    </w:p>
    <w:p>
      <w:pPr>
        <w:pStyle w:val="4"/>
        <w:spacing w:before="60" w:after="60"/>
        <w:jc w:val="left"/>
      </w:pPr>
      <w:r>
        <w:rPr>
          <w:rFonts w:ascii="宋体" w:hAnsi="宋体" w:eastAsia="宋体" w:cs="宋体"/>
          <w:sz w:val="24"/>
        </w:rPr>
        <w:t>4）知识库支持用户自定义增减、录入及维护</w:t>
      </w:r>
    </w:p>
    <w:p>
      <w:pPr>
        <w:pStyle w:val="4"/>
        <w:jc w:val="left"/>
      </w:pPr>
      <w:r>
        <w:rPr>
          <w:rFonts w:ascii="宋体" w:hAnsi="宋体" w:eastAsia="宋体" w:cs="宋体"/>
          <w:sz w:val="24"/>
        </w:rPr>
        <w:t>5）知识库可支持录入等评细则，并支持制度等台账同细则要点的关联。</w:t>
      </w:r>
    </w:p>
    <w:p>
      <w:pPr>
        <w:pStyle w:val="4"/>
        <w:jc w:val="left"/>
      </w:pPr>
      <w:r>
        <w:rPr>
          <w:rFonts w:ascii="宋体" w:hAnsi="宋体" w:eastAsia="宋体" w:cs="宋体"/>
          <w:b/>
          <w:sz w:val="24"/>
        </w:rPr>
        <w:t>2.2.11.4多端互联</w:t>
      </w:r>
    </w:p>
    <w:p>
      <w:pPr>
        <w:pStyle w:val="4"/>
        <w:spacing w:before="60" w:after="60"/>
        <w:jc w:val="left"/>
      </w:pPr>
    </w:p>
    <w:p>
      <w:pPr>
        <w:pStyle w:val="4"/>
        <w:spacing w:before="60" w:after="60"/>
        <w:jc w:val="left"/>
      </w:pPr>
      <w:r>
        <w:rPr>
          <w:rFonts w:ascii="宋体" w:hAnsi="宋体" w:eastAsia="宋体" w:cs="宋体"/>
          <w:sz w:val="24"/>
        </w:rPr>
        <w:t>（1）满足PC端之外，为了满足医务人员闲暇碎片式时间及出差也能兼顾日常工作，应支持通过手机钉钉端或企业微信端分别登录创建管理系统和制度管理系统并进行有关操作（若需第三方配合，相关费用包含在本项目中）。数据库同PC版共享互通，创建系统移动端能够满足消息查收，创建标准查阅、任务分派及条款目标设定、台账上传、审核、自查自评、达标情况及达标变化图标展现、培训考试。制度管理系统移动端需满足制度文件查看、审批、学习考试、制度总数图标展现等功能。</w:t>
      </w:r>
    </w:p>
    <w:p>
      <w:pPr>
        <w:pStyle w:val="4"/>
        <w:jc w:val="left"/>
      </w:pPr>
      <w:r>
        <w:rPr>
          <w:rFonts w:ascii="宋体" w:hAnsi="宋体" w:eastAsia="宋体" w:cs="宋体"/>
          <w:sz w:val="24"/>
        </w:rPr>
        <w:t>（2）为提升工作效率，创建系统和制度系统需互联互通，台账相互关联，避免重复上传。</w:t>
      </w:r>
    </w:p>
    <w:p>
      <w:pPr>
        <w:pStyle w:val="4"/>
        <w:jc w:val="left"/>
      </w:pPr>
    </w:p>
    <w:p>
      <w:pPr>
        <w:pStyle w:val="4"/>
        <w:jc w:val="left"/>
      </w:pPr>
      <w:r>
        <w:rPr>
          <w:rFonts w:ascii="宋体" w:hAnsi="宋体" w:eastAsia="宋体" w:cs="宋体"/>
          <w:b/>
          <w:sz w:val="24"/>
        </w:rPr>
        <w:t>2.2.11.5移动端</w:t>
      </w:r>
    </w:p>
    <w:p>
      <w:pPr>
        <w:pStyle w:val="4"/>
        <w:spacing w:before="60" w:after="60"/>
        <w:jc w:val="left"/>
      </w:pPr>
      <w:r>
        <w:rPr>
          <w:rFonts w:ascii="宋体" w:hAnsi="宋体" w:eastAsia="宋体" w:cs="宋体"/>
          <w:sz w:val="24"/>
        </w:rPr>
        <w:t>系统支持消息推送，实现制度系统审批，临期提醒等。</w:t>
      </w:r>
    </w:p>
    <w:p>
      <w:pPr>
        <w:pStyle w:val="4"/>
        <w:jc w:val="left"/>
      </w:pPr>
      <w:r>
        <w:rPr>
          <w:rFonts w:ascii="宋体" w:hAnsi="宋体" w:eastAsia="宋体" w:cs="宋体"/>
          <w:sz w:val="24"/>
        </w:rPr>
        <w:t>系统支持iOS、Android终端移动平台访问。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923771"/>
    <w:multiLevelType w:val="singleLevel"/>
    <w:tmpl w:val="BE923771"/>
    <w:lvl w:ilvl="0" w:tentative="0">
      <w:start w:val="1"/>
      <w:numFmt w:val="decimal"/>
      <w:lvlText w:val="%1."/>
      <w:lvlJc w:val="left"/>
      <w:pPr>
        <w:ind w:left="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JmNDNkMjMyMjU0ZDhkOGU4NGZlY2M3ZjI4ZGU3YjYifQ=="/>
  </w:docVars>
  <w:rsids>
    <w:rsidRoot w:val="11A73706"/>
    <w:rsid w:val="11A73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null3"/>
    <w:hidden/>
    <w:qFormat/>
    <w:uiPriority w:val="0"/>
    <w:rPr>
      <w:rFonts w:hint="eastAsia" w:asciiTheme="minorHAnsi" w:hAnsiTheme="minorHAnsi" w:eastAsiaTheme="minorEastAsia" w:cstheme="minorBidi"/>
      <w:lang w:val="en-US" w:eastAsia="zh-Han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2023-07-28T07:40:00Z</dcterms:created>
  <dc:creator>admin</dc:creator>
  <cp:lastModifiedBy>admin</cp:lastModifiedBy>
  <dcterms:modified xsi:type="dcterms:W3CDTF">2023-07-28T07:40:40Z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2B22771F472C44BA97B4958F904AFFB8_11</vt:lpwstr>
  </property>
</Properties>
</file>