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6"/>
          <w:szCs w:val="26"/>
        </w:rPr>
        <w:t xml:space="preserve">UNIVERSITÉ PROTESTANTE AU CONGO</w:t>
      </w:r>
    </w:p>
    <w:p>
      <w:pPr>
        <w:spacing w:after="300"/>
        <w:jc w:val="center"/>
      </w:pPr>
      <w:r>
        <w:rPr>
          <w:rFonts w:ascii="Times New Roman" w:cs="Times New Roman" w:eastAsia="Times New Roman" w:hAnsi="Times New Roman"/>
          <w:sz w:val="20"/>
          <w:szCs w:val="20"/>
        </w:rPr>
        <w:t xml:space="preserve">B.P. 4745 — KINSHASA / RÉPUBLIQUE DÉMOCRATIQUE DU CONGO</w:t>
      </w:r>
    </w:p>
    <w:p>
      <w:pPr>
        <w:spacing w:after="3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120"/>
        <w:jc w:val="center"/>
      </w:pPr>
      <w:r>
        <w:rPr>
          <w:rFonts w:ascii="Times New Roman" w:cs="Times New Roman" w:eastAsia="Times New Roman" w:hAnsi="Times New Roman"/>
          <w:b/>
          <w:bCs/>
          <w:sz w:val="26"/>
          <w:szCs w:val="26"/>
        </w:rPr>
        <w:t xml:space="preserve">FACULTÉ DES SCIENCES INFORMATIQUES</w:t>
      </w:r>
    </w:p>
    <w:p>
      <w:pPr>
        <w:spacing w:after="500"/>
        <w:jc w:val="center"/>
      </w:pPr>
      <w:r>
        <w:rPr>
          <w:rFonts w:ascii="Times New Roman" w:cs="Times New Roman" w:eastAsia="Times New Roman" w:hAnsi="Times New Roman"/>
          <w:sz w:val="22"/>
          <w:szCs w:val="22"/>
        </w:rPr>
        <w:t xml:space="preserve">Département de Génie Logiciel</w:t>
      </w:r>
    </w:p>
    <w:p>
      <w:pPr>
        <w:spacing w:after="60"/>
        <w:jc w:val="center"/>
      </w:pPr>
      <w:r>
        <w:rPr>
          <w:rFonts w:ascii="Times New Roman" w:cs="Times New Roman" w:eastAsia="Times New Roman" w:hAnsi="Times New Roman"/>
          <w:b/>
          <w:bCs/>
          <w:sz w:val="28"/>
          <w:szCs w:val="28"/>
        </w:rPr>
        <w:t xml:space="preserve">CONCEPTION ET MISE EN ŒUVRE D'UNE PLATEFORME FINTECH</w:t>
      </w:r>
    </w:p>
    <w:p>
      <w:pPr>
        <w:spacing w:after="200"/>
        <w:jc w:val="center"/>
      </w:pPr>
      <w:r>
        <w:rPr>
          <w:rFonts w:ascii="Times New Roman" w:cs="Times New Roman" w:eastAsia="Times New Roman" w:hAnsi="Times New Roman"/>
          <w:b/>
          <w:bCs/>
          <w:sz w:val="28"/>
          <w:szCs w:val="28"/>
        </w:rPr>
        <w:t xml:space="preserve">INTELLIGENTE POUR L'OCTROI DE MICRO-CRÉDITS À LA RAWBANK</w:t>
      </w:r>
    </w:p>
    <w:p>
      <w:pPr>
        <w:spacing w:after="500"/>
        <w:jc w:val="center"/>
      </w:pPr>
      <w:r>
        <w:rPr>
          <w:rFonts w:ascii="Times New Roman" w:cs="Times New Roman" w:eastAsia="Times New Roman" w:hAnsi="Times New Roman"/>
          <w:sz w:val="22"/>
          <w:szCs w:val="22"/>
        </w:rPr>
        <w:t xml:space="preserve">Architecture distribuée, scoring financier explicable et intelligence artificielle générative appliquée à l'aide à la décision bancaire</w:t>
      </w:r>
    </w:p>
    <w:p>
      <w:pPr>
        <w:spacing w:after="80"/>
        <w:jc w:val="center"/>
      </w:pPr>
      <w:r>
        <w:rPr>
          <w:rFonts w:ascii="Times New Roman" w:cs="Times New Roman" w:eastAsia="Times New Roman" w:hAnsi="Times New Roman"/>
          <w:sz w:val="22"/>
          <w:szCs w:val="22"/>
        </w:rPr>
        <w:t xml:space="preserve">Travail de Fin de Cycle présenté en vue de l'obtention du diplôme de gradué/licencié en Sciences Informatiques</w:t>
      </w:r>
    </w:p>
    <w:p>
      <w:pPr>
        <w:spacing w:after="500"/>
        <w:jc w:val="center"/>
      </w:pPr>
      <w:r>
        <w:rPr>
          <w:rFonts w:ascii="Times New Roman" w:cs="Times New Roman" w:eastAsia="Times New Roman" w:hAnsi="Times New Roman"/>
          <w:b/>
          <w:bCs/>
          <w:sz w:val="22"/>
          <w:szCs w:val="22"/>
        </w:rPr>
        <w:t xml:space="preserve">Option : Ingénierie Logiciel</w:t>
      </w:r>
    </w:p>
    <w:p>
      <w:pPr>
        <w:spacing w:after="80"/>
        <w:jc w:val="center"/>
      </w:pPr>
      <w:r>
        <w:rPr>
          <w:rFonts w:ascii="Times New Roman" w:cs="Times New Roman" w:eastAsia="Times New Roman" w:hAnsi="Times New Roman"/>
          <w:b/>
          <w:bCs/>
          <w:sz w:val="24"/>
          <w:szCs w:val="24"/>
        </w:rPr>
        <w:t xml:space="preserve">Par : LUMPUNGU YA KAUMBU JOËL STONE</w:t>
      </w:r>
    </w:p>
    <w:p>
      <w:pPr>
        <w:spacing w:after="40"/>
        <w:jc w:val="center"/>
      </w:pPr>
      <w:r>
        <w:rPr>
          <w:rFonts w:ascii="Times New Roman" w:cs="Times New Roman" w:eastAsia="Times New Roman" w:hAnsi="Times New Roman"/>
          <w:sz w:val="22"/>
          <w:szCs w:val="22"/>
        </w:rPr>
        <w:t xml:space="preserve">Directeur : Prof. MAMPUYA KINKANI PESCIE HONORE</w:t>
      </w:r>
    </w:p>
    <w:p>
      <w:pPr>
        <w:spacing w:after="500"/>
        <w:jc w:val="center"/>
      </w:pPr>
      <w:r>
        <w:rPr>
          <w:rFonts w:ascii="Times New Roman" w:cs="Times New Roman" w:eastAsia="Times New Roman" w:hAnsi="Times New Roman"/>
          <w:sz w:val="22"/>
          <w:szCs w:val="22"/>
        </w:rPr>
        <w:t xml:space="preserve">Encadreur : Commission des projets</w:t>
      </w:r>
    </w:p>
    <w:p>
      <w:pPr>
        <w:spacing w:after="40"/>
        <w:jc w:val="center"/>
      </w:pPr>
      <w:r>
        <w:rPr>
          <w:rFonts w:ascii="Times New Roman" w:cs="Times New Roman" w:eastAsia="Times New Roman" w:hAnsi="Times New Roman"/>
          <w:b/>
          <w:bCs/>
          <w:sz w:val="22"/>
          <w:szCs w:val="22"/>
        </w:rPr>
        <w:t xml:space="preserve">Année académique 2025 — 2026</w:t>
      </w:r>
    </w:p>
    <w:p>
      <w:pPr>
        <w:pageBreakBefore/>
        <w:spacing w:after="3200"/>
      </w:pPr>
    </w:p>
    <w:p>
      <w:pPr>
        <w:spacing w:after="200"/>
        <w:ind w:left="1727"/>
        <w:jc w:val="right"/>
      </w:pPr>
      <w:r>
        <w:rPr>
          <w:rFonts w:ascii="Times New Roman" w:cs="Times New Roman" w:eastAsia="Times New Roman" w:hAnsi="Times New Roman"/>
          <w:i/>
          <w:iCs/>
          <w:sz w:val="26"/>
          <w:szCs w:val="26"/>
        </w:rPr>
        <w:t xml:space="preserve">« Rien ne résiste à la discipline et au travail acharné.</w:t>
      </w:r>
    </w:p>
    <w:p>
      <w:pPr>
        <w:spacing w:after="300"/>
        <w:ind w:left="1727"/>
        <w:jc w:val="right"/>
      </w:pPr>
      <w:r>
        <w:rPr>
          <w:rFonts w:ascii="Times New Roman" w:cs="Times New Roman" w:eastAsia="Times New Roman" w:hAnsi="Times New Roman"/>
          <w:i/>
          <w:iCs/>
          <w:sz w:val="26"/>
          <w:szCs w:val="26"/>
        </w:rPr>
        <w:t xml:space="preserve">C'est une loi. »</w:t>
      </w:r>
    </w:p>
    <w:p>
      <w:pPr>
        <w:spacing w:after="200"/>
        <w:jc w:val="right"/>
      </w:pPr>
      <w:r>
        <w:rPr>
          <w:rFonts w:ascii="Times New Roman" w:cs="Times New Roman" w:eastAsia="Times New Roman" w:hAnsi="Times New Roman"/>
          <w:b/>
          <w:bCs/>
          <w:sz w:val="22"/>
          <w:szCs w:val="22"/>
        </w:rPr>
        <w:t xml:space="preserve">— Prof. Jean-Paul K. TSASA</w:t>
      </w:r>
    </w:p>
    <w:p>
      <w:pPr>
        <w:pStyle w:val="Heading1"/>
        <w:pageBreakBefore/>
        <w:spacing w:after="240" w:before="400"/>
      </w:pPr>
      <w:r>
        <w:rPr>
          <w:rFonts w:ascii="Times New Roman" w:cs="Times New Roman" w:eastAsia="Times New Roman" w:hAnsi="Times New Roman"/>
          <w:b/>
          <w:bCs/>
          <w:color w:val="1F3864"/>
          <w:sz w:val="32"/>
          <w:szCs w:val="32"/>
        </w:rPr>
        <w:t xml:space="preserve">DÉDICACE</w:t>
      </w:r>
    </w:p>
    <w:p>
      <w:pPr>
        <w:spacing w:after="200" w:line="300"/>
        <w:jc w:val="both"/>
      </w:pPr>
      <w:r>
        <w:rPr>
          <w:rFonts w:ascii="Times New Roman" w:cs="Times New Roman" w:eastAsia="Times New Roman" w:hAnsi="Times New Roman"/>
          <w:sz w:val="24"/>
          <w:szCs w:val="24"/>
        </w:rPr>
        <w:t xml:space="preserve">À ma mère, la première à avoir cru que ce travail était possible avant même que je ne sache par où le commencer.</w:t>
      </w:r>
    </w:p>
    <w:p>
      <w:pPr>
        <w:spacing w:after="200" w:line="300"/>
        <w:jc w:val="both"/>
      </w:pPr>
      <w:r>
        <w:rPr>
          <w:rFonts w:ascii="Times New Roman" w:cs="Times New Roman" w:eastAsia="Times New Roman" w:hAnsi="Times New Roman"/>
          <w:sz w:val="24"/>
          <w:szCs w:val="24"/>
        </w:rPr>
        <w:t xml:space="preserve">À mon père, dont la rigueur tranquille m'a appris qu'un travail bien fait ne se négocie pas.</w:t>
      </w:r>
    </w:p>
    <w:p>
      <w:pPr>
        <w:spacing w:after="200" w:line="300"/>
        <w:jc w:val="both"/>
      </w:pPr>
      <w:r>
        <w:rPr>
          <w:rFonts w:ascii="Times New Roman" w:cs="Times New Roman" w:eastAsia="Times New Roman" w:hAnsi="Times New Roman"/>
          <w:sz w:val="24"/>
          <w:szCs w:val="24"/>
        </w:rPr>
        <w:t xml:space="preserve">À mon grand-père, dont la mémoire accompagne chaque étape franchie jusqu'ici.</w:t>
      </w:r>
    </w:p>
    <w:p>
      <w:pPr>
        <w:spacing w:after="200" w:line="300"/>
        <w:jc w:val="both"/>
      </w:pPr>
      <w:r>
        <w:rPr>
          <w:rFonts w:ascii="Times New Roman" w:cs="Times New Roman" w:eastAsia="Times New Roman" w:hAnsi="Times New Roman"/>
          <w:sz w:val="24"/>
          <w:szCs w:val="24"/>
        </w:rPr>
        <w:t xml:space="preserve">À toute la famille DJATE et à toute la famille LUMPUNGU, pour le socle qu'elles représentent.</w:t>
      </w:r>
    </w:p>
    <w:p>
      <w:pPr>
        <w:spacing w:after="200" w:line="300"/>
        <w:jc w:val="both"/>
      </w:pPr>
      <w:r>
        <w:rPr>
          <w:rFonts w:ascii="Times New Roman" w:cs="Times New Roman" w:eastAsia="Times New Roman" w:hAnsi="Times New Roman"/>
          <w:sz w:val="24"/>
          <w:szCs w:val="24"/>
        </w:rPr>
        <w:t xml:space="preserve">À mes amis, dans chacun des groupes qui ont compté, présents dans les moments de doute autant que dans ceux d'avancée.</w:t>
      </w:r>
    </w:p>
    <w:p>
      <w:pPr>
        <w:pStyle w:val="Heading1"/>
        <w:pageBreakBefore/>
        <w:spacing w:after="240" w:before="400"/>
      </w:pPr>
      <w:r>
        <w:rPr>
          <w:rFonts w:ascii="Times New Roman" w:cs="Times New Roman" w:eastAsia="Times New Roman" w:hAnsi="Times New Roman"/>
          <w:b/>
          <w:bCs/>
          <w:color w:val="1F3864"/>
          <w:sz w:val="32"/>
          <w:szCs w:val="32"/>
        </w:rPr>
        <w:t xml:space="preserve">REMERCIEMENTS</w:t>
      </w:r>
    </w:p>
    <w:p>
      <w:pPr>
        <w:spacing w:after="200" w:line="300"/>
        <w:jc w:val="both"/>
      </w:pPr>
      <w:r>
        <w:rPr>
          <w:rFonts w:ascii="Times New Roman" w:cs="Times New Roman" w:eastAsia="Times New Roman" w:hAnsi="Times New Roman"/>
          <w:sz w:val="24"/>
          <w:szCs w:val="24"/>
        </w:rPr>
        <w:t xml:space="preserve">Dieu d'abord, pour la force et la lucidité tenues jusqu'au bout de ce travail.</w:t>
      </w:r>
    </w:p>
    <w:p>
      <w:pPr>
        <w:spacing w:after="200" w:line="300"/>
        <w:jc w:val="both"/>
      </w:pPr>
      <w:r>
        <w:rPr>
          <w:rFonts w:ascii="Times New Roman" w:cs="Times New Roman" w:eastAsia="Times New Roman" w:hAnsi="Times New Roman"/>
          <w:sz w:val="24"/>
          <w:szCs w:val="24"/>
        </w:rPr>
        <w:t xml:space="preserve">Je remercie la Commission des projets de la Faculté des Sciences Informatiques pour le suivi et l'encadrement apportés tout au long de ce Travail de Fin de Cycle.</w:t>
      </w:r>
    </w:p>
    <w:p>
      <w:pPr>
        <w:spacing w:after="200" w:line="300"/>
        <w:jc w:val="both"/>
      </w:pPr>
      <w:r>
        <w:rPr>
          <w:rFonts w:ascii="Times New Roman" w:cs="Times New Roman" w:eastAsia="Times New Roman" w:hAnsi="Times New Roman"/>
          <w:sz w:val="24"/>
          <w:szCs w:val="24"/>
        </w:rPr>
        <w:t xml:space="preserve">Je remercie mon équipe JEJ pour le soutien et les remarques qui ont amélioré ce travail à plusieurs reprises.</w:t>
      </w:r>
    </w:p>
    <w:p>
      <w:pPr>
        <w:spacing w:after="200" w:line="300"/>
        <w:jc w:val="both"/>
      </w:pPr>
      <w:r>
        <w:rPr>
          <w:rFonts w:ascii="Times New Roman" w:cs="Times New Roman" w:eastAsia="Times New Roman" w:hAnsi="Times New Roman"/>
          <w:sz w:val="24"/>
          <w:szCs w:val="24"/>
        </w:rPr>
        <w:t xml:space="preserve">Je remercie également BookHub Society, qui m'a donné la marche à suivre pour mener ce travail jusqu'à sa forme actuelle.</w:t>
      </w:r>
    </w:p>
    <w:p>
      <w:pPr>
        <w:pStyle w:val="Heading1"/>
        <w:pageBreakBefore/>
        <w:spacing w:after="240" w:before="400"/>
      </w:pPr>
      <w:r>
        <w:rPr>
          <w:rFonts w:ascii="Times New Roman" w:cs="Times New Roman" w:eastAsia="Times New Roman" w:hAnsi="Times New Roman"/>
          <w:b/>
          <w:bCs/>
          <w:color w:val="1F3864"/>
          <w:sz w:val="32"/>
          <w:szCs w:val="32"/>
        </w:rPr>
        <w:t xml:space="preserve">TABLE DES MATIÈRES</w:t>
      </w:r>
    </w:p>
    <w:p>
      <w:pPr>
        <w:spacing w:after="200" w:line="300"/>
        <w:jc w:val="both"/>
      </w:pPr>
      <w:r>
        <w:rPr>
          <w:rFonts w:ascii="Times New Roman" w:cs="Times New Roman" w:eastAsia="Times New Roman" w:hAnsi="Times New Roman"/>
          <w:i/>
          <w:iCs/>
          <w:sz w:val="24"/>
          <w:szCs w:val="24"/>
        </w:rPr>
        <w:t xml:space="preserve">(Clic droit sur la table → « Mettre à jour les champs » dans Microsoft Word, après ouverture du document, pour générer la pagination.)</w:t>
      </w:r>
    </w:p>
    <w:sdt>
      <w:sdtPr>
        <w:alias w:val="Table des matières"/>
      </w:sdtPr>
      <w:sdtContent>
        <w:p>
          <w:r>
            <w:fldChar w:fldCharType="begin" w:dirty="true"/>
            <w:instrText xml:space="preserve">TOC \h \o "1-4"</w:instrText>
            <w:fldChar w:fldCharType="separate"/>
          </w:r>
        </w:p>
        <w:p>
          <w:r>
            <w:fldChar w:fldCharType="end"/>
          </w:r>
        </w:p>
      </w:sdtContent>
    </w:sdt>
    <w:p>
      <w:pPr>
        <w:pStyle w:val="Heading1"/>
        <w:pageBreakBefore/>
        <w:spacing w:after="240" w:before="400"/>
      </w:pPr>
      <w:r>
        <w:rPr>
          <w:rFonts w:ascii="Times New Roman" w:cs="Times New Roman" w:eastAsia="Times New Roman" w:hAnsi="Times New Roman"/>
          <w:b/>
          <w:bCs/>
          <w:color w:val="1F3864"/>
          <w:sz w:val="32"/>
          <w:szCs w:val="32"/>
        </w:rPr>
        <w:t xml:space="preserve">LISTE DES ABRÉVIATIONS ET ACRONYMES</w:t>
      </w:r>
    </w:p>
    <w:p>
      <w:pPr>
        <w:tabs>
          <w:tab w:val="left" w:pos="1800"/>
        </w:tabs>
        <w:spacing w:after="120" w:line="280"/>
        <w:ind w:left="200" w:hanging="200"/>
      </w:pPr>
      <w:r>
        <w:rPr>
          <w:rFonts w:ascii="Times New Roman" w:cs="Times New Roman" w:eastAsia="Times New Roman" w:hAnsi="Times New Roman"/>
          <w:b/>
          <w:bCs/>
          <w:sz w:val="24"/>
          <w:szCs w:val="24"/>
        </w:rPr>
        <w:t xml:space="preserve">AUC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Area Under the Curve (aire sous la courbe ROC)</w:t>
      </w:r>
    </w:p>
    <w:p>
      <w:pPr>
        <w:tabs>
          <w:tab w:val="left" w:pos="1800"/>
        </w:tabs>
        <w:spacing w:after="120" w:line="280"/>
        <w:ind w:left="200" w:hanging="200"/>
      </w:pPr>
      <w:r>
        <w:rPr>
          <w:rFonts w:ascii="Times New Roman" w:cs="Times New Roman" w:eastAsia="Times New Roman" w:hAnsi="Times New Roman"/>
          <w:b/>
          <w:bCs/>
          <w:sz w:val="24"/>
          <w:szCs w:val="24"/>
        </w:rPr>
        <w:t xml:space="preserve">BCC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Banque Centrale du Congo</w:t>
      </w:r>
    </w:p>
    <w:p>
      <w:pPr>
        <w:tabs>
          <w:tab w:val="left" w:pos="1800"/>
        </w:tabs>
        <w:spacing w:after="120" w:line="280"/>
        <w:ind w:left="200" w:hanging="200"/>
      </w:pPr>
      <w:r>
        <w:rPr>
          <w:rFonts w:ascii="Times New Roman" w:cs="Times New Roman" w:eastAsia="Times New Roman" w:hAnsi="Times New Roman"/>
          <w:b/>
          <w:bCs/>
          <w:sz w:val="24"/>
          <w:szCs w:val="24"/>
        </w:rPr>
        <w:t xml:space="preserve">DAB</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Distributeur Automatique de Billets</w:t>
      </w:r>
    </w:p>
    <w:p>
      <w:pPr>
        <w:tabs>
          <w:tab w:val="left" w:pos="1800"/>
        </w:tabs>
        <w:spacing w:after="120" w:line="280"/>
        <w:ind w:left="200" w:hanging="200"/>
      </w:pPr>
      <w:r>
        <w:rPr>
          <w:rFonts w:ascii="Times New Roman" w:cs="Times New Roman" w:eastAsia="Times New Roman" w:hAnsi="Times New Roman"/>
          <w:b/>
          <w:bCs/>
          <w:sz w:val="24"/>
          <w:szCs w:val="24"/>
        </w:rPr>
        <w:t xml:space="preserve">IA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Intelligence Artificielle</w:t>
      </w:r>
    </w:p>
    <w:p>
      <w:pPr>
        <w:tabs>
          <w:tab w:val="left" w:pos="1800"/>
        </w:tabs>
        <w:spacing w:after="120" w:line="280"/>
        <w:ind w:left="200" w:hanging="200"/>
      </w:pPr>
      <w:r>
        <w:rPr>
          <w:rFonts w:ascii="Times New Roman" w:cs="Times New Roman" w:eastAsia="Times New Roman" w:hAnsi="Times New Roman"/>
          <w:b/>
          <w:bCs/>
          <w:sz w:val="24"/>
          <w:szCs w:val="24"/>
        </w:rPr>
        <w:t xml:space="preserve">JWT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JSON Web Token</w:t>
      </w:r>
    </w:p>
    <w:p>
      <w:pPr>
        <w:tabs>
          <w:tab w:val="left" w:pos="1800"/>
        </w:tabs>
        <w:spacing w:after="120" w:line="280"/>
        <w:ind w:left="200" w:hanging="200"/>
      </w:pPr>
      <w:r>
        <w:rPr>
          <w:rFonts w:ascii="Times New Roman" w:cs="Times New Roman" w:eastAsia="Times New Roman" w:hAnsi="Times New Roman"/>
          <w:b/>
          <w:bCs/>
          <w:sz w:val="24"/>
          <w:szCs w:val="24"/>
        </w:rPr>
        <w:t xml:space="preserve">KYC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Know Your Customer (connaissance du client)</w:t>
      </w:r>
    </w:p>
    <w:p>
      <w:pPr>
        <w:tabs>
          <w:tab w:val="left" w:pos="1800"/>
        </w:tabs>
        <w:spacing w:after="120" w:line="280"/>
        <w:ind w:left="200" w:hanging="200"/>
      </w:pPr>
      <w:r>
        <w:rPr>
          <w:rFonts w:ascii="Times New Roman" w:cs="Times New Roman" w:eastAsia="Times New Roman" w:hAnsi="Times New Roman"/>
          <w:b/>
          <w:bCs/>
          <w:sz w:val="24"/>
          <w:szCs w:val="24"/>
        </w:rPr>
        <w:t xml:space="preserve">LIME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Local Interpretable Model-agnostic Explanations</w:t>
      </w:r>
    </w:p>
    <w:p>
      <w:pPr>
        <w:tabs>
          <w:tab w:val="left" w:pos="1800"/>
        </w:tabs>
        <w:spacing w:after="120" w:line="280"/>
        <w:ind w:left="200" w:hanging="200"/>
      </w:pPr>
      <w:r>
        <w:rPr>
          <w:rFonts w:ascii="Times New Roman" w:cs="Times New Roman" w:eastAsia="Times New Roman" w:hAnsi="Times New Roman"/>
          <w:b/>
          <w:bCs/>
          <w:sz w:val="24"/>
          <w:szCs w:val="24"/>
        </w:rPr>
        <w:t xml:space="preserve">LLM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Large Language Model (grand modèle de langage)</w:t>
      </w:r>
    </w:p>
    <w:p>
      <w:pPr>
        <w:tabs>
          <w:tab w:val="left" w:pos="1800"/>
        </w:tabs>
        <w:spacing w:after="120" w:line="280"/>
        <w:ind w:left="200" w:hanging="200"/>
      </w:pPr>
      <w:r>
        <w:rPr>
          <w:rFonts w:ascii="Times New Roman" w:cs="Times New Roman" w:eastAsia="Times New Roman" w:hAnsi="Times New Roman"/>
          <w:b/>
          <w:bCs/>
          <w:sz w:val="24"/>
          <w:szCs w:val="24"/>
        </w:rPr>
        <w:t xml:space="preserve">MFA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Multi-Factor Authentication (authentification multi-facteurs)</w:t>
      </w:r>
    </w:p>
    <w:p>
      <w:pPr>
        <w:tabs>
          <w:tab w:val="left" w:pos="1800"/>
        </w:tabs>
        <w:spacing w:after="120" w:line="280"/>
        <w:ind w:left="200" w:hanging="200"/>
      </w:pPr>
      <w:r>
        <w:rPr>
          <w:rFonts w:ascii="Times New Roman" w:cs="Times New Roman" w:eastAsia="Times New Roman" w:hAnsi="Times New Roman"/>
          <w:b/>
          <w:bCs/>
          <w:sz w:val="24"/>
          <w:szCs w:val="24"/>
        </w:rPr>
        <w:t xml:space="preserve">MNO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Mobile Network Operator (opérateur de réseau mobile)</w:t>
      </w:r>
    </w:p>
    <w:p>
      <w:pPr>
        <w:tabs>
          <w:tab w:val="left" w:pos="1800"/>
        </w:tabs>
        <w:spacing w:after="120" w:line="280"/>
        <w:ind w:left="200" w:hanging="200"/>
      </w:pPr>
      <w:r>
        <w:rPr>
          <w:rFonts w:ascii="Times New Roman" w:cs="Times New Roman" w:eastAsia="Times New Roman" w:hAnsi="Times New Roman"/>
          <w:b/>
          <w:bCs/>
          <w:sz w:val="24"/>
          <w:szCs w:val="24"/>
        </w:rPr>
        <w:t xml:space="preserve">MPME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Micro, Petites et Moyennes Entreprises</w:t>
      </w:r>
    </w:p>
    <w:p>
      <w:pPr>
        <w:tabs>
          <w:tab w:val="left" w:pos="1800"/>
        </w:tabs>
        <w:spacing w:after="120" w:line="280"/>
        <w:ind w:left="200" w:hanging="200"/>
      </w:pPr>
      <w:r>
        <w:rPr>
          <w:rFonts w:ascii="Times New Roman" w:cs="Times New Roman" w:eastAsia="Times New Roman" w:hAnsi="Times New Roman"/>
          <w:b/>
          <w:bCs/>
          <w:sz w:val="24"/>
          <w:szCs w:val="24"/>
        </w:rPr>
        <w:t xml:space="preserve">MSISDN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Mobile Station International Subscriber Directory Number</w:t>
      </w:r>
    </w:p>
    <w:p>
      <w:pPr>
        <w:tabs>
          <w:tab w:val="left" w:pos="1800"/>
        </w:tabs>
        <w:spacing w:after="120" w:line="280"/>
        <w:ind w:left="200" w:hanging="200"/>
      </w:pPr>
      <w:r>
        <w:rPr>
          <w:rFonts w:ascii="Times New Roman" w:cs="Times New Roman" w:eastAsia="Times New Roman" w:hAnsi="Times New Roman"/>
          <w:b/>
          <w:bCs/>
          <w:sz w:val="24"/>
          <w:szCs w:val="24"/>
        </w:rPr>
        <w:t xml:space="preserve">OTP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One-Time Password (mot de passe à usage unique)</w:t>
      </w:r>
    </w:p>
    <w:p>
      <w:pPr>
        <w:tabs>
          <w:tab w:val="left" w:pos="1800"/>
        </w:tabs>
        <w:spacing w:after="120" w:line="280"/>
        <w:ind w:left="200" w:hanging="200"/>
      </w:pPr>
      <w:r>
        <w:rPr>
          <w:rFonts w:ascii="Times New Roman" w:cs="Times New Roman" w:eastAsia="Times New Roman" w:hAnsi="Times New Roman"/>
          <w:b/>
          <w:bCs/>
          <w:sz w:val="24"/>
          <w:szCs w:val="24"/>
        </w:rPr>
        <w:t xml:space="preserve">PD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Probabilité de Défaut</w:t>
      </w:r>
    </w:p>
    <w:p>
      <w:pPr>
        <w:tabs>
          <w:tab w:val="left" w:pos="1800"/>
        </w:tabs>
        <w:spacing w:after="120" w:line="280"/>
        <w:ind w:left="200" w:hanging="200"/>
      </w:pPr>
      <w:r>
        <w:rPr>
          <w:rFonts w:ascii="Times New Roman" w:cs="Times New Roman" w:eastAsia="Times New Roman" w:hAnsi="Times New Roman"/>
          <w:b/>
          <w:bCs/>
          <w:sz w:val="24"/>
          <w:szCs w:val="24"/>
        </w:rPr>
        <w:t xml:space="preserve">POC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Proof of Concept (preuve de concept / prototype fonctionnel)</w:t>
      </w:r>
    </w:p>
    <w:p>
      <w:pPr>
        <w:tabs>
          <w:tab w:val="left" w:pos="1800"/>
        </w:tabs>
        <w:spacing w:after="120" w:line="280"/>
        <w:ind w:left="200" w:hanging="200"/>
      </w:pPr>
      <w:r>
        <w:rPr>
          <w:rFonts w:ascii="Times New Roman" w:cs="Times New Roman" w:eastAsia="Times New Roman" w:hAnsi="Times New Roman"/>
          <w:b/>
          <w:bCs/>
          <w:sz w:val="24"/>
          <w:szCs w:val="24"/>
        </w:rPr>
        <w:t xml:space="preserve">RAG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Retrieval-Augmented Generation (génération augmentée par récupération)</w:t>
      </w:r>
    </w:p>
    <w:p>
      <w:pPr>
        <w:tabs>
          <w:tab w:val="left" w:pos="1800"/>
        </w:tabs>
        <w:spacing w:after="120" w:line="280"/>
        <w:ind w:left="200" w:hanging="200"/>
      </w:pPr>
      <w:r>
        <w:rPr>
          <w:rFonts w:ascii="Times New Roman" w:cs="Times New Roman" w:eastAsia="Times New Roman" w:hAnsi="Times New Roman"/>
          <w:b/>
          <w:bCs/>
          <w:sz w:val="24"/>
          <w:szCs w:val="24"/>
        </w:rPr>
        <w:t xml:space="preserve">RBAC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Role-Based Access Control (contrôle d'accès basé sur les rôles)</w:t>
      </w:r>
    </w:p>
    <w:p>
      <w:pPr>
        <w:tabs>
          <w:tab w:val="left" w:pos="1800"/>
        </w:tabs>
        <w:spacing w:after="120" w:line="280"/>
        <w:ind w:left="200" w:hanging="200"/>
      </w:pPr>
      <w:r>
        <w:rPr>
          <w:rFonts w:ascii="Times New Roman" w:cs="Times New Roman" w:eastAsia="Times New Roman" w:hAnsi="Times New Roman"/>
          <w:b/>
          <w:bCs/>
          <w:sz w:val="24"/>
          <w:szCs w:val="24"/>
        </w:rPr>
        <w:t xml:space="preserve">RDC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République Démocratique du Congo</w:t>
      </w:r>
    </w:p>
    <w:p>
      <w:pPr>
        <w:tabs>
          <w:tab w:val="left" w:pos="1800"/>
        </w:tabs>
        <w:spacing w:after="120" w:line="280"/>
        <w:ind w:left="200" w:hanging="200"/>
      </w:pPr>
      <w:r>
        <w:rPr>
          <w:rFonts w:ascii="Times New Roman" w:cs="Times New Roman" w:eastAsia="Times New Roman" w:hAnsi="Times New Roman"/>
          <w:b/>
          <w:bCs/>
          <w:sz w:val="24"/>
          <w:szCs w:val="24"/>
        </w:rPr>
        <w:t xml:space="preserve">RGPD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Règlement Général sur la Protection des Données</w:t>
      </w:r>
    </w:p>
    <w:p>
      <w:pPr>
        <w:tabs>
          <w:tab w:val="left" w:pos="1800"/>
        </w:tabs>
        <w:spacing w:after="120" w:line="280"/>
        <w:ind w:left="200" w:hanging="200"/>
      </w:pPr>
      <w:r>
        <w:rPr>
          <w:rFonts w:ascii="Times New Roman" w:cs="Times New Roman" w:eastAsia="Times New Roman" w:hAnsi="Times New Roman"/>
          <w:b/>
          <w:bCs/>
          <w:sz w:val="24"/>
          <w:szCs w:val="24"/>
        </w:rPr>
        <w:t xml:space="preserve">SFI / IFC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Société Financière Internationale</w:t>
      </w:r>
    </w:p>
    <w:p>
      <w:pPr>
        <w:tabs>
          <w:tab w:val="left" w:pos="1800"/>
        </w:tabs>
        <w:spacing w:after="120" w:line="280"/>
        <w:ind w:left="200" w:hanging="200"/>
      </w:pPr>
      <w:r>
        <w:rPr>
          <w:rFonts w:ascii="Times New Roman" w:cs="Times New Roman" w:eastAsia="Times New Roman" w:hAnsi="Times New Roman"/>
          <w:b/>
          <w:bCs/>
          <w:sz w:val="24"/>
          <w:szCs w:val="24"/>
        </w:rPr>
        <w:t xml:space="preserve">SHAP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SHapley Additive exPlanations</w:t>
      </w:r>
    </w:p>
    <w:p>
      <w:pPr>
        <w:tabs>
          <w:tab w:val="left" w:pos="1800"/>
        </w:tabs>
        <w:spacing w:after="120" w:line="280"/>
        <w:ind w:left="200" w:hanging="200"/>
      </w:pPr>
      <w:r>
        <w:rPr>
          <w:rFonts w:ascii="Times New Roman" w:cs="Times New Roman" w:eastAsia="Times New Roman" w:hAnsi="Times New Roman"/>
          <w:b/>
          <w:bCs/>
          <w:sz w:val="24"/>
          <w:szCs w:val="24"/>
        </w:rPr>
        <w:t xml:space="preserve">TFC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Travail de Fin de Cycle</w:t>
      </w:r>
    </w:p>
    <w:p>
      <w:pPr>
        <w:tabs>
          <w:tab w:val="left" w:pos="1800"/>
        </w:tabs>
        <w:spacing w:after="120" w:line="280"/>
        <w:ind w:left="200" w:hanging="200"/>
      </w:pPr>
      <w:r>
        <w:rPr>
          <w:rFonts w:ascii="Times New Roman" w:cs="Times New Roman" w:eastAsia="Times New Roman" w:hAnsi="Times New Roman"/>
          <w:b/>
          <w:bCs/>
          <w:sz w:val="24"/>
          <w:szCs w:val="24"/>
        </w:rPr>
        <w:t xml:space="preserve">UML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Unified Modeling Language</w:t>
      </w:r>
    </w:p>
    <w:p>
      <w:pPr>
        <w:tabs>
          <w:tab w:val="left" w:pos="1800"/>
        </w:tabs>
        <w:spacing w:after="120" w:line="280"/>
        <w:ind w:left="200" w:hanging="200"/>
      </w:pPr>
      <w:r>
        <w:rPr>
          <w:rFonts w:ascii="Times New Roman" w:cs="Times New Roman" w:eastAsia="Times New Roman" w:hAnsi="Times New Roman"/>
          <w:b/>
          <w:bCs/>
          <w:sz w:val="24"/>
          <w:szCs w:val="24"/>
        </w:rPr>
        <w:t xml:space="preserve">UP</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Processus Unifié — Unified Process (méthode de développement itérative et incrémentale)</w:t>
      </w:r>
    </w:p>
    <w:p>
      <w:pPr>
        <w:tabs>
          <w:tab w:val="left" w:pos="1800"/>
        </w:tabs>
        <w:spacing w:after="120" w:line="280"/>
        <w:ind w:left="200" w:hanging="200"/>
      </w:pPr>
      <w:r>
        <w:rPr>
          <w:rFonts w:ascii="Times New Roman" w:cs="Times New Roman" w:eastAsia="Times New Roman" w:hAnsi="Times New Roman"/>
          <w:b/>
          <w:bCs/>
          <w:sz w:val="24"/>
          <w:szCs w:val="24"/>
        </w:rPr>
        <w:t xml:space="preserve">UPC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Université Protestante au Congo</w:t>
      </w:r>
    </w:p>
    <w:p>
      <w:pPr>
        <w:tabs>
          <w:tab w:val="left" w:pos="1800"/>
        </w:tabs>
        <w:spacing w:after="120" w:line="280"/>
        <w:ind w:left="200" w:hanging="200"/>
      </w:pPr>
      <w:r>
        <w:rPr>
          <w:rFonts w:ascii="Times New Roman" w:cs="Times New Roman" w:eastAsia="Times New Roman" w:hAnsi="Times New Roman"/>
          <w:b/>
          <w:bCs/>
          <w:sz w:val="24"/>
          <w:szCs w:val="24"/>
        </w:rPr>
        <w:t xml:space="preserve">USSD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Unstructured Supplementary Service Data</w:t>
      </w:r>
    </w:p>
    <w:p>
      <w:pPr>
        <w:tabs>
          <w:tab w:val="left" w:pos="1800"/>
        </w:tabs>
        <w:spacing w:after="120" w:line="280"/>
        <w:ind w:left="200" w:hanging="200"/>
      </w:pPr>
      <w:r>
        <w:rPr>
          <w:rFonts w:ascii="Times New Roman" w:cs="Times New Roman" w:eastAsia="Times New Roman" w:hAnsi="Times New Roman"/>
          <w:b/>
          <w:bCs/>
          <w:sz w:val="24"/>
          <w:szCs w:val="24"/>
        </w:rPr>
        <w:t xml:space="preserve">XAI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eXplainable Artificial Intelligence (intelligence artificielle explicable)</w:t>
      </w:r>
    </w:p>
    <w:p>
      <w:pPr>
        <w:tabs>
          <w:tab w:val="left" w:pos="1800"/>
        </w:tabs>
        <w:spacing w:after="120" w:line="280"/>
        <w:ind w:left="200" w:hanging="200"/>
      </w:pP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eXtreme Gradient Boosting</w:t>
      </w:r>
    </w:p>
    <w:p>
      <w:pPr>
        <w:pStyle w:val="Heading1"/>
        <w:pageBreakBefore/>
        <w:spacing w:after="240" w:before="400"/>
      </w:pPr>
      <w:r>
        <w:rPr>
          <w:rFonts w:ascii="Times New Roman" w:cs="Times New Roman" w:eastAsia="Times New Roman" w:hAnsi="Times New Roman"/>
          <w:b/>
          <w:bCs/>
          <w:color w:val="1F3864"/>
          <w:sz w:val="32"/>
          <w:szCs w:val="32"/>
        </w:rPr>
        <w:t xml:space="preserve">LISTE DES FIGURES ET TABLEAUX</w:t>
      </w:r>
    </w:p>
    <w:p>
      <w:pPr>
        <w:pStyle w:val="Heading2"/>
        <w:spacing w:after="180" w:before="320"/>
      </w:pPr>
      <w:r>
        <w:rPr>
          <w:rFonts w:ascii="Times New Roman" w:cs="Times New Roman" w:eastAsia="Times New Roman" w:hAnsi="Times New Roman"/>
          <w:b/>
          <w:bCs/>
          <w:color w:val="1F3864"/>
          <w:sz w:val="28"/>
          <w:szCs w:val="28"/>
        </w:rPr>
        <w:t xml:space="preserve">Liste des figures</w:t>
      </w:r>
    </w:p>
    <w:p>
      <w:pPr>
        <w:tabs>
          <w:tab w:val="left" w:pos="1600"/>
        </w:tabs>
        <w:spacing w:after="120" w:line="280"/>
        <w:ind w:left="200" w:hanging="200"/>
      </w:pP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Gantt — planification prévisionnelle du projet (2 mois)</w:t>
      </w:r>
    </w:p>
    <w:p>
      <w:pPr>
        <w:tabs>
          <w:tab w:val="left" w:pos="1600"/>
        </w:tabs>
        <w:spacing w:after="120" w:line="280"/>
        <w:ind w:left="200" w:hanging="200"/>
      </w:pP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contexte de la plateforme</w:t>
      </w:r>
    </w:p>
    <w:p>
      <w:pPr>
        <w:tabs>
          <w:tab w:val="left" w:pos="1600"/>
        </w:tabs>
        <w:spacing w:after="120" w:line="280"/>
        <w:ind w:left="200" w:hanging="200"/>
      </w:pP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cas d'utilisation (vue globale)</w:t>
      </w:r>
    </w:p>
    <w:p>
      <w:pPr>
        <w:tabs>
          <w:tab w:val="left" w:pos="1600"/>
        </w:tabs>
        <w:spacing w:after="120" w:line="280"/>
        <w:ind w:left="200" w:hanging="200"/>
      </w:pPr>
      <w:r>
        <w:rPr>
          <w:rFonts w:ascii="Times New Roman" w:cs="Times New Roman" w:eastAsia="Times New Roman" w:hAnsi="Times New Roman"/>
          <w:b/>
          <w:bCs/>
          <w:sz w:val="24"/>
          <w:szCs w:val="24"/>
        </w:rPr>
        <w:t xml:space="preserve">Figure 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séquence — Authentification (PIN + OTP)</w:t>
      </w:r>
    </w:p>
    <w:p>
      <w:pPr>
        <w:tabs>
          <w:tab w:val="left" w:pos="1600"/>
        </w:tabs>
        <w:spacing w:after="120" w:line="280"/>
        <w:ind w:left="200" w:hanging="200"/>
      </w:pPr>
      <w:r>
        <w:rPr>
          <w:rFonts w:ascii="Times New Roman" w:cs="Times New Roman" w:eastAsia="Times New Roman" w:hAnsi="Times New Roman"/>
          <w:b/>
          <w:bCs/>
          <w:sz w:val="24"/>
          <w:szCs w:val="24"/>
        </w:rPr>
        <w:t xml:space="preserve">Figure 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séquence — Calcul du score de crédit</w:t>
      </w:r>
    </w:p>
    <w:p>
      <w:pPr>
        <w:tabs>
          <w:tab w:val="left" w:pos="1600"/>
        </w:tabs>
        <w:spacing w:after="120" w:line="280"/>
        <w:ind w:left="200" w:hanging="200"/>
      </w:pPr>
      <w:r>
        <w:rPr>
          <w:rFonts w:ascii="Times New Roman" w:cs="Times New Roman" w:eastAsia="Times New Roman" w:hAnsi="Times New Roman"/>
          <w:b/>
          <w:bCs/>
          <w:sz w:val="24"/>
          <w:szCs w:val="24"/>
        </w:rPr>
        <w:t xml:space="preserve">Figure 6</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séquence — Décaissement automatique</w:t>
      </w:r>
    </w:p>
    <w:p>
      <w:pPr>
        <w:tabs>
          <w:tab w:val="left" w:pos="1600"/>
        </w:tabs>
        <w:spacing w:after="120" w:line="280"/>
        <w:ind w:left="200" w:hanging="200"/>
      </w:pPr>
      <w:r>
        <w:rPr>
          <w:rFonts w:ascii="Times New Roman" w:cs="Times New Roman" w:eastAsia="Times New Roman" w:hAnsi="Times New Roman"/>
          <w:b/>
          <w:bCs/>
          <w:sz w:val="24"/>
          <w:szCs w:val="24"/>
        </w:rPr>
        <w:t xml:space="preserve">Figure 7</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collaboration — Authentification (PIN + OTP)</w:t>
      </w:r>
    </w:p>
    <w:p>
      <w:pPr>
        <w:tabs>
          <w:tab w:val="left" w:pos="1600"/>
        </w:tabs>
        <w:spacing w:after="120" w:line="280"/>
        <w:ind w:left="200" w:hanging="200"/>
      </w:pPr>
      <w:r>
        <w:rPr>
          <w:rFonts w:ascii="Times New Roman" w:cs="Times New Roman" w:eastAsia="Times New Roman" w:hAnsi="Times New Roman"/>
          <w:b/>
          <w:bCs/>
          <w:sz w:val="24"/>
          <w:szCs w:val="24"/>
        </w:rPr>
        <w:t xml:space="preserve">Figure 8</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collaboration — Calcul du score de crédit</w:t>
      </w:r>
    </w:p>
    <w:p>
      <w:pPr>
        <w:tabs>
          <w:tab w:val="left" w:pos="1600"/>
        </w:tabs>
        <w:spacing w:after="120" w:line="280"/>
        <w:ind w:left="200" w:hanging="200"/>
      </w:pPr>
      <w:r>
        <w:rPr>
          <w:rFonts w:ascii="Times New Roman" w:cs="Times New Roman" w:eastAsia="Times New Roman" w:hAnsi="Times New Roman"/>
          <w:b/>
          <w:bCs/>
          <w:sz w:val="24"/>
          <w:szCs w:val="24"/>
        </w:rPr>
        <w:t xml:space="preserve">Figure 9</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classes</w:t>
      </w:r>
    </w:p>
    <w:p>
      <w:pPr>
        <w:tabs>
          <w:tab w:val="left" w:pos="1600"/>
        </w:tabs>
        <w:spacing w:after="120" w:line="280"/>
        <w:ind w:left="200" w:hanging="200"/>
      </w:pPr>
      <w:r>
        <w:rPr>
          <w:rFonts w:ascii="Times New Roman" w:cs="Times New Roman" w:eastAsia="Times New Roman" w:hAnsi="Times New Roman"/>
          <w:b/>
          <w:bCs/>
          <w:sz w:val="24"/>
          <w:szCs w:val="24"/>
        </w:rPr>
        <w:t xml:space="preserve">Figure 10</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d'objets — instantané d'un dossier approuvé</w:t>
      </w:r>
    </w:p>
    <w:p>
      <w:pPr>
        <w:tabs>
          <w:tab w:val="left" w:pos="1600"/>
        </w:tabs>
        <w:spacing w:after="120" w:line="280"/>
        <w:ind w:left="200" w:hanging="200"/>
      </w:pPr>
      <w:r>
        <w:rPr>
          <w:rFonts w:ascii="Times New Roman" w:cs="Times New Roman" w:eastAsia="Times New Roman" w:hAnsi="Times New Roman"/>
          <w:b/>
          <w:bCs/>
          <w:sz w:val="24"/>
          <w:szCs w:val="24"/>
        </w:rPr>
        <w:t xml:space="preserve">Figure 11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d'activités — pipeline d'évaluation décisionnelle finale</w:t>
      </w:r>
    </w:p>
    <w:p>
      <w:pPr>
        <w:tabs>
          <w:tab w:val="left" w:pos="1600"/>
        </w:tabs>
        <w:spacing w:after="120" w:line="280"/>
        <w:ind w:left="200" w:hanging="200"/>
      </w:pPr>
      <w:r>
        <w:rPr>
          <w:rFonts w:ascii="Times New Roman" w:cs="Times New Roman" w:eastAsia="Times New Roman" w:hAnsi="Times New Roman"/>
          <w:b/>
          <w:bCs/>
          <w:sz w:val="24"/>
          <w:szCs w:val="24"/>
        </w:rPr>
        <w:t xml:space="preserve">Figure 12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composants</w:t>
      </w:r>
    </w:p>
    <w:p>
      <w:pPr>
        <w:tabs>
          <w:tab w:val="left" w:pos="1600"/>
        </w:tabs>
        <w:spacing w:after="120" w:line="280"/>
        <w:ind w:left="200" w:hanging="200"/>
      </w:pPr>
      <w:r>
        <w:rPr>
          <w:rFonts w:ascii="Times New Roman" w:cs="Times New Roman" w:eastAsia="Times New Roman" w:hAnsi="Times New Roman"/>
          <w:b/>
          <w:bCs/>
          <w:sz w:val="24"/>
          <w:szCs w:val="24"/>
        </w:rPr>
        <w:t xml:space="preserve">Figure 13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d'états-transitions — cycle de vie d'une demande de crédit</w:t>
      </w:r>
    </w:p>
    <w:p>
      <w:pPr>
        <w:tabs>
          <w:tab w:val="left" w:pos="1600"/>
        </w:tabs>
        <w:spacing w:after="120" w:line="280"/>
        <w:ind w:left="200" w:hanging="200"/>
      </w:pPr>
      <w:r>
        <w:rPr>
          <w:rFonts w:ascii="Times New Roman" w:cs="Times New Roman" w:eastAsia="Times New Roman" w:hAnsi="Times New Roman"/>
          <w:b/>
          <w:bCs/>
          <w:sz w:val="24"/>
          <w:szCs w:val="24"/>
        </w:rPr>
        <w:t xml:space="preserve">Figure 14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Diagramme de déploiement — architecture réseau conteneurisée</w:t>
      </w:r>
    </w:p>
    <w:p>
      <w:pPr>
        <w:pStyle w:val="Heading2"/>
        <w:spacing w:after="180" w:before="320"/>
      </w:pPr>
      <w:r>
        <w:rPr>
          <w:rFonts w:ascii="Times New Roman" w:cs="Times New Roman" w:eastAsia="Times New Roman" w:hAnsi="Times New Roman"/>
          <w:b/>
          <w:bCs/>
          <w:color w:val="1F3864"/>
          <w:sz w:val="28"/>
          <w:szCs w:val="28"/>
        </w:rPr>
        <w:t xml:space="preserve">Liste des tableaux</w:t>
      </w:r>
    </w:p>
    <w:p>
      <w:pPr>
        <w:tabs>
          <w:tab w:val="left" w:pos="1600"/>
        </w:tabs>
        <w:spacing w:after="120" w:line="280"/>
        <w:ind w:left="200" w:hanging="200"/>
      </w:pPr>
      <w:r>
        <w:rPr>
          <w:rFonts w:ascii="Times New Roman" w:cs="Times New Roman" w:eastAsia="Times New Roman" w:hAnsi="Times New Roman"/>
          <w:b/>
          <w:bCs/>
          <w:sz w:val="24"/>
          <w:szCs w:val="24"/>
        </w:rPr>
        <w:t xml:space="preserve">Tableau 1</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Approche bancaire traditionnelle (Rawbank) vs approche FinTech proposée</w:t>
      </w:r>
    </w:p>
    <w:p>
      <w:pPr>
        <w:tabs>
          <w:tab w:val="left" w:pos="1600"/>
        </w:tabs>
        <w:spacing w:after="120" w:line="280"/>
        <w:ind w:left="200" w:hanging="200"/>
      </w:pPr>
      <w:r>
        <w:rPr>
          <w:rFonts w:ascii="Times New Roman" w:cs="Times New Roman" w:eastAsia="Times New Roman" w:hAnsi="Times New Roman"/>
          <w:b/>
          <w:bCs/>
          <w:sz w:val="24"/>
          <w:szCs w:val="24"/>
        </w:rPr>
        <w:t xml:space="preserve">Tableau 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Fiche de cas d'utilisation détaillée — « Soumettre une demande de micro-crédit »</w:t>
      </w:r>
    </w:p>
    <w:p>
      <w:pPr>
        <w:tabs>
          <w:tab w:val="left" w:pos="1600"/>
        </w:tabs>
        <w:spacing w:after="120" w:line="280"/>
        <w:ind w:left="200" w:hanging="200"/>
      </w:pPr>
      <w:r>
        <w:rPr>
          <w:rFonts w:ascii="Times New Roman" w:cs="Times New Roman" w:eastAsia="Times New Roman" w:hAnsi="Times New Roman"/>
          <w:b/>
          <w:bCs/>
          <w:sz w:val="24"/>
          <w:szCs w:val="24"/>
        </w:rPr>
        <w:t xml:space="preserve">Tableau 3</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Fiche de cas d'utilisation détaillée — « Traiter un dossier de crédit »</w:t>
      </w:r>
    </w:p>
    <w:p>
      <w:pPr>
        <w:tabs>
          <w:tab w:val="left" w:pos="1600"/>
        </w:tabs>
        <w:spacing w:after="120" w:line="280"/>
        <w:ind w:left="200" w:hanging="200"/>
      </w:pPr>
      <w:r>
        <w:rPr>
          <w:rFonts w:ascii="Times New Roman" w:cs="Times New Roman" w:eastAsia="Times New Roman" w:hAnsi="Times New Roman"/>
          <w:b/>
          <w:bCs/>
          <w:sz w:val="24"/>
          <w:szCs w:val="24"/>
        </w:rPr>
        <w:t xml:space="preserve">Tableau 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Objectifs fonctionnels et impact métier de la plateforme</w:t>
      </w:r>
    </w:p>
    <w:p>
      <w:pPr>
        <w:tabs>
          <w:tab w:val="left" w:pos="1600"/>
        </w:tabs>
        <w:spacing w:after="120" w:line="280"/>
        <w:ind w:left="200" w:hanging="200"/>
      </w:pPr>
      <w:r>
        <w:rPr>
          <w:rFonts w:ascii="Times New Roman" w:cs="Times New Roman" w:eastAsia="Times New Roman" w:hAnsi="Times New Roman"/>
          <w:b/>
          <w:bCs/>
          <w:sz w:val="24"/>
          <w:szCs w:val="24"/>
        </w:rPr>
        <w:t xml:space="preserve">Tableau 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Matrice d'habilitation RBAC (rôles applicatifs)</w:t>
      </w:r>
    </w:p>
    <w:p>
      <w:pPr>
        <w:tabs>
          <w:tab w:val="left" w:pos="1600"/>
        </w:tabs>
        <w:spacing w:after="120" w:line="280"/>
        <w:ind w:left="200" w:hanging="200"/>
      </w:pPr>
      <w:r>
        <w:rPr>
          <w:rFonts w:ascii="Times New Roman" w:cs="Times New Roman" w:eastAsia="Times New Roman" w:hAnsi="Times New Roman"/>
          <w:b/>
          <w:bCs/>
          <w:sz w:val="24"/>
          <w:szCs w:val="24"/>
        </w:rPr>
        <w:t xml:space="preserve">Tableau 6</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Hyperparamètres du modèle XGBoost et rôle fonctionnel</w:t>
      </w:r>
    </w:p>
    <w:p>
      <w:pPr>
        <w:pStyle w:val="Heading1"/>
        <w:pageBreakBefore/>
        <w:spacing w:after="240" w:before="400"/>
      </w:pPr>
      <w:r>
        <w:rPr>
          <w:rFonts w:ascii="Times New Roman" w:cs="Times New Roman" w:eastAsia="Times New Roman" w:hAnsi="Times New Roman"/>
          <w:b/>
          <w:bCs/>
          <w:color w:val="1F3864"/>
          <w:sz w:val="32"/>
          <w:szCs w:val="32"/>
        </w:rPr>
        <w:t xml:space="preserve">INTRODUCTION GÉNÉRALE</w:t>
      </w:r>
    </w:p>
    <w:p>
      <w:pPr>
        <w:pStyle w:val="Heading2"/>
        <w:spacing w:after="180" w:before="320"/>
      </w:pPr>
      <w:r>
        <w:rPr>
          <w:rFonts w:ascii="Times New Roman" w:cs="Times New Roman" w:eastAsia="Times New Roman" w:hAnsi="Times New Roman"/>
          <w:b/>
          <w:bCs/>
          <w:color w:val="1F3864"/>
          <w:sz w:val="28"/>
          <w:szCs w:val="28"/>
        </w:rPr>
        <w:t xml:space="preserve">0.1. Mise en contexte (état de la question)</w:t>
      </w:r>
    </w:p>
    <w:p>
      <w:pPr>
        <w:spacing w:after="200" w:line="300"/>
        <w:jc w:val="both"/>
      </w:pPr>
      <w:r>
        <w:rPr>
          <w:rFonts w:ascii="Times New Roman" w:cs="Times New Roman" w:eastAsia="Times New Roman" w:hAnsi="Times New Roman"/>
          <w:sz w:val="24"/>
          <w:szCs w:val="24"/>
        </w:rPr>
      </w:r>
    </w:p>
    <w:p>
      <w:pPr>
        <w:spacing w:after="200" w:line="300"/>
        <w:jc w:val="both"/>
      </w:pPr>
      <w:r>
        <w:rPr>
          <w:rFonts w:ascii="Times New Roman" w:cs="Times New Roman" w:eastAsia="Times New Roman" w:hAnsi="Times New Roman"/>
          <w:sz w:val="24"/>
          <w:szCs w:val="24"/>
        </w:rPr>
      </w:r>
    </w:p>
    <w:p>
      <w:pPr>
        <w:spacing w:after="200" w:line="300"/>
        <w:jc w:val="both"/>
      </w:pPr>
      <w:r>
        <w:rPr>
          <w:rFonts w:ascii="Times New Roman" w:cs="Times New Roman" w:eastAsia="Times New Roman" w:hAnsi="Times New Roman"/>
          <w:sz w:val="24"/>
          <w:szCs w:val="24"/>
        </w:rPr>
      </w:r>
    </w:p>
    <w:p>
      <w:pPr>
        <w:spacing w:after="240"/>
        <w:ind w:left="720" w:right="720"/>
        <w:jc w:val="both"/>
      </w:pPr>
      <w:r>
        <w:rPr>
          <w:rFonts w:ascii="Times New Roman" w:cs="Times New Roman" w:eastAsia="Times New Roman" w:hAnsi="Times New Roman"/>
          <w:i/>
          <w:iCs/>
          <w:sz w:val="24"/>
          <w:szCs w:val="24"/>
        </w:rPr>
        <w:t xml:space="preserve">« L'expansion des services financiers numériques a changé la manière dont les populations les plus pauvres accèdent au système financier formel. » — synthèse des constats du rapport Global Findex 2025 de la Banque mondiale [37, 34].</w:t>
      </w:r>
    </w:p>
    <w:p>
      <w:pPr>
        <w:spacing w:after="200" w:line="300"/>
        <w:jc w:val="both"/>
      </w:pPr>
      <w:r>
        <w:rPr>
          <w:rFonts w:ascii="Times New Roman" w:cs="Times New Roman" w:eastAsia="Times New Roman" w:hAnsi="Times New Roman"/>
          <w:sz w:val="24"/>
          <w:szCs w:val="24"/>
        </w:rPr>
        <w:t xml:space="preserve">La Rawbank, leader du secteur bancaire congolais avec un total de bilan de 6,8 milliards de dollars américains et un réseau présent dans dix-neuf provinces, s'est positionnée à l'avant-garde de la transformation numérique grâce au déploiement de son application et portefeuille électronique « illicocash » [4, 16, 26]. Ce service de banque numérique asynchrone et sans agence permet à plus de 500 000 clients, mais également à des non-clients de la banque, d'effectuer des opérations d'envoi d'argent, d'achat de crédit téléphonique, de paiement de factures et de retrait sans carte aux distributeurs automatiques de billets.</w:t>
      </w:r>
    </w:p>
    <w:p>
      <w:pPr>
        <w:spacing w:after="200" w:line="300"/>
        <w:jc w:val="both"/>
      </w:pPr>
      <w:r>
        <w:rPr>
          <w:rFonts w:ascii="Times New Roman" w:cs="Times New Roman" w:eastAsia="Times New Roman" w:hAnsi="Times New Roman"/>
          <w:sz w:val="24"/>
          <w:szCs w:val="24"/>
        </w:rPr>
        <w:t xml:space="preserve">En mars 2026, la Rawbank a mobilisé un financement de 265 millions de dollars arrangé par la Société Financière Internationale (SFI/IFC) afin de dynamiser l'octroi de crédits aux MPME et d'accélérer la transition vers une économie numérique inclusive [19]. En avril 2026, l'émission du premier eurobond de 1,25 milliard de dollars par la Rawbank a consacré la crédibilité internationale de l'institution et sa capacité à orienter des capitaux structurés vers l'économie réelle congolaise [29].</w:t>
      </w:r>
    </w:p>
    <w:p>
      <w:pPr>
        <w:spacing w:after="200" w:line="300"/>
        <w:jc w:val="both"/>
      </w:pPr>
      <w:r>
        <w:rPr>
          <w:rFonts w:ascii="Times New Roman" w:cs="Times New Roman" w:eastAsia="Times New Roman" w:hAnsi="Times New Roman"/>
          <w:sz w:val="24"/>
          <w:szCs w:val="24"/>
        </w:rPr>
        <w:t xml:space="preserve">Le présent travail s'inscrit dans cette trajectoire stratégique. Il vise à concevoir, modéliser et documenter une plateforme FinTech distribuée permettant à la Rawbank d'offrir des services de micro-crédits automatisés aux populations non bancarisées ou faiblement bancarisées de la RDC, en exploitant des données comportementales alternatives issues du Mobile Money, de l'épargne numérique virtuelle et des interactions des utilisateurs avec l'application, plutôt que l'historique des transactions bancaires formelles classiques [28, 27, 25].</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2600"/>
        <w:gridCol w:w="3300"/>
        <w:gridCol w:w="3300"/>
      </w:tblGrid>
      <w:tr>
        <w:trPr>
          <w:tblHeader/>
        </w:trPr>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Dimension d'évaluation</w:t>
            </w:r>
          </w:p>
        </w:tc>
        <w:tc>
          <w:tcPr>
            <w:tcW w:type="dxa" w:w="33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Approche bancaire traditionnelle</w:t>
            </w:r>
          </w:p>
        </w:tc>
        <w:tc>
          <w:tcPr>
            <w:tcW w:type="dxa" w:w="33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Approche FinTech proposée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Sources de données primaires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Relevés de comptes formels, bulletins de paie, garanties collatérales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Flux Mobile Money, comportement d'épargne numérique, métadonnées applicatives</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Vitesse de traitement</w:t>
            </w:r>
          </w:p>
        </w:tc>
        <w:tc>
          <w:tcPr>
            <w:tcW w:type="dxa" w:w="3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Plusieurs jours à semaines (comités de crédit)</w:t>
            </w:r>
          </w:p>
        </w:tc>
        <w:tc>
          <w:tcPr>
            <w:tcW w:type="dxa" w:w="3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Temps réel ou quasi-réel (moins de 3 secondes)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Cible démographique</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Fonctionnaires, employés de grandes entreprises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Populations non bancarisées, secteur informel, jeunes</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Explicabilité de la décision</w:t>
            </w:r>
          </w:p>
        </w:tc>
        <w:tc>
          <w:tcPr>
            <w:tcW w:type="dxa" w:w="3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Subjective, opaque en cas de refus</w:t>
            </w:r>
          </w:p>
        </w:tc>
        <w:tc>
          <w:tcPr>
            <w:tcW w:type="dxa" w:w="33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Transparente, attributions locales SHAP et explications RAG</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Canal d'accès</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Agence physique, rendez-vous client</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Application mobile, 100 % dématérialisée</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1 — Approche bancaire traditionnelle (Rawbank) vs approche FinTech proposée</w:t>
      </w:r>
    </w:p>
    <w:p>
      <w:pPr>
        <w:spacing w:after="200" w:line="300"/>
        <w:jc w:val="both"/>
      </w:pPr>
      <w:r>
        <w:rPr>
          <w:rFonts w:ascii="Times New Roman" w:cs="Times New Roman" w:eastAsia="Times New Roman" w:hAnsi="Times New Roman"/>
          <w:sz w:val="24"/>
          <w:szCs w:val="24"/>
        </w:rPr>
        <w:t xml:space="preserve">Le choix de ce sujet se justifie d'abord par sa pertinence socio-économique immédiate : en ancrant le scoring de crédit sur des données réellement disponibles pour les populations non bancarisées, ce travail répond directement à un besoin documenté de l'écosystème financier congolais [20, 22, 1]. Sur le plan académique, il se situe à la convergence de trois domaines de recherche habituellement traités séparément dans la littérature : la modélisation statistique et computationnelle du risque de crédit, l'intelligence artificielle explicable appliquée à la finance, et l'ingénierie logicielle distribuée appliquée aux contraintes des réseaux télécom africains (USSD, connectivité intermittente).</w:t>
      </w:r>
    </w:p>
    <w:p>
      <w:pPr>
        <w:spacing w:after="200" w:line="300"/>
        <w:jc w:val="both"/>
      </w:pPr>
      <w:r>
        <w:rPr>
          <w:rFonts w:ascii="Times New Roman" w:cs="Times New Roman" w:eastAsia="Times New Roman" w:hAnsi="Times New Roman"/>
          <w:sz w:val="24"/>
          <w:szCs w:val="24"/>
        </w:rPr>
        <w:t xml:space="preserve">L'originalité du travail réside dans l'intégration native de ces trois axes au sein d'une architecture logicielle unique et auditable, plutôt que dans le traitement isolé de l'un d'entre eux. Cette approche transversale, encore peu documentée dans le contexte spécifique de l'Afrique centrale [20, 38, 2], constitue la contribution méthodologique principale revendiquée par cette étude, développée dans le cadre de l'option Génie Logiciel de la Faculté des Sciences Informatiques de l'Université Protestante au Congo.</w:t>
      </w:r>
    </w:p>
    <w:p>
      <w:pPr>
        <w:pStyle w:val="Heading2"/>
        <w:spacing w:after="180" w:before="320"/>
      </w:pPr>
      <w:r>
        <w:rPr>
          <w:rFonts w:ascii="Times New Roman" w:cs="Times New Roman" w:eastAsia="Times New Roman" w:hAnsi="Times New Roman"/>
          <w:b/>
          <w:bCs/>
          <w:color w:val="1F3864"/>
          <w:sz w:val="28"/>
          <w:szCs w:val="28"/>
        </w:rPr>
        <w:t xml:space="preserve">0.2. Problématique</w:t>
      </w:r>
    </w:p>
    <w:p>
      <w:pPr>
        <w:spacing w:after="200" w:line="300"/>
        <w:jc w:val="both"/>
      </w:pPr>
      <w:r>
        <w:rPr>
          <w:rFonts w:ascii="Times New Roman" w:cs="Times New Roman" w:eastAsia="Times New Roman" w:hAnsi="Times New Roman"/>
          <w:sz w:val="24"/>
          <w:szCs w:val="24"/>
        </w:rPr>
      </w:r>
    </w:p>
    <w:p>
      <w:pPr>
        <w:spacing w:after="200" w:line="300"/>
        <w:jc w:val="both"/>
      </w:pPr>
      <w:r>
        <w:rPr>
          <w:rFonts w:ascii="Times New Roman" w:cs="Times New Roman" w:eastAsia="Times New Roman" w:hAnsi="Times New Roman"/>
          <w:sz w:val="24"/>
          <w:szCs w:val="24"/>
        </w:rPr>
      </w:r>
    </w:p>
    <w:p>
      <w:pPr>
        <w:spacing w:after="200" w:line="300"/>
        <w:jc w:val="both"/>
      </w:pPr>
      <w:r>
        <w:rPr>
          <w:rFonts w:ascii="Times New Roman" w:cs="Times New Roman" w:eastAsia="Times New Roman" w:hAnsi="Times New Roman"/>
          <w:sz w:val="24"/>
          <w:szCs w:val="24"/>
        </w:rPr>
      </w:r>
    </w:p>
    <w:p>
      <w:pPr>
        <w:spacing w:after="240"/>
        <w:ind w:left="720" w:right="720"/>
        <w:jc w:val="both"/>
      </w:pPr>
      <w:r>
        <w:rPr>
          <w:rFonts w:ascii="Times New Roman" w:cs="Times New Roman" w:eastAsia="Times New Roman" w:hAnsi="Times New Roman"/>
          <w:b/>
          <w:bCs/>
          <w:i/>
          <w:iCs/>
          <w:sz w:val="24"/>
          <w:szCs w:val="24"/>
        </w:rPr>
        <w:t xml:space="preserve">La problématique de cette recherche se formule ainsi : comment concevoir et modéliser une plateforme logicielle distribuée qui intègre l'intelligence artificielle explicable et l'IA générative, afin de permettre à la Rawbank d'octroyer des micro-crédits automatisés, justifiables et sécurisés à partir de données alternatives de Mobile Money et d'épargne en RDC ?</w:t>
      </w:r>
    </w:p>
    <w:p>
      <w:pPr>
        <w:pStyle w:val="Heading2"/>
        <w:spacing w:after="180" w:before="320"/>
      </w:pPr>
      <w:r>
        <w:rPr>
          <w:rFonts w:ascii="Times New Roman" w:cs="Times New Roman" w:eastAsia="Times New Roman" w:hAnsi="Times New Roman"/>
          <w:b/>
          <w:bCs/>
          <w:color w:val="1F3864"/>
          <w:sz w:val="28"/>
          <w:szCs w:val="28"/>
        </w:rPr>
        <w:t xml:space="preserve">0.3. Hypothèses de la recherche</w:t>
      </w:r>
    </w:p>
    <w:p>
      <w:pPr>
        <w:spacing w:after="200" w:line="300"/>
        <w:jc w:val="both"/>
      </w:pPr>
      <w:r>
        <w:rPr>
          <w:rFonts w:ascii="Times New Roman" w:cs="Times New Roman" w:eastAsia="Times New Roman" w:hAnsi="Times New Roman"/>
          <w:sz w:val="24"/>
          <w:szCs w:val="24"/>
        </w:rPr>
        <w:t xml:space="preserve">Ce travail s'appuie sur un cadre théorique construit autour de la modélisation statistique du risque de crédit, de l'intelligence artificielle explicable et de la génération augmentée par récupération, présenté au point 1.2. Trois hypothèses en découlent.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Hypothèse 1 (H1) — </w:t>
      </w:r>
      <w:r>
        <w:rPr>
          <w:rFonts w:ascii="Times New Roman" w:cs="Times New Roman" w:eastAsia="Times New Roman" w:hAnsi="Times New Roman"/>
          <w:sz w:val="24"/>
          <w:szCs w:val="24"/>
        </w:rPr>
        <w:t xml:space="preserve">le couplage des variables transactionnelles Mobile Money (fréquence, régularité des revenus) avec les variables comportementales d'épargne virtuelle permet d'obtenir, avec un classifieur XGBoost, une aire sous la courbe ROC supérieure à 0,85, avec un taux d'erreur inférieur à celui d'une régression logistique classique [30].</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Hypothèse 2 (H2) — </w:t>
      </w:r>
      <w:r>
        <w:rPr>
          <w:rFonts w:ascii="Times New Roman" w:cs="Times New Roman" w:eastAsia="Times New Roman" w:hAnsi="Times New Roman"/>
          <w:sz w:val="24"/>
          <w:szCs w:val="24"/>
        </w:rPr>
        <w:t xml:space="preserve">l'usage conjoint de SHAP pour la sélection des caractéristiques et de LIME pour l'explication locale garantit une cohérence d'explication mesurable (coefficient de corrélation de rang de Kendall τ supérieur à 0,90), tout en respectant les contraintes d'audit de la Rawbank [24, 33].</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Hypothèse 3 (H3) — </w:t>
      </w:r>
      <w:r>
        <w:rPr>
          <w:rFonts w:ascii="Times New Roman" w:cs="Times New Roman" w:eastAsia="Times New Roman" w:hAnsi="Times New Roman"/>
          <w:sz w:val="24"/>
          <w:szCs w:val="24"/>
        </w:rPr>
        <w:t xml:space="preserve">une architecture RAG combinant une base vectorielle de directives internes et les attributions explicatives locales de l'IA permet de générer des mémos de décision sans hallucination factuelle mesurable (taux d'erreur factuelle inférieur ou égal à 1 %), utilisables tels quels par les experts métiers [10, 15, 8].</w:t>
      </w:r>
    </w:p>
    <w:p>
      <w:pPr>
        <w:spacing w:after="200" w:line="300"/>
        <w:jc w:val="both"/>
      </w:pPr>
      <w:r>
        <w:rPr>
          <w:rFonts w:ascii="Times New Roman" w:cs="Times New Roman" w:eastAsia="Times New Roman" w:hAnsi="Times New Roman"/>
          <w:sz w:val="24"/>
          <w:szCs w:val="24"/>
        </w:rPr>
        <w:t xml:space="preserve">Leur vérification empirique complète suppose l'exécution du prototype décrit aux chapitres 2 et 3 sur un jeu de données constitué ; ce mémoire en pose la conception et la modélisation.</w:t>
      </w:r>
    </w:p>
    <w:p>
      <w:pPr>
        <w:pStyle w:val="Heading2"/>
        <w:spacing w:after="180" w:before="320"/>
      </w:pPr>
      <w:r>
        <w:rPr>
          <w:rFonts w:ascii="Times New Roman" w:cs="Times New Roman" w:eastAsia="Times New Roman" w:hAnsi="Times New Roman"/>
          <w:b/>
          <w:bCs/>
          <w:color w:val="1F3864"/>
          <w:sz w:val="28"/>
          <w:szCs w:val="28"/>
        </w:rPr>
        <w:t xml:space="preserve">0.4. Méthodologie</w:t>
      </w:r>
    </w:p>
    <w:p>
      <w:pPr>
        <w:spacing w:after="200" w:line="300"/>
        <w:jc w:val="both"/>
      </w:pPr>
      <w:r>
        <w:rPr>
          <w:rFonts w:ascii="Times New Roman" w:cs="Times New Roman" w:eastAsia="Times New Roman" w:hAnsi="Times New Roman"/>
          <w:sz w:val="24"/>
          <w:szCs w:val="24"/>
        </w:rPr>
        <w:t xml:space="preserve">Deux niveaux méthodologiques se superposent dans ce travail, conformément aux orientations du point 1.2.4 du guide de rédaction des mémoires L2 FASI de l'UPC.</w:t>
      </w:r>
    </w:p>
    <w:p>
      <w:pPr>
        <w:spacing w:after="200" w:line="300"/>
        <w:jc w:val="both"/>
      </w:pPr>
      <w:r>
        <w:rPr>
          <w:rFonts w:ascii="Times New Roman" w:cs="Times New Roman" w:eastAsia="Times New Roman" w:hAnsi="Times New Roman"/>
          <w:sz w:val="24"/>
          <w:szCs w:val="24"/>
        </w:rPr>
        <w:t xml:space="preserve">Au niveau du projet, le développement suit Scrum : des sprints de deux semaines produisent chacun un incrément testable, à partir d'un backlog qui regroupe les fonctionnalités USSD, le scoring, la gestion des agents et le reporting. Les cérémonies habituelles — planification de sprint, mêlée quotidienne, revue, rétrospective — rythment le travail et permettent d'intégrer rapidement les retours des agents de crédit et des administrateurs.</w:t>
      </w:r>
    </w:p>
    <w:p>
      <w:pPr>
        <w:spacing w:after="200" w:line="300"/>
        <w:jc w:val="both"/>
      </w:pPr>
      <w:r>
        <w:rPr>
          <w:rFonts w:ascii="Times New Roman" w:cs="Times New Roman" w:eastAsia="Times New Roman" w:hAnsi="Times New Roman"/>
          <w:sz w:val="24"/>
          <w:szCs w:val="24"/>
        </w:rPr>
        <w:t xml:space="preserve">Au niveau de l'ingénierie, la documentation et la structuration de la solution suivent le Processus Unifié (UP), conformément au point 3.1 du guide (volet Génie Logiciel). Cette méthode itérative, centrée sur les cas d'utilisation, s'organise en quatre phases : Inception, Élaboration, Construction et Transition, détaillées aux chapitres 2 et 3.</w:t>
      </w:r>
    </w:p>
    <w:p>
      <w:pPr>
        <w:spacing w:after="200" w:line="300"/>
        <w:jc w:val="both"/>
      </w:pPr>
      <w:r>
        <w:rPr>
          <w:rFonts w:ascii="Times New Roman" w:cs="Times New Roman" w:eastAsia="Times New Roman" w:hAnsi="Times New Roman"/>
          <w:sz w:val="24"/>
          <w:szCs w:val="24"/>
        </w:rPr>
        <w:t xml:space="preserve">Les données mobilisées pour entraîner et évaluer le moteur de scoring proviennent de flux transactionnels simulés de Mobile Money et d'épargne virtuelle ; leur traitement statistique est décrit au point 3.2.7.</w:t>
      </w:r>
    </w:p>
    <w:p>
      <w:pPr>
        <w:pStyle w:val="Heading2"/>
        <w:spacing w:after="180" w:before="320"/>
      </w:pPr>
      <w:r>
        <w:rPr>
          <w:rFonts w:ascii="Times New Roman" w:cs="Times New Roman" w:eastAsia="Times New Roman" w:hAnsi="Times New Roman"/>
          <w:b/>
          <w:bCs/>
          <w:color w:val="1F3864"/>
          <w:sz w:val="28"/>
          <w:szCs w:val="28"/>
        </w:rPr>
        <w:t xml:space="preserve">0.5. Objectifs de la recherche</w:t>
      </w:r>
    </w:p>
    <w:p>
      <w:pPr>
        <w:spacing w:after="200" w:line="300"/>
        <w:jc w:val="both"/>
      </w:pPr>
      <w:r>
        <w:rPr>
          <w:rFonts w:ascii="Times New Roman" w:cs="Times New Roman" w:eastAsia="Times New Roman" w:hAnsi="Times New Roman"/>
          <w:sz w:val="24"/>
          <w:szCs w:val="24"/>
        </w:rPr>
        <w:t xml:space="preserve">Conformément au point 0.5 du guide de rédaction, les objectifs se déclinent en un objectif général et des objectifs spécifiques mesurables, reliés aux hypothèses du point 0.3.</w:t>
      </w:r>
    </w:p>
    <w:p>
      <w:pPr>
        <w:pStyle w:val="Heading4"/>
        <w:spacing w:after="120" w:before="200"/>
      </w:pPr>
      <w:r>
        <w:rPr>
          <w:rFonts w:ascii="Times New Roman" w:cs="Times New Roman" w:eastAsia="Times New Roman" w:hAnsi="Times New Roman"/>
          <w:b/>
          <w:bCs/>
          <w:i/>
          <w:iCs/>
          <w:sz w:val="24"/>
          <w:szCs w:val="24"/>
        </w:rPr>
        <w:t xml:space="preserve">a) Objectif général</w:t>
      </w:r>
    </w:p>
    <w:p>
      <w:pPr>
        <w:spacing w:after="200" w:line="300"/>
        <w:jc w:val="both"/>
      </w:pPr>
      <w:r>
        <w:rPr>
          <w:rFonts w:ascii="Times New Roman" w:cs="Times New Roman" w:eastAsia="Times New Roman" w:hAnsi="Times New Roman"/>
          <w:sz w:val="24"/>
          <w:szCs w:val="24"/>
        </w:rPr>
        <w:t xml:space="preserve">L'objectif général de ce travail est de concevoir et de modéliser une plateforme FinTech distribuée, sécurisée et explicable pour l'octroi automatisé de micro-crédits au sein de l'écosystème « illicocash » de la Rawbank, transformant les données transactionnelles alternatives de populations historiquement exclues du système bancaire en un profil de solvabilité numérique fiable, auditable et conforme aux exigences réglementaires de la Banque Centrale du Congo.</w:t>
      </w:r>
    </w:p>
    <w:p>
      <w:pPr>
        <w:pStyle w:val="Heading4"/>
        <w:spacing w:after="120" w:before="200"/>
      </w:pPr>
      <w:r>
        <w:rPr>
          <w:rFonts w:ascii="Times New Roman" w:cs="Times New Roman" w:eastAsia="Times New Roman" w:hAnsi="Times New Roman"/>
          <w:b/>
          <w:bCs/>
          <w:i/>
          <w:iCs/>
          <w:sz w:val="24"/>
          <w:szCs w:val="24"/>
        </w:rPr>
        <w:t xml:space="preserve">b) Objectifs spécifiques</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Concevoir une architecture logicielle distribuée et sécurisée, capable d'interagir avec les API d'illicocash et de gérer la persistance des sessions utilisateur sur le protocole USSD sans connexion Internet permanente.</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Modéliser un pipeline de simulation et d'ingestion de flux transactionnels issus des opérateurs de téléphonie mobile (M-Pesa, Airtel Money, Orange Money), afin d'en extraire des indicateurs de régularité de revenus, de volume financier et de stabilité comportementale.</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Traduire de manière déterministe les politiques internes de la Rawbank (âge, KYC numérique, absence de contentieux actifs) en un moteur de règles d'éligibilité préliminaire.</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Entraîner et évaluer un classifieur supervisé non linéaire de type XGBoost pour prédire la probabilité de défaut, en visant une performance discriminante élevée, mesurée par une aire sous la courbe ROC (AUC) supérieure à 0,85 [30].</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Implémenter les méthodes SHAP et LIME pour décomposer la décision de l'IA en vecteurs d'attribution de caractéristiques quantifiables et stables [31, 24, 6, 33].</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Concevoir une architecture RAG couplée à un modèle de langage pour automatiser la génération de mémos de décision factuellement ancrés sur la politique de la Rawbank et sur les explications SHAP/LIME [10, 17, 15].</w:t>
      </w:r>
    </w:p>
    <w:p>
      <w:pPr>
        <w:pStyle w:val="Heading2"/>
        <w:spacing w:after="180" w:before="320"/>
      </w:pPr>
      <w:r>
        <w:rPr>
          <w:rFonts w:ascii="Times New Roman" w:cs="Times New Roman" w:eastAsia="Times New Roman" w:hAnsi="Times New Roman"/>
          <w:b/>
          <w:bCs/>
          <w:color w:val="1F3864"/>
          <w:sz w:val="28"/>
          <w:szCs w:val="28"/>
        </w:rPr>
        <w:t xml:space="preserve">0.6. Contribution de l'étude</w:t>
      </w:r>
    </w:p>
    <w:p>
      <w:pPr>
        <w:pStyle w:val="Heading4"/>
        <w:spacing w:after="120" w:before="200"/>
      </w:pPr>
      <w:r>
        <w:rPr>
          <w:rFonts w:ascii="Times New Roman" w:cs="Times New Roman" w:eastAsia="Times New Roman" w:hAnsi="Times New Roman"/>
          <w:b/>
          <w:bCs/>
          <w:i/>
          <w:iCs/>
          <w:sz w:val="24"/>
          <w:szCs w:val="24"/>
        </w:rPr>
        <w:t xml:space="preserve">a) Contribution sociale et pratique</w:t>
      </w:r>
    </w:p>
    <w:p>
      <w:pPr>
        <w:spacing w:after="200" w:line="300"/>
        <w:jc w:val="both"/>
      </w:pPr>
      <w:r>
        <w:rPr>
          <w:rFonts w:ascii="Times New Roman" w:cs="Times New Roman" w:eastAsia="Times New Roman" w:hAnsi="Times New Roman"/>
          <w:sz w:val="24"/>
          <w:szCs w:val="24"/>
        </w:rPr>
        <w:t xml:space="preserve">Ce travail valorise le levier de l'inclusion numérique pour rendre visibles au crédit les millions d'acteurs du secteur informel — commerçants, artisans, MPME — exclus par les exigences de garanties physiques des banques traditionnelles [12, 2, 1]. L'évaluation scientifique du risque permet par ailleurs à la Rawbank d'élargir son portefeuille de clients tout en maîtrisant son coût du risque, dans la continuité de ses récents financements structurés [29, 19], et contribue à limiter l'exposition des populations aux taux d'usure informels.</w:t>
      </w:r>
    </w:p>
    <w:p>
      <w:pPr>
        <w:pStyle w:val="Heading4"/>
        <w:spacing w:after="120" w:before="200"/>
      </w:pPr>
      <w:r>
        <w:rPr>
          <w:rFonts w:ascii="Times New Roman" w:cs="Times New Roman" w:eastAsia="Times New Roman" w:hAnsi="Times New Roman"/>
          <w:b/>
          <w:bCs/>
          <w:i/>
          <w:iCs/>
          <w:sz w:val="24"/>
          <w:szCs w:val="24"/>
        </w:rPr>
        <w:t xml:space="preserve">b) Contribution scientifique et académique</w:t>
      </w:r>
    </w:p>
    <w:p>
      <w:pPr>
        <w:spacing w:after="200" w:line="300"/>
        <w:jc w:val="both"/>
      </w:pPr>
      <w:r>
        <w:rPr>
          <w:rFonts w:ascii="Times New Roman" w:cs="Times New Roman" w:eastAsia="Times New Roman" w:hAnsi="Times New Roman"/>
          <w:sz w:val="24"/>
          <w:szCs w:val="24"/>
        </w:rPr>
        <w:t xml:space="preserve">Ce travail propose un modèle méthodologique d'intégration logicielle qui démontre comment coupler des prédictions d'ensemble complexes (XGBoost) avec des explications locales issues de la théorie des jeux (SHAP) et des techniques de grounding par RAG, afin de limiter les hallucinations des LLM dans la génération de documents financiers critiques [9, 21, 5, 8]. Il enrichit également la littérature sur le scoring alternatif en Afrique centrale, un écosystème caractérisé par une forte croissance du Mobile Money mais un contexte d'infrastructure encore contraint [38, 22, 36].</w:t>
      </w:r>
    </w:p>
    <w:p>
      <w:pPr>
        <w:pStyle w:val="Heading2"/>
        <w:spacing w:after="180" w:before="320"/>
      </w:pPr>
      <w:r>
        <w:rPr>
          <w:rFonts w:ascii="Times New Roman" w:cs="Times New Roman" w:eastAsia="Times New Roman" w:hAnsi="Times New Roman"/>
          <w:b/>
          <w:bCs/>
          <w:color w:val="1F3864"/>
          <w:sz w:val="28"/>
          <w:szCs w:val="28"/>
        </w:rPr>
        <w:t xml:space="preserve">0.7. Délimitation de l'étude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Délimitation spatiale : </w:t>
      </w:r>
      <w:r>
        <w:rPr>
          <w:rFonts w:ascii="Times New Roman" w:cs="Times New Roman" w:eastAsia="Times New Roman" w:hAnsi="Times New Roman"/>
          <w:sz w:val="24"/>
          <w:szCs w:val="24"/>
        </w:rPr>
        <w:t xml:space="preserve">l'étude est circonscrite au territoire de la République Démocratique du Congo, et se focalise sur les infrastructures de la Rawbank et de sa banque numérique illicocash. Les données de Mobile Money simulées s'appuient exclusivement sur la typologie des transactions des opérateurs actifs en RDC (Vodacom, Airtel, Orange).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Délimitation temporelle : </w:t>
      </w:r>
      <w:r>
        <w:rPr>
          <w:rFonts w:ascii="Times New Roman" w:cs="Times New Roman" w:eastAsia="Times New Roman" w:hAnsi="Times New Roman"/>
          <w:sz w:val="24"/>
          <w:szCs w:val="24"/>
        </w:rPr>
        <w:t xml:space="preserve">les travaux se concentrent sur la période 2024–2026 ; les indicateurs financiers de la Rawbank exploités sont ceux consolidés à la fin de l'exercice 2025 (total d'actifs de 6,8 milliards de dollars, produit net bancaire de 681,8 millions de dollars).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Délimitation technique : </w:t>
      </w:r>
      <w:r>
        <w:rPr>
          <w:rFonts w:ascii="Times New Roman" w:cs="Times New Roman" w:eastAsia="Times New Roman" w:hAnsi="Times New Roman"/>
          <w:sz w:val="24"/>
          <w:szCs w:val="24"/>
        </w:rPr>
        <w:t xml:space="preserve">pour des raisons de secret bancaire, de sécurité de l'information (ISO/IEC 27001) et de conformité réglementaire (RGPD/BCC), ce travail ne fait pas l'objet d'un déploiement en production sur les serveurs réels de la Rawbank. Il s'agit de la conception et de la modélisation d'un prototype fonctionnel de haut niveau (Proof of Concept), s'appuyant sur des API REST simulées, une base de données relationnelle locale (MySQL), un cache de session en mémoire (Redis), un modèle XGBoost entraîné sur des jeux de données alternatifs, et une instance locale de base vectorielle (pgvector) pour le pipeline RAG.</w:t>
      </w:r>
    </w:p>
    <w:p>
      <w:pPr>
        <w:pStyle w:val="Heading2"/>
        <w:spacing w:after="180" w:before="320"/>
      </w:pPr>
      <w:r>
        <w:rPr>
          <w:rFonts w:ascii="Times New Roman" w:cs="Times New Roman" w:eastAsia="Times New Roman" w:hAnsi="Times New Roman"/>
          <w:b/>
          <w:bCs/>
          <w:color w:val="1F3864"/>
          <w:sz w:val="28"/>
          <w:szCs w:val="28"/>
        </w:rPr>
        <w:t xml:space="preserve">0.8. Canevas de la recherche</w:t>
      </w:r>
    </w:p>
    <w:p>
      <w:pPr>
        <w:spacing w:after="200" w:line="300"/>
        <w:jc w:val="both"/>
      </w:pPr>
      <w:r>
        <w:rPr>
          <w:rFonts w:ascii="Times New Roman" w:cs="Times New Roman" w:eastAsia="Times New Roman" w:hAnsi="Times New Roman"/>
          <w:sz w:val="24"/>
          <w:szCs w:val="24"/>
        </w:rPr>
        <w:t xml:space="preserve">Conformément au point 0.8 du guide, ce travail comprend trois chapitres, en plus de la présente introduction générale et de la conclusion qui suit le chapitre 3.</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Chapitre 1 : Revue de la littérature, empirique puis théorique, sur le scoring de crédit alternatif, l'intelligence artificielle explicable et la génération augmentée par récupération.</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Chapitre 2 : Analyse de l'existant et conception de la solution, avec une modélisation UML organisée selon les phases Inception et Élaboration du Processus Unifié (volet Génie Logiciel).</w:t>
      </w:r>
    </w:p>
    <w:p>
      <w:pPr>
        <w:pStyle w:val="ListParagraph"/>
        <w:numPr>
          <w:ilvl w:val="0"/>
          <w:numId w:val="1"/>
        </w:numPr>
        <w:spacing w:after="140" w:line="290"/>
        <w:jc w:val="both"/>
      </w:pPr>
      <w:r>
        <w:rPr>
          <w:rFonts w:ascii="Times New Roman" w:cs="Times New Roman" w:eastAsia="Times New Roman" w:hAnsi="Times New Roman"/>
          <w:sz w:val="24"/>
          <w:szCs w:val="24"/>
        </w:rPr>
        <w:t xml:space="preserve">Chapitre 3 : Réalisation de la solution, couvrant la construction (diagrammes de classes, d'objets, d'activités, de composants, d'états-transitions, besoins techniques et implémentation) et la transition (déploiement, mise en production), selon les phases Construction et Transition du Processus Unifié.</w:t>
      </w:r>
    </w:p>
    <w:p>
      <w:pPr>
        <w:spacing w:after="200" w:line="300"/>
        <w:jc w:val="both"/>
      </w:pPr>
      <w:r>
        <w:rPr>
          <w:rFonts w:ascii="Times New Roman" w:cs="Times New Roman" w:eastAsia="Times New Roman" w:hAnsi="Times New Roman"/>
          <w:sz w:val="24"/>
          <w:szCs w:val="24"/>
        </w:rPr>
        <w:t xml:space="preserve">Ces trois chapitres répondent progressivement à la problématique posée au point 0.2 et permettent de vérifier les hypothèses du point 0.3.</w:t>
      </w:r>
    </w:p>
    <w:p>
      <w:pPr>
        <w:pStyle w:val="Heading1"/>
        <w:pageBreakBefore/>
        <w:spacing w:after="240" w:before="400"/>
      </w:pPr>
      <w:r>
        <w:rPr>
          <w:rFonts w:ascii="Times New Roman" w:cs="Times New Roman" w:eastAsia="Times New Roman" w:hAnsi="Times New Roman"/>
          <w:b/>
          <w:bCs/>
          <w:color w:val="1F3864"/>
          <w:sz w:val="32"/>
          <w:szCs w:val="32"/>
        </w:rPr>
        <w:t xml:space="preserve">CHAPITRE 1 : REVUE DE LA LITTÉRATURE</w:t>
      </w:r>
    </w:p>
    <w:p>
      <w:pPr>
        <w:spacing w:after="200" w:line="300"/>
        <w:jc w:val="both"/>
      </w:pPr>
      <w:r>
        <w:rPr>
          <w:rFonts w:ascii="Times New Roman" w:cs="Times New Roman" w:eastAsia="Times New Roman" w:hAnsi="Times New Roman"/>
          <w:sz w:val="24"/>
          <w:szCs w:val="24"/>
        </w:rPr>
        <w:t xml:space="preserve">Ce chapitre présente d'abord la littérature empirique, à travers des retours d'expérience de terrain sur le scoring alternatif en Afrique, puis la littérature théorique qui fonde la modélisation développée aux chapitres suivants.</w:t>
      </w:r>
    </w:p>
    <w:p>
      <w:pPr>
        <w:pStyle w:val="Heading2"/>
        <w:spacing w:after="180" w:before="320"/>
      </w:pPr>
      <w:r>
        <w:rPr>
          <w:rFonts w:ascii="Times New Roman" w:cs="Times New Roman" w:eastAsia="Times New Roman" w:hAnsi="Times New Roman"/>
          <w:b/>
          <w:bCs/>
          <w:color w:val="1F3864"/>
          <w:sz w:val="28"/>
          <w:szCs w:val="28"/>
        </w:rPr>
        <w:t xml:space="preserve">1.1. Revue de la littérature empirique</w:t>
      </w:r>
    </w:p>
    <w:p>
      <w:pPr>
        <w:pStyle w:val="Heading3"/>
        <w:spacing w:after="150" w:before="260"/>
      </w:pPr>
      <w:r>
        <w:rPr>
          <w:rFonts w:ascii="Times New Roman" w:cs="Times New Roman" w:eastAsia="Times New Roman" w:hAnsi="Times New Roman"/>
          <w:b/>
          <w:bCs/>
          <w:i w:val="false"/>
          <w:iCs w:val="false"/>
          <w:sz w:val="26"/>
          <w:szCs w:val="26"/>
        </w:rPr>
        <w:t xml:space="preserve">1.1.1. Retours d'expérience sur le scoring alternatif en Afrique (Kifiya, Eshandi)</w:t>
      </w:r>
    </w:p>
    <w:p>
      <w:pPr>
        <w:spacing w:after="200" w:line="300"/>
        <w:jc w:val="both"/>
      </w:pPr>
      <w:r>
        <w:rPr>
          <w:rFonts w:ascii="Times New Roman" w:cs="Times New Roman" w:eastAsia="Times New Roman" w:hAnsi="Times New Roman"/>
          <w:sz w:val="24"/>
          <w:szCs w:val="24"/>
        </w:rPr>
        <w:t xml:space="preserve">L'évaluation empirique de la solvabilité à partir de données alternatives a fait l'objet d'expérimentations d'envergure dans plusieurs pays africains à forte pénétration mobile. Au Kenya, le produit M-Shwari, lancé conjointement par Safaricom et la banque CBA, démontre qu'il est possible de distribuer instantanément des millions de micro-prêts à l'aide d'un algorithme de scoring exploitant uniquement des données d'usage du réseau cellulaire, avec des taux de défaut globaux maintenus sous le seuil critique des 5 % [14, 35].</w:t>
      </w:r>
    </w:p>
    <w:p>
      <w:pPr>
        <w:spacing w:after="200" w:line="300"/>
        <w:jc w:val="both"/>
      </w:pPr>
      <w:r>
        <w:rPr>
          <w:rFonts w:ascii="Times New Roman" w:cs="Times New Roman" w:eastAsia="Times New Roman" w:hAnsi="Times New Roman"/>
          <w:sz w:val="24"/>
          <w:szCs w:val="24"/>
        </w:rPr>
        <w:t xml:space="preserve">En Éthiopie, l'initiative Kifiya, en agrégeant des données transactionnelles alternatives et des indicateurs de productivité agricole, a permis à ses banques partenaires de débloquer plus de 340 millions de dollars de financements non garantis au bénéfice de 713 000 MPME, dont une majorité de femmes entrepreneures, confirmant qu'un modèle basé sur l'activité économique réelle est plus prédictif de la capacité de remboursement que l'évaluation classique d'actifs collatéraux [2, 36].</w:t>
      </w:r>
    </w:p>
    <w:p>
      <w:pPr>
        <w:spacing w:after="200" w:line="300"/>
        <w:jc w:val="both"/>
      </w:pPr>
      <w:r>
        <w:rPr>
          <w:rFonts w:ascii="Times New Roman" w:cs="Times New Roman" w:eastAsia="Times New Roman" w:hAnsi="Times New Roman"/>
          <w:sz w:val="24"/>
          <w:szCs w:val="24"/>
        </w:rPr>
        <w:t xml:space="preserve">En Zambie, la plateforme Eshandi utilise une taxonomie de données comportementales pour noter 400 000 utilisateurs actifs. Un constat empirique majeur de cette expérience réside dans la corrélation positive entre le genre féminin et la régularité de remboursement : les femmes y affichent des taux de réemprunt supérieurs et une sinistralité plus faible, confirmant le rôle de la FinTech dans la réduction des barrières de genre [3, 14].</w:t>
      </w:r>
    </w:p>
    <w:p>
      <w:pPr>
        <w:pStyle w:val="Heading3"/>
        <w:spacing w:after="150" w:before="260"/>
      </w:pPr>
      <w:r>
        <w:rPr>
          <w:rFonts w:ascii="Times New Roman" w:cs="Times New Roman" w:eastAsia="Times New Roman" w:hAnsi="Times New Roman"/>
          <w:b/>
          <w:bCs/>
          <w:i w:val="false"/>
          <w:iCs w:val="false"/>
          <w:sz w:val="26"/>
          <w:szCs w:val="26"/>
        </w:rPr>
        <w:t xml:space="preserve">1.1.2. Limites méthodologiques identifiées dans les travaux antérieurs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Propagation et amplification des biais d'entraînement : </w:t>
      </w:r>
      <w:r>
        <w:rPr>
          <w:rFonts w:ascii="Times New Roman" w:cs="Times New Roman" w:eastAsia="Times New Roman" w:hAnsi="Times New Roman"/>
          <w:sz w:val="24"/>
          <w:szCs w:val="24"/>
        </w:rPr>
        <w:t xml:space="preserve">les algorithmes prédictifs entraînés sur des données historiques biaisées tendent à reproduire et amplifier les discriminations envers certains groupes (femmes, populations rurales, travailleurs informels), avec des taux de faux négatifs plus élevés pour ces segments [31, 7, 21].</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Intrusion dans la confidentialité des données personnelles : </w:t>
      </w:r>
      <w:r>
        <w:rPr>
          <w:rFonts w:ascii="Times New Roman" w:cs="Times New Roman" w:eastAsia="Times New Roman" w:hAnsi="Times New Roman"/>
          <w:sz w:val="24"/>
          <w:szCs w:val="24"/>
        </w:rPr>
        <w:t xml:space="preserve">plusieurs plateformes FinTech non régulées collectent des volumes invasifs de données (historiques d'appels, SMS, contacts, géolocalisation continue), ce qui soulève des controverses majeures en matière de consentement libre et éclairé [20, 36].</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Manque de transparence et d'auditabilité : </w:t>
      </w:r>
      <w:r>
        <w:rPr>
          <w:rFonts w:ascii="Times New Roman" w:cs="Times New Roman" w:eastAsia="Times New Roman" w:hAnsi="Times New Roman"/>
          <w:sz w:val="24"/>
          <w:szCs w:val="24"/>
        </w:rPr>
        <w:t xml:space="preserve">la nature « boîte noire » des modèles d'ensemble avancés empêche les institutions financières de fournir des explications personnalisées compréhensibles par le client final en cas de rejet, entravant le droit de contestation et l'audit réglementaire [31, 9, 7].</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Risque de dérives hallucinatoires de l'IA générative non ancrée : </w:t>
      </w:r>
      <w:r>
        <w:rPr>
          <w:rFonts w:ascii="Times New Roman" w:cs="Times New Roman" w:eastAsia="Times New Roman" w:hAnsi="Times New Roman"/>
          <w:sz w:val="24"/>
          <w:szCs w:val="24"/>
        </w:rPr>
        <w:t xml:space="preserve">les tentatives d'intégration d'assistants de rédaction financière basés sur des LLM génériques, sans architecture RAG ni couplage explicable, ont mis en évidence un taux significatif d'hallucinations d'indicateurs financiers et de justifications incohérentes de refus de crédit [18, 23, 11].</w:t>
      </w:r>
    </w:p>
    <w:p>
      <w:pPr>
        <w:pStyle w:val="Heading3"/>
        <w:spacing w:after="150" w:before="260"/>
      </w:pPr>
      <w:r>
        <w:rPr>
          <w:rFonts w:ascii="Times New Roman" w:cs="Times New Roman" w:eastAsia="Times New Roman" w:hAnsi="Times New Roman"/>
          <w:b/>
          <w:bCs/>
          <w:i w:val="false"/>
          <w:iCs w:val="false"/>
          <w:sz w:val="26"/>
          <w:szCs w:val="26"/>
        </w:rPr>
        <w:t xml:space="preserve">1.1.3. Positionnement de l'étude actuelle (Rawbank / illicocash)</w:t>
      </w:r>
    </w:p>
    <w:p>
      <w:pPr>
        <w:spacing w:after="200" w:line="300"/>
        <w:jc w:val="both"/>
      </w:pPr>
      <w:r>
        <w:rPr>
          <w:rFonts w:ascii="Times New Roman" w:cs="Times New Roman" w:eastAsia="Times New Roman" w:hAnsi="Times New Roman"/>
          <w:sz w:val="24"/>
          <w:szCs w:val="24"/>
        </w:rPr>
        <w:t xml:space="preserve">Face à ces limites, la présente étude se positionne différemment sur quatre points.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Ancrage réglementaire et conformité d'entreprise : </w:t>
      </w:r>
      <w:r>
        <w:rPr>
          <w:rFonts w:ascii="Times New Roman" w:cs="Times New Roman" w:eastAsia="Times New Roman" w:hAnsi="Times New Roman"/>
          <w:sz w:val="24"/>
          <w:szCs w:val="24"/>
        </w:rPr>
        <w:t xml:space="preserve">contrairement aux applications FinTech informelles évoquées au point 1.1.2, cette plateforme est conçue pour s'interfacer avec les infrastructures de la Rawbank et son service illicocash, dans une gouvernance certifiée ISO/IEC 27001 et conforme aux exigences de KYC numérique de la Banque Centrale du Congo.</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Évaluation éthique et protection de la vie privée : </w:t>
      </w:r>
      <w:r>
        <w:rPr>
          <w:rFonts w:ascii="Times New Roman" w:cs="Times New Roman" w:eastAsia="Times New Roman" w:hAnsi="Times New Roman"/>
          <w:sz w:val="24"/>
          <w:szCs w:val="24"/>
        </w:rPr>
        <w:t xml:space="preserve">la modélisation comportementale se limite strictement à des attributs pertinents et non intrusifs — flux Mobile Money consentis, dynamique d'épargne virtuelle, interactions fonctionnelles — excluant toute collecte intrusive de données personnelles du terminal [20, 36].</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Explicabilité et auditabilité intégrées par conception : </w:t>
      </w:r>
      <w:r>
        <w:rPr>
          <w:rFonts w:ascii="Times New Roman" w:cs="Times New Roman" w:eastAsia="Times New Roman" w:hAnsi="Times New Roman"/>
          <w:sz w:val="24"/>
          <w:szCs w:val="24"/>
        </w:rPr>
        <w:t xml:space="preserve">la plateforme combine nativement le classifieur prédictif (XGBoost) avec des moteurs explicables (SHAP et LIME), offrant aux analystes de risques et aux auditeurs un accès transparent aux vecteurs d'attribution du score [31, 24, 33].</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Garantie d'absence d'hallucinations décisionnelles : </w:t>
      </w:r>
      <w:r>
        <w:rPr>
          <w:rFonts w:ascii="Times New Roman" w:cs="Times New Roman" w:eastAsia="Times New Roman" w:hAnsi="Times New Roman"/>
          <w:sz w:val="24"/>
          <w:szCs w:val="24"/>
        </w:rPr>
        <w:t xml:space="preserve">la rédaction automatisée des mémos de crédit est confiée à une architecture RAG groundée sur la base de connaissances vectorielle de la Rawbank, assurant la traçabilité complète de l'information générée [10, 15, 8].</w:t>
      </w:r>
    </w:p>
    <w:p>
      <w:pPr>
        <w:pStyle w:val="Heading2"/>
        <w:spacing w:after="180" w:before="320"/>
      </w:pPr>
      <w:r>
        <w:rPr>
          <w:rFonts w:ascii="Times New Roman" w:cs="Times New Roman" w:eastAsia="Times New Roman" w:hAnsi="Times New Roman"/>
          <w:b/>
          <w:bCs/>
          <w:color w:val="1F3864"/>
          <w:sz w:val="28"/>
          <w:szCs w:val="28"/>
        </w:rPr>
        <w:t xml:space="preserve">1.2. Revue de la littérature théorique</w:t>
      </w:r>
    </w:p>
    <w:p>
      <w:pPr>
        <w:pStyle w:val="Heading3"/>
        <w:spacing w:after="150" w:before="260"/>
      </w:pPr>
      <w:r>
        <w:rPr>
          <w:rFonts w:ascii="Times New Roman" w:cs="Times New Roman" w:eastAsia="Times New Roman" w:hAnsi="Times New Roman"/>
          <w:b/>
          <w:bCs/>
          <w:i w:val="false"/>
          <w:iCs w:val="false"/>
          <w:sz w:val="26"/>
          <w:szCs w:val="26"/>
        </w:rPr>
        <w:t xml:space="preserve">1.2.1. Modélisation statistique du risque de crédit (régression logistique)</w:t>
      </w:r>
    </w:p>
    <w:p>
      <w:pPr>
        <w:spacing w:after="200" w:line="300"/>
        <w:jc w:val="both"/>
      </w:pPr>
      <w:r>
        <w:rPr>
          <w:rFonts w:ascii="Times New Roman" w:cs="Times New Roman" w:eastAsia="Times New Roman" w:hAnsi="Times New Roman"/>
          <w:sz w:val="24"/>
          <w:szCs w:val="24"/>
        </w:rPr>
        <w:t xml:space="preserve">La prédiction du risque d'impayé s'est historiquement appuyée sur des méthodes d'analyse discriminante linéaire et sur la régression logistique. Ce modèle estime la probabilité qu'un emprunteur appartienne à la classe de défaut (Y = 1) sachant un vecteur de caractéristiques financières X, les paramètres étant estimés par maximisation de la vraisemblance globale [30].</w:t>
      </w:r>
    </w:p>
    <w:p>
      <w:pPr>
        <w:spacing w:after="200" w:line="300"/>
        <w:jc w:val="both"/>
      </w:pPr>
      <w:r>
        <w:rPr>
          <w:rFonts w:ascii="Times New Roman" w:cs="Times New Roman" w:eastAsia="Times New Roman" w:hAnsi="Times New Roman"/>
          <w:sz w:val="24"/>
          <w:szCs w:val="24"/>
        </w:rPr>
        <w:t xml:space="preserve">Si la régression logistique offre une interprétabilité totale à travers l'évaluation des rapports de chances (odds ratios), elle s'avère incapable d'appréhender les relations non linéaires, les colinéarités complexes et les interactions cachées propres aux données alternatives non structurées, telles que les métadonnées de connexion ou l'irrégularité des transferts Mobile Money [30, 14]. Elle demeure néanmoins une référence méthodologique incontournable, notamment comme modèle de comparaison (baseline) pour évaluer le gain de performance apporté par des approches plus complexes, conformément à l'hypothèse H1 formulée au point 1.2.3.</w:t>
      </w:r>
    </w:p>
    <w:p>
      <w:pPr>
        <w:pStyle w:val="Heading3"/>
        <w:spacing w:after="150" w:before="260"/>
      </w:pPr>
      <w:r>
        <w:rPr>
          <w:rFonts w:ascii="Times New Roman" w:cs="Times New Roman" w:eastAsia="Times New Roman" w:hAnsi="Times New Roman"/>
          <w:b/>
          <w:bCs/>
          <w:i w:val="false"/>
          <w:iCs w:val="false"/>
          <w:sz w:val="26"/>
          <w:szCs w:val="26"/>
        </w:rPr>
        <w:t xml:space="preserve">1.2.2. Apprentissage automatique complexe appliqué au scoring (XGBoost)</w:t>
      </w:r>
    </w:p>
    <w:p>
      <w:pPr>
        <w:spacing w:after="200" w:line="300"/>
        <w:jc w:val="both"/>
      </w:pPr>
      <w:r>
        <w:rPr>
          <w:rFonts w:ascii="Times New Roman" w:cs="Times New Roman" w:eastAsia="Times New Roman" w:hAnsi="Times New Roman"/>
          <w:sz w:val="24"/>
          <w:szCs w:val="24"/>
        </w:rPr>
        <w:t xml:space="preserve">Pour surmonter les limites de la régression logistique, la recherche en science des données privilégie les algorithmes d'apprentissage supervisé basés sur des arbres de décision, notamment les méthodes de Gradient Boosting telles que XGBoost. L'algorithme applique un raffinement itératif en ajustant de nouveaux arbres de régression pour minimiser une fonction objectif régularisée, comportant un terme de perte et une pénalité de complexité contrôlant la profondeur et le nombre de feuilles de chaque arbre, ce qui limite le risque de surapprentissage [30, 13].</w:t>
      </w:r>
    </w:p>
    <w:p>
      <w:pPr>
        <w:spacing w:after="200" w:line="300"/>
        <w:jc w:val="both"/>
      </w:pPr>
      <w:r>
        <w:rPr>
          <w:rFonts w:ascii="Times New Roman" w:cs="Times New Roman" w:eastAsia="Times New Roman" w:hAnsi="Times New Roman"/>
          <w:sz w:val="24"/>
          <w:szCs w:val="24"/>
        </w:rPr>
        <w:t xml:space="preserve">Ces méthodes de tree boosting permettent de capturer des non-linéarités complexes sans transformation préalable des données et traitent nativement les valeurs manquantes, garantissant une précision prédictive — mesurée par le Brier Score et l'indice de Gini — généralement supérieure à celle de la régression logistique sur des données comportementales hétérogènes [38, 22, 30]. Le détail de la formulation mathématique et des hyperparamètres retenus pour ce travail est présenté au point 3.2.7.3 du chapitre 3.</w:t>
      </w:r>
    </w:p>
    <w:p>
      <w:pPr>
        <w:pStyle w:val="Heading3"/>
        <w:spacing w:after="150" w:before="260"/>
      </w:pPr>
      <w:r>
        <w:rPr>
          <w:rFonts w:ascii="Times New Roman" w:cs="Times New Roman" w:eastAsia="Times New Roman" w:hAnsi="Times New Roman"/>
          <w:b/>
          <w:bCs/>
          <w:i w:val="false"/>
          <w:iCs w:val="false"/>
          <w:sz w:val="26"/>
          <w:szCs w:val="26"/>
        </w:rPr>
        <w:t xml:space="preserve">1.2.3. Théorie de l'intelligence artificielle explicable (SHAP et LIME)</w:t>
      </w:r>
    </w:p>
    <w:p>
      <w:pPr>
        <w:spacing w:after="200" w:line="300"/>
        <w:jc w:val="both"/>
      </w:pPr>
      <w:r>
        <w:rPr>
          <w:rFonts w:ascii="Times New Roman" w:cs="Times New Roman" w:eastAsia="Times New Roman" w:hAnsi="Times New Roman"/>
          <w:sz w:val="24"/>
          <w:szCs w:val="24"/>
        </w:rPr>
        <w:t xml:space="preserve">L'adoption de classifieurs complexes de type « boîte noire » pour l'évaluation de solvabilité engendre une opacité décisionnelle difficilement conciliable avec les normes de transparence financière. La discipline de l'IA explicable (XAI) fournit des cadres mathématiques rigoureux pour auditer et décomposer ces prédictions [31, 9, 6].</w:t>
      </w:r>
    </w:p>
    <w:p>
      <w:pPr>
        <w:spacing w:after="200" w:line="300"/>
        <w:jc w:val="both"/>
      </w:pPr>
      <w:r>
        <w:rPr>
          <w:rFonts w:ascii="Times New Roman" w:cs="Times New Roman" w:eastAsia="Times New Roman" w:hAnsi="Times New Roman"/>
          <w:sz w:val="24"/>
          <w:szCs w:val="24"/>
        </w:rPr>
        <w:t xml:space="preserve">Le cadre SHAP, introduit par Lundberg et Lee, adapte la théorie des jeux coopératifs de Shapley pour attribuer de manière équitable la contribution de chaque caractéristique à la sortie du modèle, sous la forme d'une explication additive locale [24, 32, 33]. Les valeurs SHAP satisfont trois propriétés fondamentales : l'efficacité, la symétrie et la monotonie/cohérence, ce qui en fait une méthode mathématiquement robuste pour l'audit des décisions de crédit.</w:t>
      </w:r>
    </w:p>
    <w:p>
      <w:pPr>
        <w:spacing w:after="200" w:line="300"/>
        <w:jc w:val="both"/>
      </w:pPr>
      <w:r>
        <w:rPr>
          <w:rFonts w:ascii="Times New Roman" w:cs="Times New Roman" w:eastAsia="Times New Roman" w:hAnsi="Times New Roman"/>
          <w:sz w:val="24"/>
          <w:szCs w:val="24"/>
        </w:rPr>
        <w:t xml:space="preserve">La méthode LIME vise quant à elle à expliquer localement une prédiction individuelle en approximant fidèlement le comportement du classifieur complexe au voisinage de l'instance d'intérêt, à l'aide d'un modèle de substitution simple (régression ridge ou arbre de décision) entraîné sur des échantillons perturbés pondérés par une fonction de proximité [24]. La complémentarité entre SHAP et LIME permet d'obtenir à la fois une cartographie de l'importance globale des variables sur l'ensemble du portefeuille, et une explication locale individualisée et rapide de la décision, conformément à l'hypothèse H2 du point 0.3.</w:t>
      </w:r>
    </w:p>
    <w:p>
      <w:pPr>
        <w:pStyle w:val="Heading3"/>
        <w:spacing w:after="150" w:before="260"/>
      </w:pPr>
      <w:r>
        <w:rPr>
          <w:rFonts w:ascii="Times New Roman" w:cs="Times New Roman" w:eastAsia="Times New Roman" w:hAnsi="Times New Roman"/>
          <w:b/>
          <w:bCs/>
          <w:i w:val="false"/>
          <w:iCs w:val="false"/>
          <w:sz w:val="26"/>
          <w:szCs w:val="26"/>
        </w:rPr>
        <w:t xml:space="preserve">1.2.4. Cadre de l'IA générative et de l'architecture RAG</w:t>
      </w:r>
    </w:p>
    <w:p>
      <w:pPr>
        <w:spacing w:after="200" w:line="300"/>
        <w:jc w:val="both"/>
      </w:pPr>
      <w:r>
        <w:rPr>
          <w:rFonts w:ascii="Times New Roman" w:cs="Times New Roman" w:eastAsia="Times New Roman" w:hAnsi="Times New Roman"/>
          <w:sz w:val="24"/>
          <w:szCs w:val="24"/>
        </w:rPr>
        <w:t xml:space="preserve">L'intégration de l'IA générative dans les processus d'aide à la décision bancaire — notamment pour la rédaction automatisée de mémos de crédit — nécessite une exactitude absolue des faits énoncés. Les grands modèles de langage (LLM) fondés sur l'architecture Transformer sont entraînés sur des corpus statiques et souffrent intrinsèquement d'hallucinations sémantiques lorsqu'ils doivent raisonner sur des données financières spécifiques ou confidentielles [18, 23, 11].</w:t>
      </w:r>
    </w:p>
    <w:p>
      <w:pPr>
        <w:spacing w:after="200" w:line="300"/>
        <w:jc w:val="both"/>
      </w:pPr>
      <w:r>
        <w:rPr>
          <w:rFonts w:ascii="Times New Roman" w:cs="Times New Roman" w:eastAsia="Times New Roman" w:hAnsi="Times New Roman"/>
          <w:sz w:val="24"/>
          <w:szCs w:val="24"/>
        </w:rPr>
        <w:t xml:space="preserve">L'architecture de Génération Augmentée par Récupération (RAG) résout cette limitation en ancrant la génération du LLM sur un ensemble de documents de confiance récupérés dynamiquement, selon trois modules interconnectés : la vectorisation et l'indexation des documents de référence en blocs sémantiques (chunks), la récupération des K passages les plus pertinents par similarité de cosinus avec la requête, et la génération contrainte à partir de ce contexte factuel uniquement, ce qui élimine en grande partie le risque d'hallucination [10, 17, 39, 15]. Cette architecture constitue le socle théorique de l'hypothèse H3 formulée au point 0.3, et sa configuration technique détaillée est développée au point 3.2.7.6.</w:t>
      </w:r>
    </w:p>
    <w:p>
      <w:pPr>
        <w:pStyle w:val="Heading1"/>
        <w:pageBreakBefore/>
        <w:spacing w:after="240" w:before="400"/>
      </w:pPr>
      <w:r>
        <w:rPr>
          <w:rFonts w:ascii="Times New Roman" w:cs="Times New Roman" w:eastAsia="Times New Roman" w:hAnsi="Times New Roman"/>
          <w:b/>
          <w:bCs/>
          <w:color w:val="1F3864"/>
          <w:sz w:val="32"/>
          <w:szCs w:val="32"/>
        </w:rPr>
        <w:t xml:space="preserve">CHAPITRE 2 : ANALYSE DE L'EXISTANT ET CONCEPTION DE LA SOLUTION</w:t>
      </w:r>
    </w:p>
    <w:p>
      <w:pPr>
        <w:pStyle w:val="Heading2"/>
        <w:spacing w:after="180" w:before="320"/>
      </w:pPr>
      <w:r>
        <w:rPr>
          <w:rFonts w:ascii="Times New Roman" w:cs="Times New Roman" w:eastAsia="Times New Roman" w:hAnsi="Times New Roman"/>
          <w:b/>
          <w:bCs/>
          <w:color w:val="1F3864"/>
          <w:sz w:val="28"/>
          <w:szCs w:val="28"/>
        </w:rPr>
        <w:t xml:space="preserve">2.1. Introduction</w:t>
      </w:r>
    </w:p>
    <w:p>
      <w:pPr>
        <w:spacing w:after="200" w:line="300"/>
        <w:jc w:val="both"/>
      </w:pPr>
      <w:r>
        <w:rPr>
          <w:rFonts w:ascii="Times New Roman" w:cs="Times New Roman" w:eastAsia="Times New Roman" w:hAnsi="Times New Roman"/>
          <w:sz w:val="24"/>
          <w:szCs w:val="24"/>
        </w:rPr>
        <w:t xml:space="preserve">La conception d'un système d'information part rarement d'une page blanche : elle s'appuie sur ce qui existe déjà, ses forces et ses limites, avant de proposer une trajectoire d'amélioration. Conformément au point 3.1 du guide de rédaction des mémoires L2 FASI de l'UPC (volet Génie Logiciel), ce chapitre applique le Processus Unifié (UP), méthode itérative et incrémentale centrée sur les cas d'utilisation, organisée en quatre phases : Inception, Élaboration, Construction et Transition. Les deux premières phases sont développées ici ; Construction et Transition font l'objet du chapitre 3.</w:t>
      </w:r>
    </w:p>
    <w:p>
      <w:pPr>
        <w:spacing w:after="200" w:line="300"/>
        <w:jc w:val="both"/>
      </w:pPr>
      <w:r>
        <w:rPr>
          <w:rFonts w:ascii="Times New Roman" w:cs="Times New Roman" w:eastAsia="Times New Roman" w:hAnsi="Times New Roman"/>
          <w:sz w:val="24"/>
          <w:szCs w:val="24"/>
        </w:rPr>
        <w:t xml:space="preserve">Au niveau de la gestion de projet, ce travail avance par sprints Scrum de deux semaines (cf. point 0.4). Le présent chapitre documente la couche de modélisation UML produite au fil de ces sprints, organisée selon les phases du Processus Unifié plutôt que selon l'ordre chronologique des sprints.</w:t>
      </w:r>
    </w:p>
    <w:p>
      <w:pPr>
        <w:pStyle w:val="Heading2"/>
        <w:spacing w:after="180" w:before="320"/>
      </w:pPr>
      <w:r>
        <w:rPr>
          <w:rFonts w:ascii="Times New Roman" w:cs="Times New Roman" w:eastAsia="Times New Roman" w:hAnsi="Times New Roman"/>
          <w:b/>
          <w:bCs/>
          <w:color w:val="1F3864"/>
          <w:sz w:val="28"/>
          <w:szCs w:val="28"/>
        </w:rPr>
        <w:t xml:space="preserve">2.2. Méthodologie basée sur le Processus Unifié (UP)</w:t>
      </w:r>
    </w:p>
    <w:p>
      <w:pPr>
        <w:pStyle w:val="Heading3"/>
        <w:spacing w:after="150" w:before="260"/>
      </w:pPr>
      <w:r>
        <w:rPr>
          <w:rFonts w:ascii="Times New Roman" w:cs="Times New Roman" w:eastAsia="Times New Roman" w:hAnsi="Times New Roman"/>
          <w:b/>
          <w:bCs/>
          <w:i w:val="false"/>
          <w:iCs w:val="false"/>
          <w:sz w:val="26"/>
          <w:szCs w:val="26"/>
        </w:rPr>
        <w:t xml:space="preserve">2.2.1. Phase 1 : Inception</w:t>
      </w:r>
    </w:p>
    <w:p>
      <w:pPr>
        <w:spacing w:after="200" w:line="300"/>
        <w:jc w:val="both"/>
      </w:pPr>
      <w:r>
        <w:rPr>
          <w:rFonts w:ascii="Times New Roman" w:cs="Times New Roman" w:eastAsia="Times New Roman" w:hAnsi="Times New Roman"/>
          <w:sz w:val="24"/>
          <w:szCs w:val="24"/>
        </w:rPr>
        <w:t xml:space="preserve">Cette phase vise à comprendre le problème, définir la portée du système et évaluer la faisabilité du projet.</w:t>
      </w:r>
    </w:p>
    <w:p>
      <w:pPr>
        <w:pStyle w:val="Heading4"/>
        <w:spacing w:after="120" w:before="200"/>
      </w:pPr>
      <w:r>
        <w:rPr>
          <w:rFonts w:ascii="Times New Roman" w:cs="Times New Roman" w:eastAsia="Times New Roman" w:hAnsi="Times New Roman"/>
          <w:b/>
          <w:bCs/>
          <w:i/>
          <w:iCs/>
          <w:sz w:val="24"/>
          <w:szCs w:val="24"/>
        </w:rPr>
        <w:t xml:space="preserve">a) Contexte de l'étude</w:t>
      </w:r>
    </w:p>
    <w:p>
      <w:pPr>
        <w:spacing w:after="0" w:line="300"/>
        <w:jc w:val="both"/>
      </w:pPr>
      <w:r>
        <w:rPr>
          <w:rFonts w:ascii="Times New Roman" w:cs="Times New Roman" w:eastAsia="Times New Roman" w:hAnsi="Times New Roman"/>
          <w:b/>
          <w:bCs/>
          <w:sz w:val="24"/>
          <w:szCs w:val="24"/>
        </w:rPr>
        <w:t xml:space="preserve">Présentation du cadre de recherche.</w:t>
      </w:r>
    </w:p>
    <w:p>
      <w:pPr>
        <w:spacing w:after="200" w:line="300"/>
        <w:jc w:val="both"/>
      </w:pPr>
      <w:r>
        <w:rPr>
          <w:rFonts w:ascii="Times New Roman" w:cs="Times New Roman" w:eastAsia="Times New Roman" w:hAnsi="Times New Roman"/>
          <w:sz w:val="24"/>
          <w:szCs w:val="24"/>
        </w:rPr>
        <w:t xml:space="preserve">La Rawbank est la première banque de la République Démocratique du Congo par le total de bilan, avec 6,8 milliards de dollars d'actifs et un produit net bancaire de 681,8 millions de dollars à la fin de l'exercice 2025. En mars 2026, elle a mobilisé 265 millions de dollars de financement structuré par la Société Financière Internationale (SFI/IFC) [19], quelques mois après avoir réalisé la première émission obligataire internationale (eurobond) d'une entreprise congolaise [29]. Cette trajectoire de croissance s'accompagne d'un mandat plus large : faire descendre le crédit vers des segments que la banque classique atteint mal, notamment les micro et petites entreprises et les ménages du secteur informel.</w:t>
      </w:r>
    </w:p>
    <w:p>
      <w:pPr>
        <w:spacing w:after="200" w:line="300"/>
        <w:jc w:val="both"/>
      </w:pPr>
      <w:r>
        <w:rPr>
          <w:rFonts w:ascii="Times New Roman" w:cs="Times New Roman" w:eastAsia="Times New Roman" w:hAnsi="Times New Roman"/>
          <w:sz w:val="24"/>
          <w:szCs w:val="24"/>
        </w:rPr>
        <w:t xml:space="preserve">C'est dans ce cadre qu'intervient illicocash, le service de banque numérique et de Mobile Money de la Rawbank, qui constitue le terrain d'application de ce travail.</w:t>
      </w:r>
    </w:p>
    <w:p>
      <w:pPr>
        <w:spacing w:after="0" w:line="300"/>
        <w:jc w:val="both"/>
      </w:pPr>
      <w:r>
        <w:rPr>
          <w:rFonts w:ascii="Times New Roman" w:cs="Times New Roman" w:eastAsia="Times New Roman" w:hAnsi="Times New Roman"/>
          <w:b/>
          <w:bCs/>
          <w:sz w:val="24"/>
          <w:szCs w:val="24"/>
        </w:rPr>
        <w:t xml:space="preserve">Présentation du système informatique existant.</w:t>
      </w:r>
    </w:p>
    <w:p>
      <w:pPr>
        <w:spacing w:after="200" w:line="300"/>
        <w:jc w:val="both"/>
      </w:pPr>
      <w:r>
        <w:rPr>
          <w:rFonts w:ascii="Times New Roman" w:cs="Times New Roman" w:eastAsia="Times New Roman" w:hAnsi="Times New Roman"/>
          <w:sz w:val="24"/>
          <w:szCs w:val="24"/>
        </w:rPr>
        <w:t xml:space="preserve">illicocash est accessible par un code USSD et par une application mobile disponible sur les principales plateformes [4, 16, 26], deux canaux qui touchent aussi bien les téléphones basiques que les smartphones. Le service couvre aujourd'hui l'ouverture de compte avec vérification d'identité, le dépôt et le retrait, le transfert d'argent, le paiement marchand et le paiement de factures. Deux produits de crédit y sont déjà proposés : Crédit Express, positionné comme une avance rapide, et Crédit Chez Moi, un crédit à la consommation d'un montant plus élevé [28, 27].</w:t>
      </w:r>
    </w:p>
    <w:p>
      <w:pPr>
        <w:spacing w:after="200" w:line="300"/>
        <w:jc w:val="both"/>
      </w:pPr>
      <w:r>
        <w:rPr>
          <w:rFonts w:ascii="Times New Roman" w:cs="Times New Roman" w:eastAsia="Times New Roman" w:hAnsi="Times New Roman"/>
          <w:sz w:val="24"/>
          <w:szCs w:val="24"/>
        </w:rPr>
        <w:t xml:space="preserve">Ces deux produits confirment que la demande de crédit numérique existe déjà chez les utilisateurs d'illicocash. Les modalités précises d'octroi (critères d'éligibilité internes, délai de traitement, part d'instruction manuelle) relèvent de la politique interne de la banque et ne sont pas publiées ; ce travail ne prétend donc pas s'y substituer terme à terme, mais s'appuie sur ce qui est observable de l'extérieur : l'existence de produits de crédit mobile, l'infrastructure USSD déjà déployée, et l'écart, documenté au tableau 1, entre les garanties généralement exigées par le crédit bancaire classique et les besoins réels d'une clientèle non bancarisée.</w:t>
      </w:r>
    </w:p>
    <w:p>
      <w:pPr>
        <w:spacing w:after="0" w:line="300"/>
        <w:jc w:val="both"/>
      </w:pPr>
      <w:r>
        <w:rPr>
          <w:rFonts w:ascii="Times New Roman" w:cs="Times New Roman" w:eastAsia="Times New Roman" w:hAnsi="Times New Roman"/>
          <w:b/>
          <w:bCs/>
          <w:sz w:val="24"/>
          <w:szCs w:val="24"/>
        </w:rPr>
        <w:t xml:space="preserve">Critique de l'existant.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Aspects positifs : </w:t>
      </w:r>
      <w:r>
        <w:rPr>
          <w:rFonts w:ascii="Times New Roman" w:cs="Times New Roman" w:eastAsia="Times New Roman" w:hAnsi="Times New Roman"/>
          <w:sz w:val="24"/>
          <w:szCs w:val="24"/>
        </w:rPr>
        <w:t xml:space="preserve">une base d'utilisateurs déjà enregistrée et vérifiée (KYC illicocash), une infrastructure USSD qui fonctionne sans connexion data et atteint donc une population plus large que les applications bancaires classiques, et une offre de crédit mobile déjà existante qui a établi une habitude d'usage chez une partie de la clientèle.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Aspects négatifs : </w:t>
      </w:r>
      <w:r>
        <w:rPr>
          <w:rFonts w:ascii="Times New Roman" w:cs="Times New Roman" w:eastAsia="Times New Roman" w:hAnsi="Times New Roman"/>
          <w:sz w:val="24"/>
          <w:szCs w:val="24"/>
        </w:rPr>
        <w:t xml:space="preserve">à en juger par la communication publique de la banque, aucun de ces produits ne semble intégrer un scoring comportemental automatisé fondé sur les flux Mobile Money, ni fournir d'explication du refus au client, ce qui laisse la décision de crédit encore proche du modèle classique — garanties, historique bancaire formel — pour une population qui, précisément, n'en dispose pas.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Proposition de solution : </w:t>
      </w:r>
      <w:r>
        <w:rPr>
          <w:rFonts w:ascii="Times New Roman" w:cs="Times New Roman" w:eastAsia="Times New Roman" w:hAnsi="Times New Roman"/>
          <w:sz w:val="24"/>
          <w:szCs w:val="24"/>
        </w:rPr>
        <w:t xml:space="preserve">brancher, en amont des produits de crédit existants, un moteur de scoring qui exploite les données comportementales déjà présentes dans illicocash (fréquence des transactions, régularité de l'épargne, historique de remboursement), complété par une couche d'explicabilité et un pipeline de génération de mémos, sans dupliquer l'infrastructure de paiement déjà en place.</w:t>
      </w:r>
    </w:p>
    <w:p>
      <w:pPr>
        <w:pStyle w:val="Heading4"/>
        <w:spacing w:after="120" w:before="200"/>
      </w:pPr>
      <w:r>
        <w:rPr>
          <w:rFonts w:ascii="Times New Roman" w:cs="Times New Roman" w:eastAsia="Times New Roman" w:hAnsi="Times New Roman"/>
          <w:b/>
          <w:bCs/>
          <w:i/>
          <w:iCs/>
          <w:sz w:val="24"/>
          <w:szCs w:val="24"/>
        </w:rPr>
        <w:t xml:space="preserve">b) Étude de faisabilité</w:t>
      </w:r>
    </w:p>
    <w:p>
      <w:pPr>
        <w:spacing w:after="200" w:line="300"/>
        <w:jc w:val="both"/>
      </w:pPr>
      <w:r>
        <w:rPr>
          <w:rFonts w:ascii="Times New Roman" w:cs="Times New Roman" w:eastAsia="Times New Roman" w:hAnsi="Times New Roman"/>
          <w:b/>
          <w:bCs/>
          <w:sz w:val="24"/>
          <w:szCs w:val="24"/>
        </w:rPr>
        <w:t xml:space="preserve">Faisabilité opérationnelle — </w:t>
      </w:r>
      <w:r>
        <w:rPr>
          <w:rFonts w:ascii="Times New Roman" w:cs="Times New Roman" w:eastAsia="Times New Roman" w:hAnsi="Times New Roman"/>
          <w:sz w:val="24"/>
          <w:szCs w:val="24"/>
        </w:rPr>
        <w:t xml:space="preserve">la planification prévisionnelle du projet est organisée sur une durée de deux mois (huit semaines), structurée selon les quatre phases du Processus Unifié et jalonnée de quatre livrables intermédiaires. Le diagramme de Gantt ci-dessous (figure 1) détaille l'ordonnancement des tâches, leurs dépendances, le chemin critique et les jalons de fin de phase.</w:t>
      </w:r>
    </w:p>
    <w:p>
      <w:pPr>
        <w:spacing w:after="80" w:before="200"/>
        <w:jc w:val="center"/>
      </w:pPr>
      <w:r>
        <w:drawing>
          <wp:inline distT="0" distB="0" distL="0" distR="0">
            <wp:extent cx="57626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1910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 — Diagramme de Gantt — planification prévisionnelle du projet (2 mois)</w:t>
      </w:r>
    </w:p>
    <w:p>
      <w:pPr>
        <w:spacing w:after="200" w:line="300"/>
        <w:jc w:val="both"/>
      </w:pPr>
      <w:r>
        <w:rPr>
          <w:rFonts w:ascii="Times New Roman" w:cs="Times New Roman" w:eastAsia="Times New Roman" w:hAnsi="Times New Roman"/>
          <w:sz w:val="24"/>
          <w:szCs w:val="24"/>
        </w:rPr>
        <w:t xml:space="preserve">Le chemin critique, mis en évidence sur le diagramme, couvre le cadrage initial, la spécification des exigences, la modélisation UML des scénarios d'authentification et de scoring, le développement du backend et du pipeline RAG, le déploiement conteneurisé, puis les tests et la livraison. Les tâches situées hors de ce chemin — diagrammes de collaboration, conception du modèle de données, pipeline IA, documentation des composants — disposent d'une marge suffisante pour absorber un retard limité sans repousser la date de livraison finale, fixée au jour 46.</w:t>
      </w:r>
    </w:p>
    <w:p>
      <w:pPr>
        <w:spacing w:after="200" w:line="300"/>
        <w:jc w:val="both"/>
      </w:pPr>
      <w:r>
        <w:rPr>
          <w:rFonts w:ascii="Times New Roman" w:cs="Times New Roman" w:eastAsia="Times New Roman" w:hAnsi="Times New Roman"/>
          <w:b/>
          <w:bCs/>
          <w:sz w:val="24"/>
          <w:szCs w:val="24"/>
        </w:rPr>
        <w:t xml:space="preserve">Faisabilité technique — </w:t>
      </w:r>
      <w:r>
        <w:rPr>
          <w:rFonts w:ascii="Times New Roman" w:cs="Times New Roman" w:eastAsia="Times New Roman" w:hAnsi="Times New Roman"/>
          <w:sz w:val="24"/>
          <w:szCs w:val="24"/>
        </w:rPr>
        <w:t xml:space="preserve">l'infrastructure requise repose sur des composants déjà éprouvés en développement : un moteur relationnel MySQL, un cache Redis pour la persistance des sessions USSD, une base vectorielle pgvector pour le pipeline RAG, et les bibliothèques Python de référence pour l'apprentissage automatique et l'explicabilité (scikit-learn, XGBoost, SHAP, LIME). Conformément à la délimitation technique retenue (point 0.7), aucune intégration aux serveurs de production de la Rawbank n'est requise à ce stade : le prototype fonctionne en environnement conteneurisé isolé.</w:t>
      </w:r>
    </w:p>
    <w:p>
      <w:pPr>
        <w:pStyle w:val="Heading4"/>
        <w:spacing w:after="120" w:before="200"/>
      </w:pPr>
      <w:r>
        <w:rPr>
          <w:rFonts w:ascii="Times New Roman" w:cs="Times New Roman" w:eastAsia="Times New Roman" w:hAnsi="Times New Roman"/>
          <w:b/>
          <w:bCs/>
          <w:i/>
          <w:iCs/>
          <w:sz w:val="24"/>
          <w:szCs w:val="24"/>
        </w:rPr>
        <w:t xml:space="preserve">c) Diagramme de contexte</w:t>
      </w:r>
    </w:p>
    <w:p>
      <w:pPr>
        <w:spacing w:after="200" w:line="300"/>
        <w:jc w:val="both"/>
      </w:pPr>
      <w:r>
        <w:rPr>
          <w:rFonts w:ascii="Times New Roman" w:cs="Times New Roman" w:eastAsia="Times New Roman" w:hAnsi="Times New Roman"/>
          <w:sz w:val="24"/>
          <w:szCs w:val="24"/>
        </w:rPr>
        <w:t xml:space="preserve">Le diagramme de contexte (figure 2) situe la plateforme par rapport à son environnement : les quatre catégories d'acteurs humains (Client, Agent de crédit, Administrateur, Auditeur), le système illicocash décrit ci-dessus, dont sont extraits les flux Mobile Money, et la Banque Centrale du Congo, à laquelle des rapports de conformité peuvent être transmis sur demande.</w:t>
      </w:r>
    </w:p>
    <w:p>
      <w:pPr>
        <w:spacing w:after="80" w:before="200"/>
        <w:jc w:val="center"/>
      </w:pPr>
      <w:r>
        <w:drawing>
          <wp:inline distT="0" distB="0" distL="0" distR="0">
            <wp:extent cx="5762625"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14337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2 — Diagramme de contexte de la plateforme</w:t>
      </w:r>
    </w:p>
    <w:p>
      <w:pPr>
        <w:pStyle w:val="Heading4"/>
        <w:spacing w:after="120" w:before="200"/>
      </w:pPr>
      <w:r>
        <w:rPr>
          <w:rFonts w:ascii="Times New Roman" w:cs="Times New Roman" w:eastAsia="Times New Roman" w:hAnsi="Times New Roman"/>
          <w:b/>
          <w:bCs/>
          <w:i/>
          <w:iCs/>
          <w:sz w:val="24"/>
          <w:szCs w:val="24"/>
        </w:rPr>
        <w:t xml:space="preserve">d) Diagramme des cas d'utilisation (vue globale)</w:t>
      </w:r>
    </w:p>
    <w:p>
      <w:pPr>
        <w:spacing w:after="200" w:line="300"/>
        <w:jc w:val="both"/>
      </w:pPr>
      <w:r>
        <w:rPr>
          <w:rFonts w:ascii="Times New Roman" w:cs="Times New Roman" w:eastAsia="Times New Roman" w:hAnsi="Times New Roman"/>
          <w:sz w:val="24"/>
          <w:szCs w:val="24"/>
        </w:rPr>
        <w:t xml:space="preserve">La figure 3 reprend les fonctionnalités accessibles à chaque acteur : inscription et KYC, constitution d'épargne, soumission de demande de crédit et consultation des explications côté Client ; traitement des dossiers et validation des décisions côté Agent de crédit ; gestion des comptes et des rôles côté Administrateur ; consultation du journal d'audit et génération de rapports réglementaires côté Auditeur. Les relations «include» formalisent le passage obligé par l'authentification PIN + OTP et par le journal d'audit ; les acteurs retenus correspondent à la matrice d'habilitation présentée au point 2.4.</w:t>
      </w:r>
    </w:p>
    <w:p>
      <w:pPr>
        <w:spacing w:after="80" w:before="200"/>
        <w:jc w:val="center"/>
      </w:pPr>
      <w:r>
        <w:drawing>
          <wp:inline distT="0" distB="0" distL="0" distR="0">
            <wp:extent cx="5762625"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25767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3 — Diagramme de cas d'utilisation (vue globale)</w:t>
      </w:r>
    </w:p>
    <w:p>
      <w:pPr>
        <w:pStyle w:val="Heading3"/>
        <w:spacing w:after="150" w:before="260"/>
      </w:pPr>
      <w:r>
        <w:rPr>
          <w:rFonts w:ascii="Times New Roman" w:cs="Times New Roman" w:eastAsia="Times New Roman" w:hAnsi="Times New Roman"/>
          <w:b/>
          <w:bCs/>
          <w:i w:val="false"/>
          <w:iCs w:val="false"/>
          <w:sz w:val="26"/>
          <w:szCs w:val="26"/>
        </w:rPr>
        <w:t xml:space="preserve">2.2.2. Phase 2 : Élaboration</w:t>
      </w:r>
    </w:p>
    <w:p>
      <w:pPr>
        <w:spacing w:after="200" w:line="300"/>
        <w:jc w:val="both"/>
      </w:pPr>
      <w:r>
        <w:rPr>
          <w:rFonts w:ascii="Times New Roman" w:cs="Times New Roman" w:eastAsia="Times New Roman" w:hAnsi="Times New Roman"/>
          <w:sz w:val="24"/>
          <w:szCs w:val="24"/>
        </w:rPr>
        <w:t xml:space="preserve">Cette phase détaille les exigences et pose l'architecture logicielle du système, à travers la spécification fine des cas d'utilisation et la modélisation dynamique des scénarios critiques.</w:t>
      </w:r>
    </w:p>
    <w:p>
      <w:pPr>
        <w:pStyle w:val="Heading4"/>
        <w:spacing w:after="120" w:before="200"/>
      </w:pPr>
      <w:r>
        <w:rPr>
          <w:rFonts w:ascii="Times New Roman" w:cs="Times New Roman" w:eastAsia="Times New Roman" w:hAnsi="Times New Roman"/>
          <w:b/>
          <w:bCs/>
          <w:i/>
          <w:iCs/>
          <w:sz w:val="24"/>
          <w:szCs w:val="24"/>
        </w:rPr>
        <w:t xml:space="preserve">a) Diagramme de cas d'utilisation détaillé</w:t>
      </w:r>
    </w:p>
    <w:p>
      <w:pPr>
        <w:spacing w:after="200" w:line="300"/>
        <w:jc w:val="both"/>
      </w:pPr>
      <w:r>
        <w:rPr>
          <w:rFonts w:ascii="Times New Roman" w:cs="Times New Roman" w:eastAsia="Times New Roman" w:hAnsi="Times New Roman"/>
          <w:sz w:val="24"/>
          <w:szCs w:val="24"/>
        </w:rPr>
        <w:t xml:space="preserve">Chaque cas d'utilisation critique est spécifié sous forme de fiche : acteurs, préconditions, scénario nominal, scénarios alternatifs et conditions de réussite, conformément au point 3.1.2.2 du guide de rédaction. Les deux cas les plus critiques du point de vue métier sont détaillés ci-dessous.</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2600"/>
        <w:gridCol w:w="6600"/>
      </w:tblGrid>
      <w:tr>
        <w:trPr>
          <w:tblHeader/>
        </w:trPr>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Champ</w:t>
            </w:r>
          </w:p>
        </w:tc>
        <w:tc>
          <w:tcPr>
            <w:tcW w:type="dxa" w:w="6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Description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Nom</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Soumettre une demande de micro-crédit</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Acteur principal</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Client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Acteurs secondaires</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Système illicocash (fournisseur du flux Mobile Money)</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Préconditions</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 client est authentifié (PIN + OTP) et son KYC est validé.</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Scénario nominal</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1. Le client sélectionne « Demander un crédit ». 2. Le système affiche le montant maximal éligible sur la base du profil. 3. Le client saisit le montant souhaité et la durée. 4. Le système déclenche l'évaluation d'éligibilité préalable puis le calcul du score. 5. Le système notifie le client du statut de sa demande (en cours d'analyse).</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Scénarios alternatifs</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A1 : montant demandé supérieur au plafond éligible → le système propose le plafond maximal. A2 : session USSD interrompue → reprise de session via le cache Redis (cf. point 3.2.7.5).</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Postconditions / réussite</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Une entité DemandeCredit est créée avec le statut « Soumise », déclenchant le pipeline de scoring (figure 5).</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2 — Fiche de cas d'utilisation détaillée — « Soumettre une demande de micro-crédit »</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2600"/>
        <w:gridCol w:w="6600"/>
      </w:tblGrid>
      <w:tr>
        <w:trPr>
          <w:tblHeader/>
        </w:trPr>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Champ</w:t>
            </w:r>
          </w:p>
        </w:tc>
        <w:tc>
          <w:tcPr>
            <w:tcW w:type="dxa" w:w="6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Description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Nom</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Traiter un dossier de crédit</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Acteur principal</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Agent de crédit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Acteurs secondaires</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Service d'explicabilité (SHAP / LIME), Pipeline RAG</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Préconditions</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 score de crédit et le mémo généré par IA sont disponibles pour le dossier assigné.</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Scénario nominal</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1. L'agent consulte la liste des dossiers assignés à son portefeuille. 2. L'agent ouvre un dossier et consulte le score, les explications SHAP/LIME et le mémo généré par le pipeline RAG. 3. L'agent formule un avis (pré-validation ou rejet motivé). 4. Le système enregistre la décision et déclenche, le cas échéant, le décaissement automatique (figure 6).</w:t>
            </w:r>
          </w:p>
        </w:tc>
      </w:tr>
      <w:tr>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Scénarios alternatifs</w:t>
            </w:r>
          </w:p>
        </w:tc>
        <w:tc>
          <w:tcPr>
            <w:tcW w:type="dxa" w:w="6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A1 : score en zone d'incertitude → l'agent peut demander un complément d'information au client. A2 : rejet préalable par le moteur de règles → le dossier n'apparaît pas dans la liste de traitement de l'agent.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Postconditions / réussite</w:t>
            </w:r>
          </w:p>
        </w:tc>
        <w:tc>
          <w:tcPr>
            <w:tcW w:type="dxa" w:w="6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L'entité DecisionCredit est renseignée (Approuvée ou Rejetée) et le client est notifié.</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3 — Fiche de cas d'utilisation détaillée — « Traiter un dossier de crédit »</w:t>
      </w:r>
    </w:p>
    <w:p>
      <w:pPr>
        <w:pStyle w:val="Heading4"/>
        <w:spacing w:after="120" w:before="200"/>
      </w:pPr>
      <w:r>
        <w:rPr>
          <w:rFonts w:ascii="Times New Roman" w:cs="Times New Roman" w:eastAsia="Times New Roman" w:hAnsi="Times New Roman"/>
          <w:b/>
          <w:bCs/>
          <w:i/>
          <w:iCs/>
          <w:sz w:val="24"/>
          <w:szCs w:val="24"/>
        </w:rPr>
        <w:t xml:space="preserve">b) Diagrammes de séquence</w:t>
      </w:r>
    </w:p>
    <w:p>
      <w:pPr>
        <w:spacing w:after="200" w:line="300"/>
        <w:jc w:val="both"/>
      </w:pPr>
      <w:r>
        <w:rPr>
          <w:rFonts w:ascii="Times New Roman" w:cs="Times New Roman" w:eastAsia="Times New Roman" w:hAnsi="Times New Roman"/>
          <w:sz w:val="24"/>
          <w:szCs w:val="24"/>
        </w:rPr>
        <w:t xml:space="preserve">Trois scénarios critiques sont modélisés : l'authentification renforcée par code à usage unique (figure 4), le calcul du score de crédit à travers les différents moteurs (figure 5), et le décaissement automatique consécutif à une décision d'approbation (figure 6). Chaque diagramme fait apparaître les fragments combinés « alt » correspondant aux scénarios alternatifs des fiches ci-dessus.</w:t>
      </w:r>
    </w:p>
    <w:p>
      <w:pPr>
        <w:spacing w:after="80" w:before="200"/>
        <w:jc w:val="center"/>
      </w:pPr>
      <w:r>
        <w:drawing>
          <wp:inline distT="0" distB="0" distL="0" distR="0">
            <wp:extent cx="512445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497205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4 — Diagramme de séquence — Authentification (PIN + OTP)</w:t>
      </w:r>
    </w:p>
    <w:p>
      <w:pPr>
        <w:spacing w:after="80" w:before="200"/>
        <w:jc w:val="center"/>
      </w:pPr>
      <w:r>
        <w:drawing>
          <wp:inline distT="0" distB="0" distL="0" distR="0">
            <wp:extent cx="5762625"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0673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5 — Diagramme de séquence — Calcul du score de crédit</w:t>
      </w:r>
    </w:p>
    <w:p>
      <w:pPr>
        <w:spacing w:after="80" w:before="200"/>
        <w:jc w:val="center"/>
      </w:pPr>
      <w:r>
        <w:drawing>
          <wp:inline distT="0" distB="0" distL="0" distR="0">
            <wp:extent cx="5762625"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81965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6 — Diagramme de séquence — Décaissement automatique</w:t>
      </w:r>
    </w:p>
    <w:p>
      <w:pPr>
        <w:pStyle w:val="Heading4"/>
        <w:spacing w:after="120" w:before="200"/>
      </w:pPr>
      <w:r>
        <w:rPr>
          <w:rFonts w:ascii="Times New Roman" w:cs="Times New Roman" w:eastAsia="Times New Roman" w:hAnsi="Times New Roman"/>
          <w:b/>
          <w:bCs/>
          <w:i/>
          <w:iCs/>
          <w:sz w:val="24"/>
          <w:szCs w:val="24"/>
        </w:rPr>
        <w:t xml:space="preserve">c) Diagrammes de collaboration</w:t>
      </w:r>
    </w:p>
    <w:p>
      <w:pPr>
        <w:spacing w:after="200" w:line="300"/>
        <w:jc w:val="both"/>
      </w:pPr>
      <w:r>
        <w:rPr>
          <w:rFonts w:ascii="Times New Roman" w:cs="Times New Roman" w:eastAsia="Times New Roman" w:hAnsi="Times New Roman"/>
          <w:sz w:val="24"/>
          <w:szCs w:val="24"/>
        </w:rPr>
        <w:t xml:space="preserve">Les diagrammes de collaboration complètent les diagrammes de séquence : ils mettent l'accent sur l'organisation structurelle des objets plutôt que sur la chronologie stricte des échanges. La numérotation hiérarchique des messages (1, 1.1, 1.1.1, 2, 2.1…) restitue l'ordre d'exécution et l'imbrication des appels du scénario nominal.</w:t>
      </w:r>
    </w:p>
    <w:p>
      <w:pPr>
        <w:spacing w:after="80" w:before="200"/>
        <w:jc w:val="center"/>
      </w:pPr>
      <w:r>
        <w:drawing>
          <wp:inline distT="0" distB="0" distL="0" distR="0">
            <wp:extent cx="5762625"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439102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7 — Diagramme de collaboration — Authentification (PIN + OTP)</w:t>
      </w:r>
    </w:p>
    <w:p>
      <w:pPr>
        <w:spacing w:after="80" w:before="200"/>
        <w:jc w:val="center"/>
      </w:pPr>
      <w:r>
        <w:drawing>
          <wp:inline distT="0" distB="0" distL="0" distR="0">
            <wp:extent cx="5762625"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44196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8 — Diagramme de collaboration — Calcul du score de crédit</w:t>
      </w:r>
    </w:p>
    <w:p>
      <w:pPr>
        <w:pStyle w:val="Heading2"/>
        <w:spacing w:after="180" w:before="320"/>
      </w:pPr>
      <w:r>
        <w:rPr>
          <w:rFonts w:ascii="Times New Roman" w:cs="Times New Roman" w:eastAsia="Times New Roman" w:hAnsi="Times New Roman"/>
          <w:b/>
          <w:bCs/>
          <w:color w:val="1F3864"/>
          <w:sz w:val="28"/>
          <w:szCs w:val="28"/>
        </w:rPr>
        <w:t xml:space="preserve">2.3. Exigences fonctionnelles et non fonctionnelles</w:t>
      </w:r>
    </w:p>
    <w:p>
      <w:pPr>
        <w:spacing w:after="200" w:line="300"/>
        <w:jc w:val="both"/>
      </w:pPr>
      <w:r>
        <w:rPr>
          <w:rFonts w:ascii="Times New Roman" w:cs="Times New Roman" w:eastAsia="Times New Roman" w:hAnsi="Times New Roman"/>
          <w:sz w:val="24"/>
          <w:szCs w:val="24"/>
        </w:rPr>
        <w:t xml:space="preserve">Le tableau ci-dessous synthétise les principaux objectifs fonctionnels de la plateforme et leur traduction technique.</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2800"/>
        <w:gridCol w:w="3200"/>
        <w:gridCol w:w="3200"/>
      </w:tblGrid>
      <w:tr>
        <w:trPr>
          <w:tblHeader/>
        </w:trPr>
        <w:tc>
          <w:tcPr>
            <w:tcW w:type="dxa" w:w="28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Objectif fonctionnel</w:t>
            </w:r>
          </w:p>
        </w:tc>
        <w:tc>
          <w:tcPr>
            <w:tcW w:type="dxa" w:w="3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Mécanisme d'implémentation</w:t>
            </w:r>
          </w:p>
        </w:tc>
        <w:tc>
          <w:tcPr>
            <w:tcW w:type="dxa" w:w="3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Impact métier</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Enregistrement des utilisateurs non bancarisés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Module d'onboarding dématérialisé via l'API client illicocash</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Élargissement de la base de clients potentiels</w:t>
            </w:r>
          </w:p>
        </w:tc>
      </w:tr>
      <w:tr>
        <w:tc>
          <w:tcPr>
            <w:tcW w:type="dxa" w:w="2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Vérification de l'identité numérique (KYC)</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Extraction d'attributs de pièces d'identité et validation du statut</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Prévention de la fraude, conformité AML/CFT</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Construction d'un profil financier numérique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Consolidation des variables d'activité, de solde et de flux</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Traduction des données informelles en indicateurs financiers</w:t>
            </w:r>
          </w:p>
        </w:tc>
      </w:tr>
      <w:tr>
        <w:tc>
          <w:tcPr>
            <w:tcW w:type="dxa" w:w="2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Évaluation du risque de crédit</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Calcul de la probabilité de défaut par un classifieur entraîné</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Tarification du risque au plus juste</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Décision automatique d'octroi / refus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Moteur de règles décisionnel orchestrant l'acceptation ou le rejet</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Réduction des délais de traitement opérationnel</w:t>
            </w:r>
          </w:p>
        </w:tc>
      </w:tr>
      <w:tr>
        <w:tc>
          <w:tcPr>
            <w:tcW w:type="dxa" w:w="2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Explication transparente des décisions</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Traduction sémantique des attributions SHAP/LIME via RAG</w:t>
            </w:r>
          </w:p>
        </w:tc>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Auditabilité complète, éducation financière du client</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4 — Objectifs fonctionnels et impact métier de la plateforme</w:t>
      </w:r>
    </w:p>
    <w:p>
      <w:pPr>
        <w:pStyle w:val="Heading4"/>
        <w:spacing w:after="120" w:before="200"/>
      </w:pPr>
      <w:r>
        <w:rPr>
          <w:rFonts w:ascii="Times New Roman" w:cs="Times New Roman" w:eastAsia="Times New Roman" w:hAnsi="Times New Roman"/>
          <w:b/>
          <w:bCs/>
          <w:i/>
          <w:iCs/>
          <w:sz w:val="24"/>
          <w:szCs w:val="24"/>
        </w:rPr>
        <w:t xml:space="preserve">Exigences non fonctionnelles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Sécurité : </w:t>
      </w:r>
      <w:r>
        <w:rPr>
          <w:rFonts w:ascii="Times New Roman" w:cs="Times New Roman" w:eastAsia="Times New Roman" w:hAnsi="Times New Roman"/>
          <w:sz w:val="24"/>
          <w:szCs w:val="24"/>
        </w:rPr>
        <w:t xml:space="preserve">authentification multi-facteurs, autorisation par rôles (RBAC), journalisation systématique des actions sensibles et protection des données personnelles.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Performance : </w:t>
      </w:r>
      <w:r>
        <w:rPr>
          <w:rFonts w:ascii="Times New Roman" w:cs="Times New Roman" w:eastAsia="Times New Roman" w:hAnsi="Times New Roman"/>
          <w:sz w:val="24"/>
          <w:szCs w:val="24"/>
        </w:rPr>
        <w:t xml:space="preserve">faible latence des échanges USSD, temps de scoring maîtrisé (cible inférieure à 3 secondes pour la décision de base), génération de rapport en temps acceptable.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Disponibilité : </w:t>
      </w:r>
      <w:r>
        <w:rPr>
          <w:rFonts w:ascii="Times New Roman" w:cs="Times New Roman" w:eastAsia="Times New Roman" w:hAnsi="Times New Roman"/>
          <w:sz w:val="24"/>
          <w:szCs w:val="24"/>
        </w:rPr>
        <w:t xml:space="preserve">tolérance aux interruptions de connectivité, reprise de session, mécanismes de nouvelle tentative (retry).</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Scalabilité : </w:t>
      </w:r>
      <w:r>
        <w:rPr>
          <w:rFonts w:ascii="Times New Roman" w:cs="Times New Roman" w:eastAsia="Times New Roman" w:hAnsi="Times New Roman"/>
          <w:sz w:val="24"/>
          <w:szCs w:val="24"/>
        </w:rPr>
        <w:t xml:space="preserve">capacité de montée en charge en nombre de clients, de transactions et d'agents.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Traçabilité : </w:t>
      </w:r>
      <w:r>
        <w:rPr>
          <w:rFonts w:ascii="Times New Roman" w:cs="Times New Roman" w:eastAsia="Times New Roman" w:hAnsi="Times New Roman"/>
          <w:sz w:val="24"/>
          <w:szCs w:val="24"/>
        </w:rPr>
        <w:t xml:space="preserve">versionnement du modèle, audit systématique des décisions et historisation des scores.</w:t>
      </w:r>
    </w:p>
    <w:p>
      <w:pPr>
        <w:pStyle w:val="Heading2"/>
        <w:spacing w:after="180" w:before="320"/>
      </w:pPr>
      <w:r>
        <w:rPr>
          <w:rFonts w:ascii="Times New Roman" w:cs="Times New Roman" w:eastAsia="Times New Roman" w:hAnsi="Times New Roman"/>
          <w:b/>
          <w:bCs/>
          <w:color w:val="1F3864"/>
          <w:sz w:val="28"/>
          <w:szCs w:val="28"/>
        </w:rPr>
        <w:t xml:space="preserve">2.4. Matrice d'habilitation des rôles (RBAC)</w:t>
      </w:r>
    </w:p>
    <w:p>
      <w:pPr>
        <w:spacing w:after="200" w:line="300"/>
        <w:jc w:val="both"/>
      </w:pPr>
      <w:r>
        <w:rPr>
          <w:rFonts w:ascii="Times New Roman" w:cs="Times New Roman" w:eastAsia="Times New Roman" w:hAnsi="Times New Roman"/>
          <w:sz w:val="24"/>
          <w:szCs w:val="24"/>
        </w:rPr>
        <w:t xml:space="preserve">Le contrôle d'accès basé sur les rôles encadre la ségrégation des tâches entre les quatre acteurs principaux du système.</w:t>
      </w:r>
    </w:p>
    <w:tbl>
      <w:tblPr>
        <w:tblW w:type="dxa" w:w="9200"/>
        <w:tblBorders>
          <w:top w:val="single" w:color="1F3864" w:sz="4"/>
          <w:left w:val="single" w:color="1F3864" w:sz="4"/>
          <w:bottom w:val="single" w:color="1F3864" w:sz="4"/>
          <w:right w:val="single" w:color="1F3864" w:sz="4"/>
          <w:insideH w:val="single" w:color="BFBFBF" w:sz="2"/>
          <w:insideV w:val="single" w:color="BFBFBF" w:sz="2"/>
        </w:tblBorders>
      </w:tblPr>
      <w:tblGrid>
        <w:gridCol w:w="1800"/>
        <w:gridCol w:w="2600"/>
        <w:gridCol w:w="2600"/>
        <w:gridCol w:w="2200"/>
      </w:tblGrid>
      <w:tr>
        <w:trPr>
          <w:tblHeader/>
        </w:trPr>
        <w:tc>
          <w:tcPr>
            <w:tcW w:type="dxa" w:w="18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Rôle</w:t>
            </w:r>
          </w:p>
        </w:tc>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Lecture</w:t>
            </w:r>
          </w:p>
        </w:tc>
        <w:tc>
          <w:tcPr>
            <w:tcW w:type="dxa" w:w="26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Écriture / validation</w:t>
            </w:r>
          </w:p>
        </w:tc>
        <w:tc>
          <w:tcPr>
            <w:tcW w:type="dxa" w:w="2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Restriction notable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Client</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Profil personnel, solde, statut du crédit, explications IA</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Création de compte, dépôts/retraits, soumission KYC, demande de crédit</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Accès limité à ses propres données</w:t>
            </w:r>
          </w:p>
        </w:tc>
      </w:tr>
      <w:tr>
        <w:tc>
          <w:tcPr>
            <w:tcW w:type="dxa" w:w="1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Agent de crédit</w:t>
            </w:r>
          </w:p>
        </w:tc>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Dossiers assignés, scores multi-moteurs, mémos générés</w:t>
            </w:r>
          </w:p>
        </w:tc>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Observations, pré-validation ou rejet motivé</w:t>
            </w:r>
          </w:p>
        </w:tc>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Lecture/écriture limitées à son portefeuille (sa commune)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Administrateur</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Profils utilisateurs, journaux techniques, configuration</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Gestion des comptes, attribution des rôles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Pas d'accès aux décisions de crédit individuelles</w:t>
            </w:r>
          </w:p>
        </w:tc>
      </w:tr>
      <w:tr>
        <w:tc>
          <w:tcPr>
            <w:tcW w:type="dxa" w:w="18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Auditeur</w:t>
            </w:r>
          </w:p>
        </w:tc>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Journaux d'audit complets, décisions, explications</w:t>
            </w:r>
          </w:p>
        </w:tc>
        <w:tc>
          <w:tcPr>
            <w:tcW w:type="dxa" w:w="26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Génération de rapports réglementaires (lecture seule)</w:t>
            </w:r>
          </w:p>
        </w:tc>
        <w:tc>
          <w:tcPr>
            <w:tcW w:type="dxa" w:w="2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Aucun droit d'écriture sur les dossiers métier</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5 — Matrice d'habilitation RBAC (rôles applicatifs)</w:t>
      </w:r>
    </w:p>
    <w:p>
      <w:pPr>
        <w:pStyle w:val="Heading1"/>
        <w:pageBreakBefore/>
        <w:spacing w:after="240" w:before="400"/>
      </w:pPr>
      <w:r>
        <w:rPr>
          <w:rFonts w:ascii="Times New Roman" w:cs="Times New Roman" w:eastAsia="Times New Roman" w:hAnsi="Times New Roman"/>
          <w:b/>
          <w:bCs/>
          <w:color w:val="1F3864"/>
          <w:sz w:val="32"/>
          <w:szCs w:val="32"/>
        </w:rPr>
        <w:t xml:space="preserve">CHAPITRE 3 : RÉALISATION DE LA SOLUTION</w:t>
      </w:r>
    </w:p>
    <w:p>
      <w:pPr>
        <w:pStyle w:val="Heading2"/>
        <w:spacing w:after="180" w:before="320"/>
      </w:pPr>
      <w:r>
        <w:rPr>
          <w:rFonts w:ascii="Times New Roman" w:cs="Times New Roman" w:eastAsia="Times New Roman" w:hAnsi="Times New Roman"/>
          <w:b/>
          <w:bCs/>
          <w:color w:val="1F3864"/>
          <w:sz w:val="28"/>
          <w:szCs w:val="28"/>
        </w:rPr>
        <w:t xml:space="preserve">3.1. Introduction</w:t>
      </w:r>
    </w:p>
    <w:p>
      <w:pPr>
        <w:spacing w:after="200" w:line="300"/>
        <w:jc w:val="both"/>
      </w:pPr>
      <w:r>
        <w:rPr>
          <w:rFonts w:ascii="Times New Roman" w:cs="Times New Roman" w:eastAsia="Times New Roman" w:hAnsi="Times New Roman"/>
          <w:sz w:val="24"/>
          <w:szCs w:val="24"/>
        </w:rPr>
        <w:t xml:space="preserve">Ce chapitre couvre les phases Construction et Transition du Processus Unifié (cf. point 2.1) : modélisation statique et comportementale détaillée du système, besoins techniques et implémentation, puis déploiement et mise en production. Conformément à la délimitation technique retenue au point 0.7, ce qui suit relève d'un prototype fonctionnel (Proof of Concept) et non d'un déploiement en production sur les infrastructures réelles de la Rawbank.</w:t>
      </w:r>
    </w:p>
    <w:p>
      <w:pPr>
        <w:pStyle w:val="Heading2"/>
        <w:spacing w:after="180" w:before="320"/>
      </w:pPr>
      <w:r>
        <w:rPr>
          <w:rFonts w:ascii="Times New Roman" w:cs="Times New Roman" w:eastAsia="Times New Roman" w:hAnsi="Times New Roman"/>
          <w:b/>
          <w:bCs/>
          <w:color w:val="1F3864"/>
          <w:sz w:val="28"/>
          <w:szCs w:val="28"/>
        </w:rPr>
        <w:t xml:space="preserve">3.2. Construction</w:t>
      </w:r>
    </w:p>
    <w:p>
      <w:pPr>
        <w:spacing w:after="200" w:line="300"/>
        <w:jc w:val="both"/>
      </w:pPr>
      <w:r>
        <w:rPr>
          <w:rFonts w:ascii="Times New Roman" w:cs="Times New Roman" w:eastAsia="Times New Roman" w:hAnsi="Times New Roman"/>
          <w:sz w:val="24"/>
          <w:szCs w:val="24"/>
        </w:rPr>
        <w:t xml:space="preserve">La phase de Construction traduit les modèles d'analyse du chapitre 2 en une architecture logicielle détaillée, prête pour l'implémentation.</w:t>
      </w:r>
    </w:p>
    <w:p>
      <w:pPr>
        <w:pStyle w:val="Heading3"/>
        <w:spacing w:after="150" w:before="260"/>
      </w:pPr>
      <w:r>
        <w:rPr>
          <w:rFonts w:ascii="Times New Roman" w:cs="Times New Roman" w:eastAsia="Times New Roman" w:hAnsi="Times New Roman"/>
          <w:b/>
          <w:bCs/>
          <w:i w:val="false"/>
          <w:iCs w:val="false"/>
          <w:sz w:val="26"/>
          <w:szCs w:val="26"/>
        </w:rPr>
        <w:t xml:space="preserve">3.2.1. Diagramme de classes</w:t>
      </w:r>
    </w:p>
    <w:p>
      <w:pPr>
        <w:spacing w:after="200" w:line="300"/>
        <w:jc w:val="both"/>
      </w:pPr>
      <w:r>
        <w:rPr>
          <w:rFonts w:ascii="Times New Roman" w:cs="Times New Roman" w:eastAsia="Times New Roman" w:hAnsi="Times New Roman"/>
          <w:sz w:val="24"/>
          <w:szCs w:val="24"/>
        </w:rPr>
        <w:t xml:space="preserve">Le modèle orienté objet retenu s'organise en trois groupes : la gestion des identités et des rôles (Role, Utilisateur et ses spécialisations Client, AgentCredit, Administrateur, Auditeur, ainsi qu'Identite), les comptes financiers et l'historique transactionnel (WalletRawbank, CompteEpargne, MobileMoneyTransaction), et le cycle de crédit (DemandeCredit, ScoreIA, DecisionCredit, Credit). La figure 9 présente ce modèle complet, avec les visibilités, les types, les cardinalités et les relations de généralisation, agrégation et composition.</w:t>
      </w:r>
    </w:p>
    <w:p>
      <w:pPr>
        <w:spacing w:after="80" w:before="200"/>
        <w:jc w:val="center"/>
      </w:pPr>
      <w:r>
        <w:drawing>
          <wp:inline distT="0" distB="0" distL="0" distR="0">
            <wp:extent cx="5762625" cy="57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572452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9 — Diagramme de classes</w:t>
      </w:r>
    </w:p>
    <w:p>
      <w:pPr>
        <w:pStyle w:val="Heading3"/>
        <w:spacing w:after="150" w:before="260"/>
      </w:pPr>
      <w:r>
        <w:rPr>
          <w:rFonts w:ascii="Times New Roman" w:cs="Times New Roman" w:eastAsia="Times New Roman" w:hAnsi="Times New Roman"/>
          <w:b/>
          <w:bCs/>
          <w:i w:val="false"/>
          <w:iCs w:val="false"/>
          <w:sz w:val="26"/>
          <w:szCs w:val="26"/>
        </w:rPr>
        <w:t xml:space="preserve">3.2.2. Diagramme d'objets</w:t>
      </w:r>
    </w:p>
    <w:p>
      <w:pPr>
        <w:spacing w:after="200" w:line="300"/>
        <w:jc w:val="both"/>
      </w:pPr>
      <w:r>
        <w:rPr>
          <w:rFonts w:ascii="Times New Roman" w:cs="Times New Roman" w:eastAsia="Times New Roman" w:hAnsi="Times New Roman"/>
          <w:sz w:val="24"/>
          <w:szCs w:val="24"/>
        </w:rPr>
        <w:t xml:space="preserve">Le diagramme d'objets (figure 10) fixe un instantané valide du système à un instant donné : une cliente identifiée, son portefeuille Rawbank, une demande de crédit approuvée, le score IA associé, la décision de crédit et le crédit effectivement décaissé. Il illustre concrètement les cardinalités et les compositions du diagramme de classes.</w:t>
      </w:r>
    </w:p>
    <w:p>
      <w:pPr>
        <w:spacing w:after="80" w:before="200"/>
        <w:jc w:val="center"/>
      </w:pPr>
      <w:r>
        <w:drawing>
          <wp:inline distT="0" distB="0" distL="0" distR="0">
            <wp:extent cx="576262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53377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10 — Diagramme d'objets — instantané d'un dossier approuvé</w:t>
      </w:r>
    </w:p>
    <w:p>
      <w:pPr>
        <w:pStyle w:val="Heading3"/>
        <w:spacing w:after="150" w:before="260"/>
      </w:pPr>
      <w:r>
        <w:rPr>
          <w:rFonts w:ascii="Times New Roman" w:cs="Times New Roman" w:eastAsia="Times New Roman" w:hAnsi="Times New Roman"/>
          <w:b/>
          <w:bCs/>
          <w:i w:val="false"/>
          <w:iCs w:val="false"/>
          <w:sz w:val="26"/>
          <w:szCs w:val="26"/>
        </w:rPr>
        <w:t xml:space="preserve">3.2.3. Diagramme d'activités</w:t>
      </w:r>
    </w:p>
    <w:p>
      <w:pPr>
        <w:spacing w:after="200" w:line="300"/>
        <w:jc w:val="both"/>
      </w:pPr>
      <w:r>
        <w:rPr>
          <w:rFonts w:ascii="Times New Roman" w:cs="Times New Roman" w:eastAsia="Times New Roman" w:hAnsi="Times New Roman"/>
          <w:sz w:val="24"/>
          <w:szCs w:val="24"/>
        </w:rPr>
        <w:t xml:space="preserve">La figure 11 modélise le pipeline complet de traitement d'une demande de crédit, depuis sa soumission jusqu'à la transmission de la décision et du mémo généré, en passant par les points de contrôle successifs (règles métier, scoring, explicabilité, génération RAG).</w:t>
      </w:r>
    </w:p>
    <w:p>
      <w:pPr>
        <w:spacing w:after="80" w:before="200"/>
        <w:jc w:val="center"/>
      </w:pPr>
      <w:r>
        <w:drawing>
          <wp:inline distT="0" distB="0" distL="0" distR="0">
            <wp:extent cx="4572000"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77724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11 — Diagramme d'activités — pipeline d'évaluation décisionnelle finale</w:t>
      </w:r>
    </w:p>
    <w:p>
      <w:pPr>
        <w:pStyle w:val="Heading3"/>
        <w:spacing w:after="150" w:before="260"/>
      </w:pPr>
      <w:r>
        <w:rPr>
          <w:rFonts w:ascii="Times New Roman" w:cs="Times New Roman" w:eastAsia="Times New Roman" w:hAnsi="Times New Roman"/>
          <w:b/>
          <w:bCs/>
          <w:i w:val="false"/>
          <w:iCs w:val="false"/>
          <w:sz w:val="26"/>
          <w:szCs w:val="26"/>
        </w:rPr>
        <w:t xml:space="preserve">3.2.4. Diagramme de composants</w:t>
      </w:r>
    </w:p>
    <w:p>
      <w:pPr>
        <w:spacing w:after="200" w:line="300"/>
        <w:jc w:val="both"/>
      </w:pPr>
      <w:r>
        <w:rPr>
          <w:rFonts w:ascii="Times New Roman" w:cs="Times New Roman" w:eastAsia="Times New Roman" w:hAnsi="Times New Roman"/>
          <w:sz w:val="24"/>
          <w:szCs w:val="24"/>
        </w:rPr>
        <w:t xml:space="preserve">Le diagramme de composants (figure 12) découpe l'architecture en modules déployables indépendamment : la passerelle USSD, l'API REST, le module de scoring (XGBoost), le module d'explicabilité (SHAP / LIME), le pipeline RAG de génération de rapports, et les composants de persistance (MySQL, Redis, pgvector). Les interfaces entre la passerelle USSD et l'API REST sont représentées explicitement en notation lollipop / socket (IAuthentification, IGestionDemande) ; les autres dépendances inter-composants sont des flèches étiquetées par l'interface utilisée.</w:t>
      </w:r>
    </w:p>
    <w:p>
      <w:pPr>
        <w:spacing w:after="80" w:before="200"/>
        <w:jc w:val="center"/>
      </w:pPr>
      <w:r>
        <w:drawing>
          <wp:inline distT="0" distB="0" distL="0" distR="0">
            <wp:extent cx="5762625"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4352925"/>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12 — Diagramme de composants</w:t>
      </w:r>
    </w:p>
    <w:p>
      <w:pPr>
        <w:pStyle w:val="Heading3"/>
        <w:spacing w:after="150" w:before="260"/>
      </w:pPr>
      <w:r>
        <w:rPr>
          <w:rFonts w:ascii="Times New Roman" w:cs="Times New Roman" w:eastAsia="Times New Roman" w:hAnsi="Times New Roman"/>
          <w:b/>
          <w:bCs/>
          <w:i w:val="false"/>
          <w:iCs w:val="false"/>
          <w:sz w:val="26"/>
          <w:szCs w:val="26"/>
        </w:rPr>
        <w:t xml:space="preserve">3.2.5. Diagramme d'états-transitions</w:t>
      </w:r>
    </w:p>
    <w:p>
      <w:pPr>
        <w:spacing w:after="200" w:line="300"/>
        <w:jc w:val="both"/>
      </w:pPr>
      <w:r>
        <w:rPr>
          <w:rFonts w:ascii="Times New Roman" w:cs="Times New Roman" w:eastAsia="Times New Roman" w:hAnsi="Times New Roman"/>
          <w:sz w:val="24"/>
          <w:szCs w:val="24"/>
        </w:rPr>
        <w:t xml:space="preserve">Le cycle de vie d'une demande de crédit est modélisé par le diagramme d'états-transitions de la figure 13 : de la soumission initiale à la vérification KYC, puis à l'évaluation des règles d'éligibilité, au calcul du score, à la décision de l'agent, jusqu'à l'état final Décaissée ou Rejetée. Les gardes et les événements déclencheurs de chaque transition sont précisés, de même que les activités d'entrée et internes associées aux états de traitement automatisé.</w:t>
      </w:r>
    </w:p>
    <w:p>
      <w:pPr>
        <w:spacing w:after="80" w:before="200"/>
        <w:jc w:val="center"/>
      </w:pPr>
      <w:r>
        <w:drawing>
          <wp:inline distT="0" distB="0" distL="0" distR="0">
            <wp:extent cx="5486400" cy="683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683895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13 — Diagramme d'états-transitions — cycle de vie d'une demande de crédit</w:t>
      </w:r>
    </w:p>
    <w:p>
      <w:pPr>
        <w:pStyle w:val="Heading3"/>
        <w:spacing w:after="150" w:before="260"/>
      </w:pPr>
      <w:r>
        <w:rPr>
          <w:rFonts w:ascii="Times New Roman" w:cs="Times New Roman" w:eastAsia="Times New Roman" w:hAnsi="Times New Roman"/>
          <w:b/>
          <w:bCs/>
          <w:i w:val="false"/>
          <w:iCs w:val="false"/>
          <w:sz w:val="26"/>
          <w:szCs w:val="26"/>
        </w:rPr>
        <w:t xml:space="preserve">3.2.6. Besoins techniques et outils</w:t>
      </w:r>
    </w:p>
    <w:p>
      <w:pPr>
        <w:spacing w:after="200" w:line="300"/>
        <w:jc w:val="both"/>
      </w:pPr>
      <w:r>
        <w:rPr>
          <w:rFonts w:ascii="Times New Roman" w:cs="Times New Roman" w:eastAsia="Times New Roman" w:hAnsi="Times New Roman"/>
          <w:sz w:val="24"/>
          <w:szCs w:val="24"/>
        </w:rPr>
        <w:t xml:space="preserve">L'implémentation du prototype s'appuie sur une séparation claire entre les couches applicatives, conformément à l'architecture de déploiement présentée à la figure 7 :</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Backend : </w:t>
      </w:r>
      <w:r>
        <w:rPr>
          <w:rFonts w:ascii="Times New Roman" w:cs="Times New Roman" w:eastAsia="Times New Roman" w:hAnsi="Times New Roman"/>
          <w:sz w:val="24"/>
          <w:szCs w:val="24"/>
        </w:rPr>
        <w:t xml:space="preserve">API REST exposant les services d'authentification, de gestion des utilisateurs et des clients, de scoring, de sessions USSD et de reporting.</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Persistance : </w:t>
      </w:r>
      <w:r>
        <w:rPr>
          <w:rFonts w:ascii="Times New Roman" w:cs="Times New Roman" w:eastAsia="Times New Roman" w:hAnsi="Times New Roman"/>
          <w:sz w:val="24"/>
          <w:szCs w:val="24"/>
        </w:rPr>
        <w:t xml:space="preserve">MySQL pour les données structurées et Redis pour le cache et les sessions USSD.</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Data Science / Machine Learning : </w:t>
      </w:r>
      <w:r>
        <w:rPr>
          <w:rFonts w:ascii="Times New Roman" w:cs="Times New Roman" w:eastAsia="Times New Roman" w:hAnsi="Times New Roman"/>
          <w:sz w:val="24"/>
          <w:szCs w:val="24"/>
        </w:rPr>
        <w:t xml:space="preserve">pipeline de features, apprentissage XGBoost, sérialisation du modèle et endpoints de scoring (Python, scikit-learn, XGBoost).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Intelligence artificielle explicable : </w:t>
      </w:r>
      <w:r>
        <w:rPr>
          <w:rFonts w:ascii="Times New Roman" w:cs="Times New Roman" w:eastAsia="Times New Roman" w:hAnsi="Times New Roman"/>
          <w:sz w:val="24"/>
          <w:szCs w:val="24"/>
        </w:rPr>
        <w:t xml:space="preserve">génération d'explications locales et globales (SHAP, LIME) et stockage des résultats.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Génération augmentée par récupération : </w:t>
      </w:r>
      <w:r>
        <w:rPr>
          <w:rFonts w:ascii="Times New Roman" w:cs="Times New Roman" w:eastAsia="Times New Roman" w:hAnsi="Times New Roman"/>
          <w:sz w:val="24"/>
          <w:szCs w:val="24"/>
        </w:rPr>
        <w:t xml:space="preserve">composants d'indexation, de retrieval et de génération de rapports (pgvector, framework d'orchestration de type LangChain, FastAPI).</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Interface : </w:t>
      </w:r>
      <w:r>
        <w:rPr>
          <w:rFonts w:ascii="Times New Roman" w:cs="Times New Roman" w:eastAsia="Times New Roman" w:hAnsi="Times New Roman"/>
          <w:sz w:val="24"/>
          <w:szCs w:val="24"/>
        </w:rPr>
        <w:t xml:space="preserve">tableau de bord agent/administrateur pour la visualisation des scores, de l'historique et des rapports.</w:t>
      </w:r>
    </w:p>
    <w:p>
      <w:pPr>
        <w:spacing w:after="200" w:line="300"/>
        <w:jc w:val="both"/>
      </w:pPr>
      <w:r>
        <w:rPr>
          <w:rFonts w:ascii="Times New Roman" w:cs="Times New Roman" w:eastAsia="Times New Roman" w:hAnsi="Times New Roman"/>
          <w:sz w:val="24"/>
          <w:szCs w:val="24"/>
        </w:rPr>
        <w:t xml:space="preserve">L'ensemble vise une architecture modulaire, facilitant l'évolution du système — mise à jour du modèle, ajout de nouvelles caractéristiques, amélioration des rapports — sans impact significatif sur les autres composants. Cette modularité répond directement à l'exigence de scalabilité formulée au point 2.3.</w:t>
      </w:r>
    </w:p>
    <w:p>
      <w:pPr>
        <w:pStyle w:val="Heading3"/>
        <w:spacing w:after="150" w:before="260"/>
      </w:pPr>
      <w:r>
        <w:rPr>
          <w:rFonts w:ascii="Times New Roman" w:cs="Times New Roman" w:eastAsia="Times New Roman" w:hAnsi="Times New Roman"/>
          <w:b/>
          <w:bCs/>
          <w:i w:val="false"/>
          <w:iCs w:val="false"/>
          <w:sz w:val="26"/>
          <w:szCs w:val="26"/>
        </w:rPr>
        <w:t xml:space="preserve">3.2.7. Implémentation — spécification du moteur de scoring et du pipeline RAG</w:t>
      </w:r>
    </w:p>
    <w:p>
      <w:pPr>
        <w:spacing w:after="200" w:line="300"/>
        <w:jc w:val="both"/>
      </w:pPr>
      <w:r>
        <w:rPr>
          <w:rFonts w:ascii="Times New Roman" w:cs="Times New Roman" w:eastAsia="Times New Roman" w:hAnsi="Times New Roman"/>
          <w:sz w:val="24"/>
          <w:szCs w:val="24"/>
        </w:rPr>
        <w:t xml:space="preserve">Cette section documente les choix qui fondent l'implémentation des composants ModuleScoring, ModuleExplicabilite et PipelineRAG identifiés au diagramme de composants (figure 12), ainsi que la gestion de la persistance de session USSD.</w:t>
      </w:r>
    </w:p>
    <w:p>
      <w:pPr>
        <w:pStyle w:val="Heading4"/>
        <w:spacing w:after="120" w:before="200"/>
      </w:pPr>
      <w:r>
        <w:rPr>
          <w:rFonts w:ascii="Times New Roman" w:cs="Times New Roman" w:eastAsia="Times New Roman" w:hAnsi="Times New Roman"/>
          <w:b/>
          <w:bCs/>
          <w:i/>
          <w:iCs/>
          <w:sz w:val="24"/>
          <w:szCs w:val="24"/>
        </w:rPr>
        <w:t xml:space="preserve">3.2.7.1. Acquisition et préparation des données alternatives</w:t>
      </w:r>
    </w:p>
    <w:p>
      <w:pPr>
        <w:spacing w:after="200" w:line="300"/>
        <w:jc w:val="both"/>
      </w:pPr>
      <w:r>
        <w:rPr>
          <w:rFonts w:ascii="Times New Roman" w:cs="Times New Roman" w:eastAsia="Times New Roman" w:hAnsi="Times New Roman"/>
          <w:sz w:val="24"/>
          <w:szCs w:val="24"/>
        </w:rPr>
        <w:t xml:space="preserve">Dans le cadre de l'évaluation du risque de crédit en contexte de faible bancarisation, l'approche retenue s'appuie sur des données alternatives issues de l'usage du Mobile Money. L'acquisition suit un protocole garantissant la qualité, la traçabilité et la conformité réglementaire (minimisation et confidentialité des données).</w:t>
      </w:r>
    </w:p>
    <w:p>
      <w:pPr>
        <w:spacing w:after="200" w:line="300"/>
        <w:jc w:val="both"/>
      </w:pPr>
      <w:r>
        <w:rPr>
          <w:rFonts w:ascii="Times New Roman" w:cs="Times New Roman" w:eastAsia="Times New Roman" w:hAnsi="Times New Roman"/>
          <w:sz w:val="24"/>
          <w:szCs w:val="24"/>
        </w:rPr>
        <w:t xml:space="preserve">Les données sont collectées sous forme d'événements transactionnels (date/heure, type d'opération, montant, sens entrant/sortant, identifiant de contrepartie le cas échéant, canal). Une fenêtre d'observation de T jours d'historique permet de calculer les variables explicatives, tandis qu'une fenêtre de prédiction des K jours suivants sert à évaluer la variable cible (défaut ou non-défaut).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Nettoyage : </w:t>
      </w:r>
      <w:r>
        <w:rPr>
          <w:rFonts w:ascii="Times New Roman" w:cs="Times New Roman" w:eastAsia="Times New Roman" w:hAnsi="Times New Roman"/>
          <w:sz w:val="24"/>
          <w:szCs w:val="24"/>
        </w:rPr>
        <w:t xml:space="preserve">suppression des doublons, correction des incohérences de format, harmonisation des types d'opérations, contrôle des transactions aberrantes.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Standardisation temporelle : </w:t>
      </w:r>
      <w:r>
        <w:rPr>
          <w:rFonts w:ascii="Times New Roman" w:cs="Times New Roman" w:eastAsia="Times New Roman" w:hAnsi="Times New Roman"/>
          <w:sz w:val="24"/>
          <w:szCs w:val="24"/>
        </w:rPr>
        <w:t xml:space="preserve">conversion en granularité journalière ou hebdomadaire et alignement sur un calendrier unique.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Gestion des valeurs manquantes : </w:t>
      </w:r>
      <w:r>
        <w:rPr>
          <w:rFonts w:ascii="Times New Roman" w:cs="Times New Roman" w:eastAsia="Times New Roman" w:hAnsi="Times New Roman"/>
          <w:sz w:val="24"/>
          <w:szCs w:val="24"/>
        </w:rPr>
        <w:t xml:space="preserve">imputation raisonnée et ajout d'indicateurs « manquant » lorsque l'absence d'information est elle-même informative.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Prévention de la fuite de données (data leakage) : </w:t>
      </w:r>
      <w:r>
        <w:rPr>
          <w:rFonts w:ascii="Times New Roman" w:cs="Times New Roman" w:eastAsia="Times New Roman" w:hAnsi="Times New Roman"/>
          <w:sz w:val="24"/>
          <w:szCs w:val="24"/>
        </w:rPr>
        <w:t xml:space="preserve">séparation stricte entraînement/test selon le temps, garantissant que les informations futures ne contaminent pas l'apprentissage.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Anonymisation / pseudonymisation : </w:t>
      </w:r>
      <w:r>
        <w:rPr>
          <w:rFonts w:ascii="Times New Roman" w:cs="Times New Roman" w:eastAsia="Times New Roman" w:hAnsi="Times New Roman"/>
          <w:sz w:val="24"/>
          <w:szCs w:val="24"/>
        </w:rPr>
        <w:t xml:space="preserve">remplacement des identifiants directs (MSISDN, noms) par des identifiants techniques, et limitation de l'accès aux données sensibles.</w:t>
      </w:r>
    </w:p>
    <w:p>
      <w:pPr>
        <w:pStyle w:val="Heading4"/>
        <w:spacing w:after="120" w:before="200"/>
      </w:pPr>
      <w:r>
        <w:rPr>
          <w:rFonts w:ascii="Times New Roman" w:cs="Times New Roman" w:eastAsia="Times New Roman" w:hAnsi="Times New Roman"/>
          <w:b/>
          <w:bCs/>
          <w:i/>
          <w:iCs/>
          <w:sz w:val="24"/>
          <w:szCs w:val="24"/>
        </w:rPr>
        <w:t xml:space="preserve">3.2.7.2. Ingénierie des caractéristiques (feature engineering) des flux Mobile Money</w:t>
      </w:r>
    </w:p>
    <w:p>
      <w:pPr>
        <w:spacing w:after="200" w:line="300"/>
        <w:jc w:val="both"/>
      </w:pPr>
      <w:r>
        <w:rPr>
          <w:rFonts w:ascii="Times New Roman" w:cs="Times New Roman" w:eastAsia="Times New Roman" w:hAnsi="Times New Roman"/>
          <w:sz w:val="24"/>
          <w:szCs w:val="24"/>
        </w:rPr>
        <w:t xml:space="preserve">La valeur prédictive des flux Mobile Money dépend fortement de la construction de caractéristiques capables de résumer le comportement financier de l'utilisateur. Six familles de variables ont été retenues, chacune justifiée par une hypothèse économique sous-jacente.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Intensité et volume d'activité : </w:t>
      </w:r>
      <w:r>
        <w:rPr>
          <w:rFonts w:ascii="Times New Roman" w:cs="Times New Roman" w:eastAsia="Times New Roman" w:hAnsi="Times New Roman"/>
          <w:sz w:val="24"/>
          <w:szCs w:val="24"/>
        </w:rPr>
        <w:t xml:space="preserve">nombre total de transactions, volume entrant/sortant, montant moyen, médian et maximum — reflétant la capacité d'activité financière et la liquidité globale.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Stabilité et régularité : </w:t>
      </w:r>
      <w:r>
        <w:rPr>
          <w:rFonts w:ascii="Times New Roman" w:cs="Times New Roman" w:eastAsia="Times New Roman" w:hAnsi="Times New Roman"/>
          <w:sz w:val="24"/>
          <w:szCs w:val="24"/>
        </w:rPr>
        <w:t xml:space="preserve">variance des montants, coefficient de variation, ratio de semaines actives — des revenus et dépenses réguliers suggérant une meilleure prévisibilité de remboursement.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Flux nets et équilibre financier : </w:t>
      </w:r>
      <w:r>
        <w:rPr>
          <w:rFonts w:ascii="Times New Roman" w:cs="Times New Roman" w:eastAsia="Times New Roman" w:hAnsi="Times New Roman"/>
          <w:sz w:val="24"/>
          <w:szCs w:val="24"/>
        </w:rPr>
        <w:t xml:space="preserve">solde net, ratio cash-in/cash-out, part des retraits dans les sorties — approximant le comportement d'épargne et de dépense.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Récurrence et signatures de revenus : </w:t>
      </w:r>
      <w:r>
        <w:rPr>
          <w:rFonts w:ascii="Times New Roman" w:cs="Times New Roman" w:eastAsia="Times New Roman" w:hAnsi="Times New Roman"/>
          <w:sz w:val="24"/>
          <w:szCs w:val="24"/>
        </w:rPr>
        <w:t xml:space="preserve">présence de crédits entrants périodiques, récurrence de transferts d'un même émetteur, cyclicité mensuelle — un revenu récurrent augmentant la probabilité de remboursement.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Signaux de stress financier : </w:t>
      </w:r>
      <w:r>
        <w:rPr>
          <w:rFonts w:ascii="Times New Roman" w:cs="Times New Roman" w:eastAsia="Times New Roman" w:hAnsi="Times New Roman"/>
          <w:sz w:val="24"/>
          <w:szCs w:val="24"/>
        </w:rPr>
        <w:t xml:space="preserve">retraits immédiats après dépôts, pics de dépenses inhabituels, baisse brutale du volume entrant — pouvant signaler une contrainte de trésorerie.</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Diversité des contreparties : </w:t>
      </w:r>
      <w:r>
        <w:rPr>
          <w:rFonts w:ascii="Times New Roman" w:cs="Times New Roman" w:eastAsia="Times New Roman" w:hAnsi="Times New Roman"/>
          <w:sz w:val="24"/>
          <w:szCs w:val="24"/>
        </w:rPr>
        <w:t xml:space="preserve">nombre de contreparties distinctes, concentration des transactions — une forte concentration pouvant indiquer une dépendance à une source unique de revenu.</w:t>
      </w:r>
    </w:p>
    <w:p>
      <w:pPr>
        <w:spacing w:after="200" w:line="300"/>
        <w:jc w:val="both"/>
      </w:pPr>
      <w:r>
        <w:rPr>
          <w:rFonts w:ascii="Times New Roman" w:cs="Times New Roman" w:eastAsia="Times New Roman" w:hAnsi="Times New Roman"/>
          <w:sz w:val="24"/>
          <w:szCs w:val="24"/>
        </w:rPr>
        <w:t xml:space="preserve">Ces caractéristiques sont ensuite normalisées et encodées selon les exigences du modèle, en conservant des transformations interprétables (transformation logarithmique des montants, agrégations sur fenêtres glissantes, ratios), condition nécessaire à la cohérence des explications SHAP/LIME développées au point 3.2.7.4.</w:t>
      </w:r>
    </w:p>
    <w:p>
      <w:pPr>
        <w:pStyle w:val="Heading4"/>
        <w:spacing w:after="120" w:before="200"/>
      </w:pPr>
      <w:r>
        <w:rPr>
          <w:rFonts w:ascii="Times New Roman" w:cs="Times New Roman" w:eastAsia="Times New Roman" w:hAnsi="Times New Roman"/>
          <w:b/>
          <w:bCs/>
          <w:i/>
          <w:iCs/>
          <w:sz w:val="24"/>
          <w:szCs w:val="24"/>
        </w:rPr>
        <w:t xml:space="preserve">3.2.7.3. Formulation du modèle prédictif XGBoost et hyperparamètres</w:t>
      </w:r>
    </w:p>
    <w:p>
      <w:pPr>
        <w:spacing w:after="200" w:line="300"/>
        <w:jc w:val="both"/>
      </w:pPr>
      <w:r>
        <w:rPr>
          <w:rFonts w:ascii="Times New Roman" w:cs="Times New Roman" w:eastAsia="Times New Roman" w:hAnsi="Times New Roman"/>
          <w:sz w:val="24"/>
          <w:szCs w:val="24"/>
        </w:rPr>
        <w:t xml:space="preserve">Le problème est formulé comme une classification binaire supervisée visant à estimer la probabilité de défaut P(y = 1 | x), où y représente l'état de défaut et x le vecteur des caractéristiques issues des flux Mobile Money décrites au point 3.2.7.2. Le modèle retenu, XGBoost (Extreme Gradient Boosting), est un modèle d'ensemble basé sur l'addition séquentielle d'arbres de décision [30, 13].</w:t>
      </w:r>
    </w:p>
    <w:p>
      <w:pPr>
        <w:spacing w:after="200" w:line="300"/>
        <w:jc w:val="both"/>
      </w:pPr>
      <w:r>
        <w:rPr>
          <w:rFonts w:ascii="Times New Roman" w:cs="Times New Roman" w:eastAsia="Times New Roman" w:hAnsi="Times New Roman"/>
          <w:sz w:val="24"/>
          <w:szCs w:val="24"/>
        </w:rPr>
        <w:t xml:space="preserve">À chaque itération, un nouvel arbre est appris pour corriger les erreurs du modèle précédent, par optimisation d'une fonction objectif composée d'une fonction de perte — la log-loss pour la classification binaire — et d'un terme de régularisation pénalisant la complexité des arbres, ce qui améliore la généralisation du modèle sur des données non vues.</w:t>
      </w:r>
    </w:p>
    <w:p>
      <w:pPr>
        <w:spacing w:after="200" w:line="300"/>
        <w:jc w:val="both"/>
      </w:pPr>
      <w:r>
        <w:rPr>
          <w:rFonts w:ascii="Times New Roman" w:cs="Times New Roman" w:eastAsia="Times New Roman" w:hAnsi="Times New Roman"/>
          <w:sz w:val="24"/>
          <w:szCs w:val="24"/>
        </w:rPr>
        <w:t xml:space="preserve">La sélection des hyperparamètres est réalisée par recherche en grille et validation croisée, en privilégiant un découpage temporel reflétant un usage réel (apprentissage sur le passé, test sur le futur). L'évaluation s'appuie sur l'aire sous la courbe ROC, l'aire sous la courbe précision-rappel (en cas de défaut rare), le rappel sur la classe défaut, le F1-score et la calibration du modèle.</w:t>
      </w:r>
    </w:p>
    <w:tbl>
      <w:tblPr>
        <w:tblW w:type="dxa" w:w="9400"/>
        <w:tblBorders>
          <w:top w:val="single" w:color="1F3864" w:sz="4"/>
          <w:left w:val="single" w:color="1F3864" w:sz="4"/>
          <w:bottom w:val="single" w:color="1F3864" w:sz="4"/>
          <w:right w:val="single" w:color="1F3864" w:sz="4"/>
          <w:insideH w:val="single" w:color="BFBFBF" w:sz="2"/>
          <w:insideV w:val="single" w:color="BFBFBF" w:sz="2"/>
        </w:tblBorders>
      </w:tblPr>
      <w:tblGrid>
        <w:gridCol w:w="3200"/>
        <w:gridCol w:w="6200"/>
      </w:tblGrid>
      <w:tr>
        <w:trPr>
          <w:tblHeader/>
        </w:trPr>
        <w:tc>
          <w:tcPr>
            <w:tcW w:type="dxa" w:w="3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Hyperparamètre</w:t>
            </w:r>
          </w:p>
        </w:tc>
        <w:tc>
          <w:tcPr>
            <w:tcW w:type="dxa" w:w="6200"/>
            <w:shd w:fill="1F3864"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1"/>
                <w:szCs w:val="21"/>
              </w:rPr>
              <w:t xml:space="preserve">Rôle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n_estimators</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Nombre d'arbres séquentiels (capacité globale du modèle)</w:t>
            </w:r>
          </w:p>
        </w:tc>
      </w:tr>
      <w:tr>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learning_rate</w:t>
            </w:r>
          </w:p>
        </w:tc>
        <w:tc>
          <w:tcPr>
            <w:tcW w:type="dxa" w:w="6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Vitesse d'apprentissage (plus faible = plus robuste, mais plus long)</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max_depth</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Profondeur maximale d'un arbre (contrôle la complexité et le surapprentissage)</w:t>
            </w:r>
          </w:p>
        </w:tc>
      </w:tr>
      <w:tr>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min_child_weight / gamma</w:t>
            </w:r>
          </w:p>
        </w:tc>
        <w:tc>
          <w:tcPr>
            <w:tcW w:type="dxa" w:w="6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Seuils limitant les divisions (splits) trop spécifiques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subsample / colsample_bytree</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Sous-échantillonnage des lignes/colonnes (réduit la variance)</w:t>
            </w:r>
          </w:p>
        </w:tc>
      </w:tr>
      <w:tr>
        <w:tc>
          <w:tcPr>
            <w:tcW w:type="dxa" w:w="3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reg_alpha (L1) / reg_lambda (L2)</w:t>
            </w:r>
          </w:p>
        </w:tc>
        <w:tc>
          <w:tcPr>
            <w:tcW w:type="dxa" w:w="6200"/>
            <w:shd w:fill="F2F2F2" w:val="clear"/>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Régularisation des poids des feuilles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scale_pos_weight</w:t>
            </w:r>
          </w:p>
        </w:tc>
        <w:tc>
          <w:tcPr>
            <w:tcW w:type="dxa" w:w="6200"/>
            <w:tcMar>
              <w:top w:type="dxa" w:w="80"/>
              <w:left w:type="dxa" w:w="100"/>
              <w:bottom w:type="dxa" w:w="80"/>
              <w:right w:type="dxa" w:w="100"/>
            </w:tcMar>
            <w:vAlign w:val="center"/>
          </w:tcPr>
          <w:p>
            <w:pPr>
              <w:jc w:val="left"/>
            </w:pPr>
            <w:r>
              <w:rPr>
                <w:rFonts w:ascii="Times New Roman" w:cs="Times New Roman" w:eastAsia="Times New Roman" w:hAnsi="Times New Roman"/>
                <w:sz w:val="21"/>
                <w:szCs w:val="21"/>
              </w:rPr>
              <w:t xml:space="preserve">Compensation du déséquilibre de classes (défaut rare)</w:t>
            </w:r>
          </w:p>
        </w:tc>
      </w:tr>
    </w:tbl>
    <w:p>
      <w:pPr>
        <w:spacing w:after="60"/>
      </w:pPr>
    </w:p>
    <w:p>
      <w:pPr>
        <w:spacing w:after="240" w:before="100"/>
        <w:jc w:val="center"/>
      </w:pPr>
      <w:r>
        <w:rPr>
          <w:rFonts w:ascii="Times New Roman" w:cs="Times New Roman" w:eastAsia="Times New Roman" w:hAnsi="Times New Roman"/>
          <w:i/>
          <w:iCs/>
          <w:sz w:val="21"/>
          <w:szCs w:val="21"/>
        </w:rPr>
        <w:t xml:space="preserve">Tableau 6 — Hyperparamètres du modèle XGBoost et rôle fonctionnel</w:t>
      </w:r>
    </w:p>
    <w:p>
      <w:pPr>
        <w:pStyle w:val="Heading4"/>
        <w:spacing w:after="120" w:before="200"/>
      </w:pPr>
      <w:r>
        <w:rPr>
          <w:rFonts w:ascii="Times New Roman" w:cs="Times New Roman" w:eastAsia="Times New Roman" w:hAnsi="Times New Roman"/>
          <w:b/>
          <w:bCs/>
          <w:i/>
          <w:iCs/>
          <w:sz w:val="24"/>
          <w:szCs w:val="24"/>
        </w:rPr>
        <w:t xml:space="preserve">3.2.7.4. Intégration de l'intelligence artificielle explicable (SHAP / LIME)</w:t>
      </w:r>
    </w:p>
    <w:p>
      <w:pPr>
        <w:spacing w:after="200" w:line="300"/>
        <w:jc w:val="both"/>
      </w:pPr>
      <w:r>
        <w:rPr>
          <w:rFonts w:ascii="Times New Roman" w:cs="Times New Roman" w:eastAsia="Times New Roman" w:hAnsi="Times New Roman"/>
          <w:sz w:val="24"/>
          <w:szCs w:val="24"/>
        </w:rPr>
        <w:t xml:space="preserve">Dans un système de scoring de crédit, la performance prédictive seule ne suffit pas : il est nécessaire d'expliquer chaque décision afin de renforcer la confiance, faciliter l'audit et permettre une prise de décision responsable, conformément au cadre théorique exposé au point 1.2.3 [31, 24, 33].</w:t>
      </w:r>
    </w:p>
    <w:p>
      <w:pPr>
        <w:spacing w:after="200" w:line="300"/>
        <w:jc w:val="both"/>
      </w:pPr>
      <w:r>
        <w:rPr>
          <w:rFonts w:ascii="Times New Roman" w:cs="Times New Roman" w:eastAsia="Times New Roman" w:hAnsi="Times New Roman"/>
          <w:sz w:val="24"/>
          <w:szCs w:val="24"/>
        </w:rPr>
        <w:t xml:space="preserve">SHAP repose sur les valeurs de Shapley issues de la théorie des jeux. Pour une prédiction donnée, SHAP attribue à chaque caractéristique une contribution φᵢ telle que la somme des contributions explique l'écart entre la sortie moyenne du modèle et la sortie prédite, fournissant ainsi des explications locales (pour un client donné) et globales (importance moyenne des variables sur le portefeuille).</w:t>
      </w:r>
    </w:p>
    <w:p>
      <w:pPr>
        <w:spacing w:after="200" w:line="300"/>
        <w:jc w:val="both"/>
      </w:pPr>
      <w:r>
        <w:rPr>
          <w:rFonts w:ascii="Times New Roman" w:cs="Times New Roman" w:eastAsia="Times New Roman" w:hAnsi="Times New Roman"/>
          <w:sz w:val="24"/>
          <w:szCs w:val="24"/>
        </w:rPr>
        <w:t xml:space="preserve">LIME approxime localement le modèle complexe par un modèle linéaire simple autour d'un point d'intérêt ; l'explication provient alors des coefficients du modèle interprétable, pondérés par la proximité des exemples perturbés par rapport à l'instance d'origine.</w:t>
      </w:r>
    </w:p>
    <w:p>
      <w:pPr>
        <w:spacing w:after="200" w:line="300"/>
        <w:jc w:val="both"/>
      </w:pPr>
      <w:r>
        <w:rPr>
          <w:rFonts w:ascii="Times New Roman" w:cs="Times New Roman" w:eastAsia="Times New Roman" w:hAnsi="Times New Roman"/>
          <w:sz w:val="24"/>
          <w:szCs w:val="24"/>
        </w:rPr>
        <w:t xml:space="preserve">Dans l'architecture retenue, après le calcul du score par XGBoost, une couche XAI est déclenchée pour générer une explication locale (les caractéristiques qui augmentent ou diminuent le plus le risque), une justification synthétique transformable en texte par le pipeline RAG décrit au point 3.2.7.6, ainsi que des objets traçables — version du modèle, date, caractéristiques utilisées — stockés afin d'assurer la reproductibilité des décisions et de permettre des rapports d'audit ultérieurs.</w:t>
      </w:r>
    </w:p>
    <w:p>
      <w:pPr>
        <w:pStyle w:val="Heading4"/>
        <w:spacing w:after="120" w:before="200"/>
      </w:pPr>
      <w:r>
        <w:rPr>
          <w:rFonts w:ascii="Times New Roman" w:cs="Times New Roman" w:eastAsia="Times New Roman" w:hAnsi="Times New Roman"/>
          <w:b/>
          <w:bCs/>
          <w:i/>
          <w:iCs/>
          <w:sz w:val="24"/>
          <w:szCs w:val="24"/>
        </w:rPr>
        <w:t xml:space="preserve">3.2.7.5. Gestion de la persistance de session USSD (Redis &amp; MySQL)</w:t>
      </w:r>
    </w:p>
    <w:p>
      <w:pPr>
        <w:spacing w:after="200" w:line="300"/>
        <w:jc w:val="both"/>
      </w:pPr>
      <w:r>
        <w:rPr>
          <w:rFonts w:ascii="Times New Roman" w:cs="Times New Roman" w:eastAsia="Times New Roman" w:hAnsi="Times New Roman"/>
          <w:sz w:val="24"/>
          <w:szCs w:val="24"/>
        </w:rPr>
        <w:t xml:space="preserve">Le protocole USSD étant stateless côté réseau, la continuité de l'interaction doit être reconstruite côté application. L'architecture retenue est hybride : Redis stocke l'état de session à court terme (clé par identifiant MSISDN ou session, structure d'état, durée de vie limitée), tandis que MySQL conserve l'historique durable (sessions, actions, demandes, journaux), utile pour l'audit et l'analyse a posteriori.</w:t>
      </w:r>
    </w:p>
    <w:p>
      <w:pPr>
        <w:spacing w:after="200" w:line="300"/>
        <w:jc w:val="both"/>
      </w:pPr>
      <w:r>
        <w:rPr>
          <w:rFonts w:ascii="Times New Roman" w:cs="Times New Roman" w:eastAsia="Times New Roman" w:hAnsi="Times New Roman"/>
          <w:sz w:val="24"/>
          <w:szCs w:val="24"/>
        </w:rPr>
        <w:t xml:space="preserve">Le déroulement type est le suivant : l'utilisateur compose le code USSD et envoie une entrée ; l'API récupère l'état en Redis ou initialise une nouvelle session ; l'application calcule l'étape suivante au moyen d'une machine à états ; la réponse est renvoyée au client et l'état est mis à jour avec une durée de vie limitée. Cette solution réduit la latence perçue par l'utilisateur, tout en assurant la persistance et la traçabilité requise pour le reporting réglementaire.</w:t>
      </w:r>
    </w:p>
    <w:p>
      <w:pPr>
        <w:pStyle w:val="Heading4"/>
        <w:spacing w:after="120" w:before="200"/>
      </w:pPr>
      <w:r>
        <w:rPr>
          <w:rFonts w:ascii="Times New Roman" w:cs="Times New Roman" w:eastAsia="Times New Roman" w:hAnsi="Times New Roman"/>
          <w:b/>
          <w:bCs/>
          <w:i/>
          <w:iCs/>
          <w:sz w:val="24"/>
          <w:szCs w:val="24"/>
        </w:rPr>
        <w:t xml:space="preserve">3.2.7.6. Configuration du pipeline RAG pour la génération de rapports financiers</w:t>
      </w:r>
    </w:p>
    <w:p>
      <w:pPr>
        <w:spacing w:after="200" w:line="300"/>
        <w:jc w:val="both"/>
      </w:pPr>
      <w:r>
        <w:rPr>
          <w:rFonts w:ascii="Times New Roman" w:cs="Times New Roman" w:eastAsia="Times New Roman" w:hAnsi="Times New Roman"/>
          <w:sz w:val="24"/>
          <w:szCs w:val="24"/>
        </w:rPr>
        <w:t xml:space="preserve">La génération de rapports financiers et de mémos de crédit s'appuie sur un pipeline RAG (Retrieval-Augmented Generation), conformément au cadre théorique présenté au point 1.2.4, afin de produire un texte fiable fondé sur des données internes — transactions agrégées, profils, historiques.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Préparation des sources : </w:t>
      </w:r>
      <w:r>
        <w:rPr>
          <w:rFonts w:ascii="Times New Roman" w:cs="Times New Roman" w:eastAsia="Times New Roman" w:hAnsi="Times New Roman"/>
          <w:sz w:val="24"/>
          <w:szCs w:val="24"/>
        </w:rPr>
        <w:t xml:space="preserve">agrégation des transactions par période et résumé des indicateurs (entrées/sorties, stabilité, tendances).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Indexation : </w:t>
      </w:r>
      <w:r>
        <w:rPr>
          <w:rFonts w:ascii="Times New Roman" w:cs="Times New Roman" w:eastAsia="Times New Roman" w:hAnsi="Times New Roman"/>
          <w:sz w:val="24"/>
          <w:szCs w:val="24"/>
        </w:rPr>
        <w:t xml:space="preserve">découpage des contenus en blocs sémantiques (chunking), calcul d'embeddings et stockage dans un index vectoriel (pgvector).</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Retrieval : </w:t>
      </w:r>
      <w:r>
        <w:rPr>
          <w:rFonts w:ascii="Times New Roman" w:cs="Times New Roman" w:eastAsia="Times New Roman" w:hAnsi="Times New Roman"/>
          <w:sz w:val="24"/>
          <w:szCs w:val="24"/>
        </w:rPr>
        <w:t xml:space="preserve">sélection des passages les plus pertinents (top-k) avec filtres (client, période, type de document).</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Génération : </w:t>
      </w:r>
      <w:r>
        <w:rPr>
          <w:rFonts w:ascii="Times New Roman" w:cs="Times New Roman" w:eastAsia="Times New Roman" w:hAnsi="Times New Roman"/>
          <w:sz w:val="24"/>
          <w:szCs w:val="24"/>
        </w:rPr>
        <w:t xml:space="preserve">un modèle de génération rédige le rapport en s'appuyant uniquement sur le contexte récupéré et un gabarit fixe (profil, flux, stabilité, risques, recommandations).</w:t>
      </w:r>
    </w:p>
    <w:p>
      <w:pPr>
        <w:pStyle w:val="ListParagraph"/>
        <w:numPr>
          <w:ilvl w:val="0"/>
          <w:numId w:val="1"/>
        </w:numPr>
        <w:spacing w:after="140" w:line="290"/>
        <w:jc w:val="both"/>
      </w:pPr>
      <w:r>
        <w:rPr>
          <w:rFonts w:ascii="Times New Roman" w:cs="Times New Roman" w:eastAsia="Times New Roman" w:hAnsi="Times New Roman"/>
          <w:b/>
          <w:bCs/>
          <w:sz w:val="24"/>
          <w:szCs w:val="24"/>
        </w:rPr>
        <w:t xml:space="preserve">Garde-fous : </w:t>
      </w:r>
      <w:r>
        <w:rPr>
          <w:rFonts w:ascii="Times New Roman" w:cs="Times New Roman" w:eastAsia="Times New Roman" w:hAnsi="Times New Roman"/>
          <w:sz w:val="24"/>
          <w:szCs w:val="24"/>
        </w:rPr>
        <w:t xml:space="preserve">contrôle de cohérence entre les chiffres du rapport et les agrégats sources, limitation des affirmations non sourcées.</w:t>
      </w:r>
    </w:p>
    <w:p>
      <w:pPr>
        <w:spacing w:after="200" w:line="300"/>
        <w:jc w:val="both"/>
      </w:pPr>
      <w:r>
        <w:rPr>
          <w:rFonts w:ascii="Times New Roman" w:cs="Times New Roman" w:eastAsia="Times New Roman" w:hAnsi="Times New Roman"/>
          <w:sz w:val="24"/>
          <w:szCs w:val="24"/>
        </w:rPr>
        <w:t xml:space="preserve">Le résultat est un rapport structuré, utile à l'agent de crédit pour l'analyse du dossier et conforme à l'hypothèse H3 d'absence d'hallucinations factuelles formulée au point 0.3.</w:t>
      </w:r>
    </w:p>
    <w:p>
      <w:pPr>
        <w:pStyle w:val="Heading2"/>
        <w:spacing w:after="180" w:before="320"/>
      </w:pPr>
      <w:r>
        <w:rPr>
          <w:rFonts w:ascii="Times New Roman" w:cs="Times New Roman" w:eastAsia="Times New Roman" w:hAnsi="Times New Roman"/>
          <w:b/>
          <w:bCs/>
          <w:color w:val="1F3864"/>
          <w:sz w:val="28"/>
          <w:szCs w:val="28"/>
        </w:rPr>
        <w:t xml:space="preserve">3.3. Transition</w:t>
      </w:r>
    </w:p>
    <w:p>
      <w:pPr>
        <w:spacing w:after="200" w:line="300"/>
        <w:jc w:val="both"/>
      </w:pPr>
      <w:r>
        <w:rPr>
          <w:rFonts w:ascii="Times New Roman" w:cs="Times New Roman" w:eastAsia="Times New Roman" w:hAnsi="Times New Roman"/>
          <w:sz w:val="24"/>
          <w:szCs w:val="24"/>
        </w:rPr>
        <w:t xml:space="preserve">La phase de Transition prépare le passage du prototype vers un environnement d'exécution démontrable et évaluable, dans les limites du Proof of Concept définies au point 0.7.</w:t>
      </w:r>
    </w:p>
    <w:p>
      <w:pPr>
        <w:pStyle w:val="Heading3"/>
        <w:spacing w:after="150" w:before="260"/>
      </w:pPr>
      <w:r>
        <w:rPr>
          <w:rFonts w:ascii="Times New Roman" w:cs="Times New Roman" w:eastAsia="Times New Roman" w:hAnsi="Times New Roman"/>
          <w:b/>
          <w:bCs/>
          <w:i w:val="false"/>
          <w:iCs w:val="false"/>
          <w:sz w:val="26"/>
          <w:szCs w:val="26"/>
        </w:rPr>
        <w:t xml:space="preserve">3.3.1. Diagramme de déploiement</w:t>
      </w:r>
    </w:p>
    <w:p>
      <w:pPr>
        <w:spacing w:after="200" w:line="300"/>
        <w:jc w:val="both"/>
      </w:pPr>
      <w:r>
        <w:rPr>
          <w:rFonts w:ascii="Times New Roman" w:cs="Times New Roman" w:eastAsia="Times New Roman" w:hAnsi="Times New Roman"/>
          <w:sz w:val="24"/>
          <w:szCs w:val="24"/>
        </w:rPr>
        <w:t xml:space="preserve">Conformément à la délimitation technique du point 0.7, le prototype est conteneurisé et déployé localement. La figure 14 présente l'organisation des conteneurs applicatifs (API REST, worker asynchrone), des services de données (MySQL, Redis, pgvector) et des services d'intelligence artificielle (modèle XGBoost sérialisé, service de génération RAG).</w:t>
      </w:r>
    </w:p>
    <w:p>
      <w:pPr>
        <w:spacing w:after="80" w:before="200"/>
        <w:jc w:val="center"/>
      </w:pPr>
      <w:r>
        <w:drawing>
          <wp:inline distT="0" distB="0" distL="0" distR="0">
            <wp:extent cx="5762625"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886200"/>
                    </a:xfrm>
                    <a:prstGeom prst="rect">
                      <a:avLst/>
                    </a:prstGeom>
                  </pic:spPr>
                </pic:pic>
              </a:graphicData>
            </a:graphic>
          </wp:inline>
        </w:drawing>
      </w:r>
    </w:p>
    <w:p>
      <w:pPr>
        <w:spacing w:after="260"/>
        <w:jc w:val="center"/>
      </w:pPr>
      <w:r>
        <w:rPr>
          <w:rFonts w:ascii="Times New Roman" w:cs="Times New Roman" w:eastAsia="Times New Roman" w:hAnsi="Times New Roman"/>
          <w:i/>
          <w:iCs/>
          <w:sz w:val="21"/>
          <w:szCs w:val="21"/>
        </w:rPr>
        <w:t xml:space="preserve">Figure 14 — Diagramme de déploiement — architecture réseau conteneurisée</w:t>
      </w:r>
    </w:p>
    <w:p>
      <w:pPr>
        <w:pStyle w:val="Heading3"/>
        <w:spacing w:after="150" w:before="260"/>
      </w:pPr>
      <w:r>
        <w:rPr>
          <w:rFonts w:ascii="Times New Roman" w:cs="Times New Roman" w:eastAsia="Times New Roman" w:hAnsi="Times New Roman"/>
          <w:b/>
          <w:bCs/>
          <w:i w:val="false"/>
          <w:iCs w:val="false"/>
          <w:sz w:val="26"/>
          <w:szCs w:val="26"/>
        </w:rPr>
        <w:t xml:space="preserve">3.3.2. Mise en production</w:t>
      </w:r>
    </w:p>
    <w:p>
      <w:pPr>
        <w:spacing w:after="200" w:line="300"/>
        <w:jc w:val="both"/>
      </w:pPr>
      <w:r>
        <w:rPr>
          <w:rFonts w:ascii="Times New Roman" w:cs="Times New Roman" w:eastAsia="Times New Roman" w:hAnsi="Times New Roman"/>
          <w:sz w:val="24"/>
          <w:szCs w:val="24"/>
        </w:rPr>
        <w:t xml:space="preserve">Conformément au périmètre du prototype (point 0.7), la mise en production de ce travail consiste en un déploiement de démonstration : conteneurisation de l'ensemble des services (API REST, worker asynchrone, MySQL, Redis, pgvector) via des artefacts Docker, exécution sur un environnement de test isolé, et présentation des scénarios critiques — authentification, scoring, décaissement — devant le jury à l'aide de jeux de données alternatifs simulés. Un déploiement en production réelle sur l'infrastructure de la Rawbank supposerait une homologation de sécurité complémentaire (audit ISO/IEC 27001, tests de charge, revue réglementaire par la Banque Centrale du Congo) qui dépasse le périmètre de ce Travail de Fin de Cycle.</w:t>
      </w:r>
    </w:p>
    <w:p>
      <w:pPr>
        <w:pStyle w:val="Heading2"/>
        <w:spacing w:after="180" w:before="320"/>
      </w:pPr>
      <w:r>
        <w:rPr>
          <w:rFonts w:ascii="Times New Roman" w:cs="Times New Roman" w:eastAsia="Times New Roman" w:hAnsi="Times New Roman"/>
          <w:b/>
          <w:bCs/>
          <w:color w:val="1F3864"/>
          <w:sz w:val="28"/>
          <w:szCs w:val="28"/>
        </w:rPr>
        <w:t xml:space="preserve">3.4. Discussion des résultats</w:t>
      </w:r>
    </w:p>
    <w:p>
      <w:pPr>
        <w:spacing w:after="200" w:line="300"/>
        <w:jc w:val="both"/>
      </w:pPr>
      <w:r>
        <w:rPr>
          <w:rFonts w:ascii="Times New Roman" w:cs="Times New Roman" w:eastAsia="Times New Roman" w:hAnsi="Times New Roman"/>
          <w:sz w:val="24"/>
          <w:szCs w:val="24"/>
        </w:rPr>
        <w:t xml:space="preserve">Ce travail se situe au stade de la conception et de la modélisation d'un prototype (cf. délimitation, point 0.7) : les indicateurs quantitatifs associés aux trois hypothèses (aire sous la courbe ROC, cohérence d'explication SHAP/LIME, taux d'hallucination du pipeline RAG) restent à mesurer sur un jeu de données constitué. La discussion qui suit porte donc sur les choix de conception eux-mêmes, comparés à la littérature mobilisée au chapitre 1, plutôt que sur des résultats expérimentaux.</w:t>
      </w:r>
    </w:p>
    <w:p>
      <w:pPr>
        <w:pStyle w:val="Heading3"/>
        <w:spacing w:after="150" w:before="260"/>
      </w:pPr>
      <w:r>
        <w:rPr>
          <w:rFonts w:ascii="Times New Roman" w:cs="Times New Roman" w:eastAsia="Times New Roman" w:hAnsi="Times New Roman"/>
          <w:b/>
          <w:bCs/>
          <w:i w:val="false"/>
          <w:iCs w:val="false"/>
          <w:sz w:val="26"/>
          <w:szCs w:val="26"/>
        </w:rPr>
        <w:t xml:space="preserve">Mise en perspective par rapport aux recherches précédentes</w:t>
      </w:r>
    </w:p>
    <w:p>
      <w:pPr>
        <w:spacing w:after="200" w:line="300"/>
        <w:jc w:val="both"/>
      </w:pPr>
      <w:r>
        <w:rPr>
          <w:rFonts w:ascii="Times New Roman" w:cs="Times New Roman" w:eastAsia="Times New Roman" w:hAnsi="Times New Roman"/>
          <w:sz w:val="24"/>
          <w:szCs w:val="24"/>
        </w:rPr>
        <w:t xml:space="preserve">Les expériences Kifiya et Eshandi (point 1.1.1) démontrent la viabilité du scoring à partir de données alternatives en Afrique, mais sans couche d'explicabilité intégrée dès la conception. L'architecture retenue ici reprend leur principe — remplacer la garantie physique par le comportement transactionnel — en y ajoutant SHAP et LIME comme composants de premier ordre du pipeline, et non comme un ajout a posteriori. Sur le plan génératif, la littérature consultée [18, 23, 11] rapporte un taux significatif d'hallucinations lorsque des assistants de rédaction financière s'appuient sur des LLM génériques sans ancrage documentaire ; le choix d'une architecture RAG contrainte par des garde-fous de cohérence (point 3.2.7.6) répond directement à cette limite plutôt que de la contourner.</w:t>
      </w:r>
    </w:p>
    <w:p>
      <w:pPr>
        <w:pStyle w:val="Heading3"/>
        <w:spacing w:after="150" w:before="260"/>
      </w:pPr>
      <w:r>
        <w:rPr>
          <w:rFonts w:ascii="Times New Roman" w:cs="Times New Roman" w:eastAsia="Times New Roman" w:hAnsi="Times New Roman"/>
          <w:b/>
          <w:bCs/>
          <w:i w:val="false"/>
          <w:iCs w:val="false"/>
          <w:sz w:val="26"/>
          <w:szCs w:val="26"/>
        </w:rPr>
        <w:t xml:space="preserve">Implications pratiques ou théoriques</w:t>
      </w:r>
    </w:p>
    <w:p>
      <w:pPr>
        <w:spacing w:after="200" w:line="300"/>
        <w:jc w:val="both"/>
      </w:pPr>
      <w:r>
        <w:rPr>
          <w:rFonts w:ascii="Times New Roman" w:cs="Times New Roman" w:eastAsia="Times New Roman" w:hAnsi="Times New Roman"/>
          <w:sz w:val="24"/>
          <w:szCs w:val="24"/>
        </w:rPr>
        <w:t xml:space="preserve">Sur le plan pratique, la conception proposée permet à un agent de crédit de disposer, pour chaque dossier, d'un score, d'une explication et d'un mémo rédigé automatiquement, ce qui devrait réduire la part de traitement manuel par rapport à l'existant décrit au point 2.2.1.a. Sur le plan théorique, ce travail illustre qu'une architecture logicielle peut faire coexister un moteur de règles déterministe, un classifieur supervisé et une couche générative sans que l'un masque la logique des deux autres — une articulation que la littérature sur le scoring alternatif documente rarement dans son ensemble, la plupart des travaux cités au chapitre 1 traitant séparément le scoring, l'explicabilité ou la génération de texte.</w:t>
      </w:r>
    </w:p>
    <w:p>
      <w:pPr>
        <w:pStyle w:val="Heading3"/>
        <w:spacing w:after="150" w:before="260"/>
      </w:pPr>
      <w:r>
        <w:rPr>
          <w:rFonts w:ascii="Times New Roman" w:cs="Times New Roman" w:eastAsia="Times New Roman" w:hAnsi="Times New Roman"/>
          <w:b/>
          <w:bCs/>
          <w:i w:val="false"/>
          <w:iCs w:val="false"/>
          <w:sz w:val="26"/>
          <w:szCs w:val="26"/>
        </w:rPr>
        <w:t xml:space="preserve">Points forts et faiblesses du travail</w:t>
      </w:r>
    </w:p>
    <w:p>
      <w:pPr>
        <w:spacing w:after="200" w:line="300"/>
        <w:jc w:val="both"/>
      </w:pPr>
      <w:r>
        <w:rPr>
          <w:rFonts w:ascii="Times New Roman" w:cs="Times New Roman" w:eastAsia="Times New Roman" w:hAnsi="Times New Roman"/>
          <w:sz w:val="24"/>
          <w:szCs w:val="24"/>
        </w:rPr>
        <w:t xml:space="preserve">Le principal point fort de cette conception tient à sa cohérence de bout en bout : les diagrammes du chapitre 2 (cas d'utilisation, séquence, collaboration) et ceux du chapitre 3 (classes, composants, déploiement) décrivent le même système sans rupture de vocabulaire ni d'architecture, ce qui facilitera l'implémentation. La matrice RBAC (point 2.4) borne clairement qui peut voir et modifier quoi, ce qui répond à une exigence réglementaire réelle du secteur bancaire plutôt qu'à une contrainte artificielle.</w:t>
      </w:r>
    </w:p>
    <w:p>
      <w:pPr>
        <w:spacing w:after="200" w:line="300"/>
        <w:jc w:val="both"/>
      </w:pPr>
      <w:r>
        <w:rPr>
          <w:rFonts w:ascii="Times New Roman" w:cs="Times New Roman" w:eastAsia="Times New Roman" w:hAnsi="Times New Roman"/>
          <w:sz w:val="24"/>
          <w:szCs w:val="24"/>
        </w:rPr>
        <w:t xml:space="preserve">La faiblesse principale est symétrique de cette cohérence : le modèle n'a pas encore été confronté à des données réelles ou même à un jeu de données simulé de taille représentative. Les hyperparamètres du tableau 6 sont ceux généralement recommandés dans la littérature pour ce type de problème, pas ceux issus d'une recherche en grille sur les données de ce projet précis. De la même façon, le seuil de 1 % de taux d'hallucination fixé par l'hypothèse H3 est une cible, pas une mesure.</w:t>
      </w:r>
    </w:p>
    <w:p>
      <w:pPr>
        <w:pStyle w:val="Heading3"/>
        <w:spacing w:after="150" w:before="260"/>
      </w:pPr>
      <w:r>
        <w:rPr>
          <w:rFonts w:ascii="Times New Roman" w:cs="Times New Roman" w:eastAsia="Times New Roman" w:hAnsi="Times New Roman"/>
          <w:b/>
          <w:bCs/>
          <w:i w:val="false"/>
          <w:iCs w:val="false"/>
          <w:sz w:val="26"/>
          <w:szCs w:val="26"/>
        </w:rPr>
        <w:t xml:space="preserve">Limitations et possibilités d'amélioration</w:t>
      </w:r>
    </w:p>
    <w:p>
      <w:pPr>
        <w:spacing w:after="200" w:line="300"/>
        <w:jc w:val="both"/>
      </w:pPr>
      <w:r>
        <w:rPr>
          <w:rFonts w:ascii="Times New Roman" w:cs="Times New Roman" w:eastAsia="Times New Roman" w:hAnsi="Times New Roman"/>
          <w:sz w:val="24"/>
          <w:szCs w:val="24"/>
        </w:rPr>
        <w:t xml:space="preserve">Trois limitations méritent d'être nommées. D'abord, l'absence de données réelles de la Rawbank, pour les raisons de confidentialité exposées au point 0.7, oblige à travailler sur des données simulées dont la représentativité reste à démontrer. Ensuite, la couche d'explicabilité (SHAP et LIME) n'a pas encore été évaluée du point de vue de sa lisibilité par un agent de crédit sans formation en science des données — un test utilisateur serait nécessaire avant tout déploiement. Enfin, le pipeline RAG dépend de la qualité et de la mise à jour des documents de politique interne indexés dans la base vectorielle ; une politique non indexée ou obsolète produirait un mémo incomplet plutôt qu'une hallucination, ce qui est préférable mais reste une limite à documenter pour l'utilisateur final.</w:t>
      </w:r>
    </w:p>
    <w:p>
      <w:pPr>
        <w:pStyle w:val="Heading3"/>
        <w:spacing w:after="150" w:before="260"/>
      </w:pPr>
      <w:r>
        <w:rPr>
          <w:rFonts w:ascii="Times New Roman" w:cs="Times New Roman" w:eastAsia="Times New Roman" w:hAnsi="Times New Roman"/>
          <w:b/>
          <w:bCs/>
          <w:i w:val="false"/>
          <w:iCs w:val="false"/>
          <w:sz w:val="26"/>
          <w:szCs w:val="26"/>
        </w:rPr>
        <w:t xml:space="preserve">Perspectives futures</w:t>
      </w:r>
    </w:p>
    <w:p>
      <w:pPr>
        <w:spacing w:after="200" w:line="300"/>
        <w:jc w:val="both"/>
      </w:pPr>
      <w:r>
        <w:rPr>
          <w:rFonts w:ascii="Times New Roman" w:cs="Times New Roman" w:eastAsia="Times New Roman" w:hAnsi="Times New Roman"/>
          <w:sz w:val="24"/>
          <w:szCs w:val="24"/>
        </w:rPr>
        <w:t xml:space="preserve">La suite naturelle de ce travail est l'implémentation complète du prototype décrit au chapitre 3, suivie d'une campagne de tests sur un jeu de données alternatif constitué, pour mesurer effectivement les trois hypothèses du point 0.3. À plus long terme, une intégration réelle avec illicocash impliquerait une homologation de sécurité (cf. point 3.3.2) et une collaboration avec les équipes conformité de la Rawbank pour valider les seuils de décision retenus par le moteur de règles.</w:t>
      </w:r>
    </w:p>
    <w:p>
      <w:pPr>
        <w:pStyle w:val="Heading1"/>
        <w:pageBreakBefore/>
        <w:spacing w:after="240" w:before="400"/>
      </w:pPr>
      <w:r>
        <w:rPr>
          <w:rFonts w:ascii="Times New Roman" w:cs="Times New Roman" w:eastAsia="Times New Roman" w:hAnsi="Times New Roman"/>
          <w:b/>
          <w:bCs/>
          <w:color w:val="1F3864"/>
          <w:sz w:val="32"/>
          <w:szCs w:val="32"/>
        </w:rPr>
        <w:t xml:space="preserve">CONCLUSION GÉNÉRALE</w:t>
      </w:r>
    </w:p>
    <w:p>
      <w:pPr>
        <w:spacing w:after="200" w:line="300"/>
        <w:jc w:val="both"/>
      </w:pPr>
      <w:r>
        <w:rPr>
          <w:rFonts w:ascii="Times New Roman" w:cs="Times New Roman" w:eastAsia="Times New Roman" w:hAnsi="Times New Roman"/>
          <w:sz w:val="24"/>
          <w:szCs w:val="24"/>
        </w:rPr>
        <w:t xml:space="preserve">Ce travail a proposé la conception et la modélisation d'une plateforme FinTech distribuée pour la Rawbank, permettant l'octroi automatisé de micro-crédits à partir de données comportementales alternatives issues du Mobile Money et de l'épargne numérique virtuelle. Face à la problématique posée au point 0.2, ce mémoire a apporté une réponse structurée en trois chapitres, conformément au canevas annoncé au point 0.8.</w:t>
      </w:r>
    </w:p>
    <w:p>
      <w:pPr>
        <w:spacing w:after="200" w:line="300"/>
        <w:jc w:val="both"/>
      </w:pPr>
      <w:r>
        <w:rPr>
          <w:rFonts w:ascii="Times New Roman" w:cs="Times New Roman" w:eastAsia="Times New Roman" w:hAnsi="Times New Roman"/>
          <w:sz w:val="24"/>
          <w:szCs w:val="24"/>
        </w:rPr>
        <w:t xml:space="preserve">Le chapitre 1 a mobilisé la littérature empirique (Kifiya, Eshandi) et théorique (régression logistique, XGBoost, SHAP/LIME, architecture RAG) pour fonder le cadre conceptuel de l'étude. Le chapitre 2 a traduit ce cadre en modélisation UML selon les phases Inception et Élaboration du Processus Unifié, en partant d'une analyse plus détaillée du système illicocash existant, avant de poser les diagrammes de contexte, de cas d'utilisation, de séquence et de collaboration, ainsi que les exigences fonctionnelles, non fonctionnelles et la matrice d'habilitation des rôles. Le chapitre 3 a poursuivi cette modélisation à travers les phases Construction et Transition — diagrammes de classes, d'objets, d'activités, de composants et d'états-transitions, spécification du moteur de scoring et du pipeline RAG, diagramme de déploiement — puis a discuté les choix retenus au regard de la littérature du chapitre 1.</w:t>
      </w:r>
    </w:p>
    <w:p>
      <w:pPr>
        <w:spacing w:after="200" w:line="300"/>
        <w:jc w:val="both"/>
      </w:pPr>
      <w:r>
        <w:rPr>
          <w:rFonts w:ascii="Times New Roman" w:cs="Times New Roman" w:eastAsia="Times New Roman" w:hAnsi="Times New Roman"/>
          <w:sz w:val="24"/>
          <w:szCs w:val="24"/>
        </w:rPr>
        <w:t xml:space="preserve">Sur le plan des hypothèses formulées au point 0.3, la conception proposée pose les fondations de leur vérification empirique : l'architecture de features Mobile Money et le choix du classifieur XGBoost visent l'aire sous la courbe ROC ciblée par H1 ; l'intégration conjointe de SHAP et de LIME dans le diagramme de composants répond à l'exigence de cohérence d'explication de H2 ; le pipeline RAG, avec ses garde-fous de génération contrainte, opérationnalise l'exigence d'absence d'hallucinations factuelles de H3. Conformément à la délimitation technique retenue au point 0.7, ce document reste un travail de conception de haut niveau : la mesure effective de ces trois hypothèses suppose l'implémentation complète du prototype et une campagne de tests, qui prolongeront ce mémoire dans un chapitre de résultats à venir.</w:t>
      </w:r>
    </w:p>
    <w:p>
      <w:pPr>
        <w:spacing w:after="200" w:line="300"/>
        <w:jc w:val="both"/>
      </w:pPr>
      <w:r>
        <w:rPr>
          <w:rFonts w:ascii="Times New Roman" w:cs="Times New Roman" w:eastAsia="Times New Roman" w:hAnsi="Times New Roman"/>
          <w:sz w:val="24"/>
          <w:szCs w:val="24"/>
        </w:rPr>
        <w:t xml:space="preserve">Ce travail montre enfin qu'un projet de Génie Logiciel peut articuler gestion de projet agile, modélisation par le Processus Unifié et intégration de composants d'intelligence artificielle explicable et générative au sein d'une même architecture, auditable et conforme aux exigences du secteur bancaire congolais — sans que l'un de ces registres prenne le pas sur les deux autres.</w:t>
      </w:r>
    </w:p>
    <w:p>
      <w:pPr>
        <w:pStyle w:val="Heading1"/>
        <w:pageBreakBefore/>
        <w:spacing w:after="240" w:before="400"/>
      </w:pPr>
      <w:r>
        <w:rPr>
          <w:rFonts w:ascii="Times New Roman" w:cs="Times New Roman" w:eastAsia="Times New Roman" w:hAnsi="Times New Roman"/>
          <w:b/>
          <w:bCs/>
          <w:color w:val="1F3864"/>
          <w:sz w:val="32"/>
          <w:szCs w:val="32"/>
        </w:rPr>
        <w:t xml:space="preserve">BIBLIOGRAPHIE ET WEBIOGRAPHIE</w:t>
      </w:r>
    </w:p>
    <w:p>
      <w:pPr>
        <w:spacing w:after="200" w:line="300"/>
        <w:jc w:val="both"/>
      </w:pPr>
      <w:r>
        <w:rPr>
          <w:rFonts w:ascii="Times New Roman" w:cs="Times New Roman" w:eastAsia="Times New Roman" w:hAnsi="Times New Roman"/>
          <w:sz w:val="24"/>
          <w:szCs w:val="24"/>
        </w:rPr>
        <w:t xml:space="preserve">Les références ci-dessous sont classées par ordre alphabétique. Seules les sources effectivement mobilisées dans le texte sont conservées ; le numéro entre crochets placé après chaque énoncé, dans le corps du document, renvoie au numéro correspondant dans cette liste.</w:t>
      </w:r>
    </w:p>
    <w:p>
      <w:pPr>
        <w:spacing w:after="140" w:line="280"/>
        <w:jc w:val="both"/>
      </w:pPr>
      <w:r>
        <w:rPr>
          <w:rFonts w:ascii="Times New Roman" w:cs="Times New Roman" w:eastAsia="Times New Roman" w:hAnsi="Times New Roman"/>
          <w:sz w:val="21"/>
          <w:szCs w:val="21"/>
        </w:rPr>
        <w:t xml:space="preserve">[1] African Scientific Journal. Inclusion financière en RDC : facteur déterminant et apport du Mobile Money. africanscientificjournal.com.</w:t>
      </w:r>
    </w:p>
    <w:p>
      <w:pPr>
        <w:spacing w:after="140" w:line="280"/>
        <w:jc w:val="both"/>
      </w:pPr>
      <w:r>
        <w:rPr>
          <w:rFonts w:ascii="Times New Roman" w:cs="Times New Roman" w:eastAsia="Times New Roman" w:hAnsi="Times New Roman"/>
          <w:sz w:val="21"/>
          <w:szCs w:val="21"/>
        </w:rPr>
        <w:t xml:space="preserve">[2] Alliance for Financial Inclusion. Alternative Data for Credit Scoring. afi-global.org.</w:t>
      </w:r>
    </w:p>
    <w:p>
      <w:pPr>
        <w:spacing w:after="140" w:line="280"/>
        <w:jc w:val="both"/>
      </w:pPr>
      <w:r>
        <w:rPr>
          <w:rFonts w:ascii="Times New Roman" w:cs="Times New Roman" w:eastAsia="Times New Roman" w:hAnsi="Times New Roman"/>
          <w:sz w:val="21"/>
          <w:szCs w:val="21"/>
        </w:rPr>
        <w:t xml:space="preserve">[3] Alliance for Financial Inclusion. Modèle de politique pour le genre et l'inclusion financière. afi-global.org.</w:t>
      </w:r>
    </w:p>
    <w:p>
      <w:pPr>
        <w:spacing w:after="140" w:line="280"/>
        <w:jc w:val="both"/>
      </w:pPr>
      <w:r>
        <w:rPr>
          <w:rFonts w:ascii="Times New Roman" w:cs="Times New Roman" w:eastAsia="Times New Roman" w:hAnsi="Times New Roman"/>
          <w:sz w:val="21"/>
          <w:szCs w:val="21"/>
        </w:rPr>
        <w:t xml:space="preserve">[4] Apple App Store. illicocash. apps.apple.com.</w:t>
      </w:r>
    </w:p>
    <w:p>
      <w:pPr>
        <w:spacing w:after="140" w:line="280"/>
        <w:jc w:val="both"/>
      </w:pPr>
      <w:r>
        <w:rPr>
          <w:rFonts w:ascii="Times New Roman" w:cs="Times New Roman" w:eastAsia="Times New Roman" w:hAnsi="Times New Roman"/>
          <w:sz w:val="21"/>
          <w:szCs w:val="21"/>
        </w:rPr>
        <w:t xml:space="preserve">[5] arXiv. Enhancing ML Models Interpretability for Credit Scoring. arxiv.org/pdf/2509.11389.</w:t>
      </w:r>
    </w:p>
    <w:p>
      <w:pPr>
        <w:spacing w:after="140" w:line="280"/>
        <w:jc w:val="both"/>
      </w:pPr>
      <w:r>
        <w:rPr>
          <w:rFonts w:ascii="Times New Roman" w:cs="Times New Roman" w:eastAsia="Times New Roman" w:hAnsi="Times New Roman"/>
          <w:sz w:val="21"/>
          <w:szCs w:val="21"/>
        </w:rPr>
        <w:t xml:space="preserve">[6] arXiv. Explainable Artificial Intelligence Credit Risk Assessment using Machine Learning. arxiv.org/html/2506.19383v1.</w:t>
      </w:r>
    </w:p>
    <w:p>
      <w:pPr>
        <w:spacing w:after="140" w:line="280"/>
        <w:jc w:val="both"/>
      </w:pPr>
      <w:r>
        <w:rPr>
          <w:rFonts w:ascii="Times New Roman" w:cs="Times New Roman" w:eastAsia="Times New Roman" w:hAnsi="Times New Roman"/>
          <w:sz w:val="21"/>
          <w:szCs w:val="21"/>
        </w:rPr>
        <w:t xml:space="preserve">[7] arXiv. Fair and Explainable Credit-Scoring under Concept Drift: Adaptive Explanation Frameworks for Evolving Populations. arxiv.org/pdf/2511.03807.</w:t>
      </w:r>
    </w:p>
    <w:p>
      <w:pPr>
        <w:spacing w:after="140" w:line="280"/>
        <w:jc w:val="both"/>
      </w:pPr>
      <w:r>
        <w:rPr>
          <w:rFonts w:ascii="Times New Roman" w:cs="Times New Roman" w:eastAsia="Times New Roman" w:hAnsi="Times New Roman"/>
          <w:sz w:val="21"/>
          <w:szCs w:val="21"/>
        </w:rPr>
        <w:t xml:space="preserve">[8] arXiv. Interpretable LLMs for Credit Risk: A Systematic Review and Taxonomy. arxiv.org/html/2506.04290v2.</w:t>
      </w:r>
    </w:p>
    <w:p>
      <w:pPr>
        <w:spacing w:after="140" w:line="280"/>
        <w:jc w:val="both"/>
      </w:pPr>
      <w:r>
        <w:rPr>
          <w:rFonts w:ascii="Times New Roman" w:cs="Times New Roman" w:eastAsia="Times New Roman" w:hAnsi="Times New Roman"/>
          <w:sz w:val="21"/>
          <w:szCs w:val="21"/>
        </w:rPr>
        <w:t xml:space="preserve">[9] arXiv. Unlocking the Black Box: A Five-Dimensional Framework for Evaluating Explainable AI in Credit Risk. arxiv.org/html/2511.04980v1.</w:t>
      </w:r>
    </w:p>
    <w:p>
      <w:pPr>
        <w:spacing w:after="140" w:line="280"/>
        <w:jc w:val="both"/>
      </w:pPr>
      <w:r>
        <w:rPr>
          <w:rFonts w:ascii="Times New Roman" w:cs="Times New Roman" w:eastAsia="Times New Roman" w:hAnsi="Times New Roman"/>
          <w:sz w:val="21"/>
          <w:szCs w:val="21"/>
        </w:rPr>
        <w:t xml:space="preserve">[10] Azilen Technologies. RAG for Financial Services for Faster &amp; Smarter Workflows. azilen.com.</w:t>
      </w:r>
    </w:p>
    <w:p>
      <w:pPr>
        <w:spacing w:after="140" w:line="280"/>
        <w:jc w:val="both"/>
      </w:pPr>
      <w:r>
        <w:rPr>
          <w:rFonts w:ascii="Times New Roman" w:cs="Times New Roman" w:eastAsia="Times New Roman" w:hAnsi="Times New Roman"/>
          <w:sz w:val="21"/>
          <w:szCs w:val="21"/>
        </w:rPr>
        <w:t xml:space="preserve">[11] Backbase. 10 generative AI use cases in banking (2026 guide). backbase.com.</w:t>
      </w:r>
    </w:p>
    <w:p>
      <w:pPr>
        <w:spacing w:after="140" w:line="280"/>
        <w:jc w:val="both"/>
      </w:pPr>
      <w:r>
        <w:rPr>
          <w:rFonts w:ascii="Times New Roman" w:cs="Times New Roman" w:eastAsia="Times New Roman" w:hAnsi="Times New Roman"/>
          <w:sz w:val="21"/>
          <w:szCs w:val="21"/>
        </w:rPr>
        <w:t xml:space="preserve">[12] Banque mondiale. Inclusion financière — Vue d'ensemble. banquemondiale.org/fr/topic/financialinclusion/overview.</w:t>
      </w:r>
    </w:p>
    <w:p>
      <w:pPr>
        <w:spacing w:after="140" w:line="280"/>
        <w:jc w:val="both"/>
      </w:pPr>
      <w:r>
        <w:rPr>
          <w:rFonts w:ascii="Times New Roman" w:cs="Times New Roman" w:eastAsia="Times New Roman" w:hAnsi="Times New Roman"/>
          <w:sz w:val="21"/>
          <w:szCs w:val="21"/>
        </w:rPr>
        <w:t xml:space="preserve">[13] Digisoft Solution. AI in Banking and Finance: A Technical Guide. digisoftsolution.com.</w:t>
      </w:r>
    </w:p>
    <w:p>
      <w:pPr>
        <w:spacing w:after="140" w:line="280"/>
        <w:jc w:val="both"/>
      </w:pPr>
      <w:r>
        <w:rPr>
          <w:rFonts w:ascii="Times New Roman" w:cs="Times New Roman" w:eastAsia="Times New Roman" w:hAnsi="Times New Roman"/>
          <w:sz w:val="21"/>
          <w:szCs w:val="21"/>
        </w:rPr>
        <w:t xml:space="preserve">[14] Envisioning.io. Alternative Credit Scoring Using Mobile and Transaction Data. envisioning.com.</w:t>
      </w:r>
    </w:p>
    <w:p>
      <w:pPr>
        <w:spacing w:after="140" w:line="280"/>
        <w:jc w:val="both"/>
      </w:pPr>
      <w:r>
        <w:rPr>
          <w:rFonts w:ascii="Times New Roman" w:cs="Times New Roman" w:eastAsia="Times New Roman" w:hAnsi="Times New Roman"/>
          <w:sz w:val="21"/>
          <w:szCs w:val="21"/>
        </w:rPr>
        <w:t xml:space="preserve">[15] IBM. Retrieval Augmented Generation (RAG) — Architecture Patterns. ibm.com/think/architectures/patterns/genai-rag.</w:t>
      </w:r>
    </w:p>
    <w:p>
      <w:pPr>
        <w:spacing w:after="140" w:line="280"/>
        <w:jc w:val="both"/>
      </w:pPr>
      <w:r>
        <w:rPr>
          <w:rFonts w:ascii="Times New Roman" w:cs="Times New Roman" w:eastAsia="Times New Roman" w:hAnsi="Times New Roman"/>
          <w:sz w:val="21"/>
          <w:szCs w:val="21"/>
        </w:rPr>
        <w:t xml:space="preserve">[16] illicocash. FAQ. illicocash.com/en/faq/.</w:t>
      </w:r>
    </w:p>
    <w:p>
      <w:pPr>
        <w:spacing w:after="140" w:line="280"/>
        <w:jc w:val="both"/>
      </w:pPr>
      <w:r>
        <w:rPr>
          <w:rFonts w:ascii="Times New Roman" w:cs="Times New Roman" w:eastAsia="Times New Roman" w:hAnsi="Times New Roman"/>
          <w:sz w:val="21"/>
          <w:szCs w:val="21"/>
        </w:rPr>
        <w:t xml:space="preserve">[17] Indium. How RAG Architecture &amp; LLMs Power Generative AI in Banking and Insurance. indium.tech.</w:t>
      </w:r>
    </w:p>
    <w:p>
      <w:pPr>
        <w:spacing w:after="140" w:line="280"/>
        <w:jc w:val="both"/>
      </w:pPr>
      <w:r>
        <w:rPr>
          <w:rFonts w:ascii="Times New Roman" w:cs="Times New Roman" w:eastAsia="Times New Roman" w:hAnsi="Times New Roman"/>
          <w:sz w:val="21"/>
          <w:szCs w:val="21"/>
        </w:rPr>
        <w:t xml:space="preserve">[18] International Banker. The Future of Corporate Lending: How Generative AI Is Transforming Credit Assessments. internationalbanker.com.</w:t>
      </w:r>
    </w:p>
    <w:p>
      <w:pPr>
        <w:spacing w:after="140" w:line="280"/>
        <w:jc w:val="both"/>
      </w:pPr>
      <w:r>
        <w:rPr>
          <w:rFonts w:ascii="Times New Roman" w:cs="Times New Roman" w:eastAsia="Times New Roman" w:hAnsi="Times New Roman"/>
          <w:sz w:val="21"/>
          <w:szCs w:val="21"/>
        </w:rPr>
        <w:t xml:space="preserve">[19] International Finance Corporation. Rawbank secures major IFC-led financing, backed by other financial partners, to accelerate private sector growth and jobs in the DRC. ifc.org.</w:t>
      </w:r>
    </w:p>
    <w:p>
      <w:pPr>
        <w:spacing w:after="140" w:line="280"/>
        <w:jc w:val="both"/>
      </w:pPr>
      <w:r>
        <w:rPr>
          <w:rFonts w:ascii="Times New Roman" w:cs="Times New Roman" w:eastAsia="Times New Roman" w:hAnsi="Times New Roman"/>
          <w:sz w:val="21"/>
          <w:szCs w:val="21"/>
        </w:rPr>
        <w:t xml:space="preserve">[20] International Journal of Engineering Research &amp; Technology. Behavioral Credit Scoring and Financial Inclusion: Rethinking Risk, Data Ethics and Opportunity in the Age of AI. ijert.org.</w:t>
      </w:r>
    </w:p>
    <w:p>
      <w:pPr>
        <w:spacing w:after="140" w:line="280"/>
        <w:jc w:val="both"/>
      </w:pPr>
      <w:r>
        <w:rPr>
          <w:rFonts w:ascii="Times New Roman" w:cs="Times New Roman" w:eastAsia="Times New Roman" w:hAnsi="Times New Roman"/>
          <w:sz w:val="21"/>
          <w:szCs w:val="21"/>
        </w:rPr>
        <w:t xml:space="preserve">[21] MongoDB. Reducing Bias in Credit Scoring with Generative AI. mongodb.com.</w:t>
      </w:r>
    </w:p>
    <w:p>
      <w:pPr>
        <w:spacing w:after="140" w:line="280"/>
        <w:jc w:val="both"/>
      </w:pPr>
      <w:r>
        <w:rPr>
          <w:rFonts w:ascii="Times New Roman" w:cs="Times New Roman" w:eastAsia="Times New Roman" w:hAnsi="Times New Roman"/>
          <w:sz w:val="21"/>
          <w:szCs w:val="21"/>
        </w:rPr>
        <w:t xml:space="preserve">[22] Multidisciplinary Frontiers. A Credit Scoring System Using Transaction-Level Behavioral Data for MSMEs. multidisciplinaryfrontiers.com.</w:t>
      </w:r>
    </w:p>
    <w:p>
      <w:pPr>
        <w:spacing w:after="140" w:line="280"/>
        <w:jc w:val="both"/>
      </w:pPr>
      <w:r>
        <w:rPr>
          <w:rFonts w:ascii="Times New Roman" w:cs="Times New Roman" w:eastAsia="Times New Roman" w:hAnsi="Times New Roman"/>
          <w:sz w:val="21"/>
          <w:szCs w:val="21"/>
        </w:rPr>
        <w:t xml:space="preserve">[23] PiTech. Generative AI Transforming Banking Risk &amp; Customer Experience. pitechsol.com.</w:t>
      </w:r>
    </w:p>
    <w:p>
      <w:pPr>
        <w:spacing w:after="140" w:line="280"/>
        <w:jc w:val="both"/>
      </w:pPr>
      <w:r>
        <w:rPr>
          <w:rFonts w:ascii="Times New Roman" w:cs="Times New Roman" w:eastAsia="Times New Roman" w:hAnsi="Times New Roman"/>
          <w:sz w:val="21"/>
          <w:szCs w:val="21"/>
        </w:rPr>
        <w:t xml:space="preserve">[24] PMC. SHAP and LIME: An Evaluation of Discriminative Power in Credit Risk. pmc.ncbi.nlm.nih.gov.</w:t>
      </w:r>
    </w:p>
    <w:p>
      <w:pPr>
        <w:spacing w:after="140" w:line="280"/>
        <w:jc w:val="both"/>
      </w:pPr>
      <w:r>
        <w:rPr>
          <w:rFonts w:ascii="Times New Roman" w:cs="Times New Roman" w:eastAsia="Times New Roman" w:hAnsi="Times New Roman"/>
          <w:sz w:val="21"/>
          <w:szCs w:val="21"/>
        </w:rPr>
        <w:t xml:space="preserve">[25] Rawbank. Crédits. rawbank.com/credits/.</w:t>
      </w:r>
    </w:p>
    <w:p>
      <w:pPr>
        <w:spacing w:after="140" w:line="280"/>
        <w:jc w:val="both"/>
      </w:pPr>
      <w:r>
        <w:rPr>
          <w:rFonts w:ascii="Times New Roman" w:cs="Times New Roman" w:eastAsia="Times New Roman" w:hAnsi="Times New Roman"/>
          <w:sz w:val="21"/>
          <w:szCs w:val="21"/>
        </w:rPr>
        <w:t xml:space="preserve">[26] Rawbank. illicocash. rawbank.com/banque-a-distance/illicocash/.</w:t>
      </w:r>
    </w:p>
    <w:p>
      <w:pPr>
        <w:spacing w:after="140" w:line="280"/>
        <w:jc w:val="both"/>
      </w:pPr>
      <w:r>
        <w:rPr>
          <w:rFonts w:ascii="Times New Roman" w:cs="Times New Roman" w:eastAsia="Times New Roman" w:hAnsi="Times New Roman"/>
          <w:sz w:val="21"/>
          <w:szCs w:val="21"/>
        </w:rPr>
        <w:t xml:space="preserve">[27] Rawbank. Le crédit Chez Moi. rawbank.com/credits/credit-chez-moi/.</w:t>
      </w:r>
    </w:p>
    <w:p>
      <w:pPr>
        <w:spacing w:after="140" w:line="280"/>
        <w:jc w:val="both"/>
      </w:pPr>
      <w:r>
        <w:rPr>
          <w:rFonts w:ascii="Times New Roman" w:cs="Times New Roman" w:eastAsia="Times New Roman" w:hAnsi="Times New Roman"/>
          <w:sz w:val="21"/>
          <w:szCs w:val="21"/>
        </w:rPr>
        <w:t xml:space="preserve">[28] Rawbank. Le crédit Express. rawbank.com/credits/credit-express/.</w:t>
      </w:r>
    </w:p>
    <w:p>
      <w:pPr>
        <w:spacing w:after="140" w:line="280"/>
        <w:jc w:val="both"/>
      </w:pPr>
      <w:r>
        <w:rPr>
          <w:rFonts w:ascii="Times New Roman" w:cs="Times New Roman" w:eastAsia="Times New Roman" w:hAnsi="Times New Roman"/>
          <w:sz w:val="21"/>
          <w:szCs w:val="21"/>
        </w:rPr>
        <w:t xml:space="preserve">[29] Rawbank. Rawbank announces the successful issuance of the DRC's first-ever eurobond, for a total amount of USD 1.25 billion. rawbank.com/en/blog.</w:t>
      </w:r>
    </w:p>
    <w:p>
      <w:pPr>
        <w:spacing w:after="140" w:line="280"/>
        <w:jc w:val="both"/>
      </w:pPr>
      <w:r>
        <w:rPr>
          <w:rFonts w:ascii="Times New Roman" w:cs="Times New Roman" w:eastAsia="Times New Roman" w:hAnsi="Times New Roman"/>
          <w:sz w:val="21"/>
          <w:szCs w:val="21"/>
        </w:rPr>
        <w:t xml:space="preserve">[30] ResearchGate. Credit Scoring in Africa: Employing Logistic Regression on Alternative Data. researchgate.net.</w:t>
      </w:r>
    </w:p>
    <w:p>
      <w:pPr>
        <w:spacing w:after="140" w:line="280"/>
        <w:jc w:val="both"/>
      </w:pPr>
      <w:r>
        <w:rPr>
          <w:rFonts w:ascii="Times New Roman" w:cs="Times New Roman" w:eastAsia="Times New Roman" w:hAnsi="Times New Roman"/>
          <w:sz w:val="21"/>
          <w:szCs w:val="21"/>
        </w:rPr>
        <w:t xml:space="preserve">[31] ResearchGate. Modeling Bias and Transparency in Credit Scoring Algorithms: A Differentially Private SHAP-Based Framework. researchgate.net.</w:t>
      </w:r>
    </w:p>
    <w:p>
      <w:pPr>
        <w:spacing w:after="140" w:line="280"/>
        <w:jc w:val="both"/>
      </w:pPr>
      <w:r>
        <w:rPr>
          <w:rFonts w:ascii="Times New Roman" w:cs="Times New Roman" w:eastAsia="Times New Roman" w:hAnsi="Times New Roman"/>
          <w:sz w:val="21"/>
          <w:szCs w:val="21"/>
        </w:rPr>
        <w:t xml:space="preserve">[32] ResearchGate. SHAP and LIME: An Evaluation of Discriminative Power in Credit Risk. researchgate.net/publication/354660636.</w:t>
      </w:r>
    </w:p>
    <w:p>
      <w:pPr>
        <w:spacing w:after="140" w:line="280"/>
        <w:jc w:val="both"/>
      </w:pPr>
      <w:r>
        <w:rPr>
          <w:rFonts w:ascii="Times New Roman" w:cs="Times New Roman" w:eastAsia="Times New Roman" w:hAnsi="Times New Roman"/>
          <w:sz w:val="21"/>
          <w:szCs w:val="21"/>
        </w:rPr>
        <w:t xml:space="preserve">[33] SSR Publisher. Explainable AI for Credit Scoring with SHAP-Calibrated Ensembles: A Multi-Market Evaluation on Public Lending Data. ssrpublisher.com.</w:t>
      </w:r>
    </w:p>
    <w:p>
      <w:pPr>
        <w:spacing w:after="140" w:line="280"/>
        <w:jc w:val="both"/>
      </w:pPr>
      <w:r>
        <w:rPr>
          <w:rFonts w:ascii="Times New Roman" w:cs="Times New Roman" w:eastAsia="Times New Roman" w:hAnsi="Times New Roman"/>
          <w:sz w:val="21"/>
          <w:szCs w:val="21"/>
        </w:rPr>
        <w:t xml:space="preserve">[34] UN Media. World Bank / Global Findex Report. media.un.org/unifeed.</w:t>
      </w:r>
    </w:p>
    <w:p>
      <w:pPr>
        <w:spacing w:after="140" w:line="280"/>
        <w:jc w:val="both"/>
      </w:pPr>
      <w:r>
        <w:rPr>
          <w:rFonts w:ascii="Times New Roman" w:cs="Times New Roman" w:eastAsia="Times New Roman" w:hAnsi="Times New Roman"/>
          <w:sz w:val="21"/>
          <w:szCs w:val="21"/>
        </w:rPr>
        <w:t xml:space="preserve">[35] Upya. Alternative Credit Scoring: How Mobile Data Is Unlocking Loans in Emerging Markets. upya.io.</w:t>
      </w:r>
    </w:p>
    <w:p>
      <w:pPr>
        <w:spacing w:after="140" w:line="280"/>
        <w:jc w:val="both"/>
      </w:pPr>
      <w:r>
        <w:rPr>
          <w:rFonts w:ascii="Times New Roman" w:cs="Times New Roman" w:eastAsia="Times New Roman" w:hAnsi="Times New Roman"/>
          <w:sz w:val="21"/>
          <w:szCs w:val="21"/>
        </w:rPr>
        <w:t xml:space="preserve">[36] World Bank Documents &amp; Reports. The Use of Alternative Data in Credit Risk Assessment: The Opportunities, Risks, and Challenges. documents1.worldbank.org.</w:t>
      </w:r>
    </w:p>
    <w:p>
      <w:pPr>
        <w:spacing w:after="140" w:line="280"/>
        <w:jc w:val="both"/>
      </w:pPr>
      <w:r>
        <w:rPr>
          <w:rFonts w:ascii="Times New Roman" w:cs="Times New Roman" w:eastAsia="Times New Roman" w:hAnsi="Times New Roman"/>
          <w:sz w:val="21"/>
          <w:szCs w:val="21"/>
        </w:rPr>
        <w:t xml:space="preserve">[37] World Bank. The Global Findex Database 2025. worldbank.org/en/publication/globalfindex.</w:t>
      </w:r>
    </w:p>
    <w:p>
      <w:pPr>
        <w:spacing w:after="140" w:line="280"/>
        <w:jc w:val="both"/>
      </w:pPr>
      <w:r>
        <w:rPr>
          <w:rFonts w:ascii="Times New Roman" w:cs="Times New Roman" w:eastAsia="Times New Roman" w:hAnsi="Times New Roman"/>
          <w:sz w:val="21"/>
          <w:szCs w:val="21"/>
        </w:rPr>
        <w:t xml:space="preserve">[38] World Journal of Advanced Research and Reviews. Machine learning for credit scoring and loan default prediction using behavioral and transactional financial data. wjarr.com.</w:t>
      </w:r>
    </w:p>
    <w:p>
      <w:pPr>
        <w:spacing w:after="140" w:line="280"/>
        <w:jc w:val="both"/>
      </w:pPr>
      <w:r>
        <w:rPr>
          <w:rFonts w:ascii="Times New Roman" w:cs="Times New Roman" w:eastAsia="Times New Roman" w:hAnsi="Times New Roman"/>
          <w:sz w:val="21"/>
          <w:szCs w:val="21"/>
        </w:rPr>
        <w:t xml:space="preserve">[39] Zest AI. How RAG is transforming analytics for banks and lenders. zest.ai.</w:t>
      </w:r>
    </w:p>
    <w:sectPr>
      <w:headerReference w:type="default" r:id="rId7"/>
      <w:footerReference w:type="default" r:id="rId8"/>
      <w:pgSz w:w="11908" w:h="16833"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TFC — Plateforme FinTech Rawbank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bd016344e863c8a0acf0f43723ee2d1b3c5f61.jpg"/><Relationship Id="rId10" Type="http://schemas.openxmlformats.org/officeDocument/2006/relationships/image" Target="media/1b8b3a8346b7f743aed89ad30164c360cbdb90a9.png"/><Relationship Id="rId11" Type="http://schemas.openxmlformats.org/officeDocument/2006/relationships/image" Target="media/2fec1f87246cfb9d8050a87a477ac8db50266e0b.png"/><Relationship Id="rId12" Type="http://schemas.openxmlformats.org/officeDocument/2006/relationships/image" Target="media/4981a737d38c4cc2b98e4bb0db820cc9eb186a11.png"/><Relationship Id="rId13" Type="http://schemas.openxmlformats.org/officeDocument/2006/relationships/image" Target="media/f26fa4ab6bf908321dfd0296eb480c6d70f512cf.png"/><Relationship Id="rId14" Type="http://schemas.openxmlformats.org/officeDocument/2006/relationships/image" Target="media/e60b2b2341a3995c4d917ac898130addae809736.png"/><Relationship Id="rId15" Type="http://schemas.openxmlformats.org/officeDocument/2006/relationships/image" Target="media/50cb4dcc848fa989ecf27ad5ec6e81570a4f12a3.png"/><Relationship Id="rId16" Type="http://schemas.openxmlformats.org/officeDocument/2006/relationships/image" Target="media/531590bb6f7e3db897754cf3d5a61d09e0ab5742.png"/><Relationship Id="rId17" Type="http://schemas.openxmlformats.org/officeDocument/2006/relationships/image" Target="media/5beaf44d1fd14987953ab6fce68a6971ed3b3463.png"/><Relationship Id="rId18" Type="http://schemas.openxmlformats.org/officeDocument/2006/relationships/image" Target="media/cb52b3ca800505d9ec9976f1fca1ea37010820fd.png"/><Relationship Id="rId19" Type="http://schemas.openxmlformats.org/officeDocument/2006/relationships/image" Target="media/67eb764a0acf9bfe49cc42bd0f4c7dfb3c0d732c.png"/><Relationship Id="rId20" Type="http://schemas.openxmlformats.org/officeDocument/2006/relationships/image" Target="media/c3a0758fc91faa28534090d19d2a481d6669f1e4.png"/><Relationship Id="rId21" Type="http://schemas.openxmlformats.org/officeDocument/2006/relationships/image" Target="media/524c6b65a8ba0d2b95220b3dec672561ff1cf324.png"/><Relationship Id="rId22" Type="http://schemas.openxmlformats.org/officeDocument/2006/relationships/image" Target="media/aafa0bfeea9e65e9856f7154ea54f2f8bfcbadfc.png"/><Relationship Id="rId23" Type="http://schemas.openxmlformats.org/officeDocument/2006/relationships/image" Target="media/dfd27ad9532247916d98f31a5af3674c5ffef100.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mise en œuvre d'une plateforme FinTech intelligente pour l'octroi de micro-crédits à la Rawbank</dc:title>
  <dc:creator>LUMPUNGU YA KAUMBU Joël Stone</dc:creator>
  <cp:lastModifiedBy>Un-named</cp:lastModifiedBy>
  <cp:revision>1</cp:revision>
  <dcterms:created xsi:type="dcterms:W3CDTF">2026-07-03T01:55:39.363Z</dcterms:created>
  <dcterms:modified xsi:type="dcterms:W3CDTF">2026-07-03T01:55:39.364Z</dcterms:modified>
</cp:coreProperties>
</file>

<file path=docProps/custom.xml><?xml version="1.0" encoding="utf-8"?>
<Properties xmlns="http://schemas.openxmlformats.org/officeDocument/2006/custom-properties" xmlns:vt="http://schemas.openxmlformats.org/officeDocument/2006/docPropsVTypes"/>
</file>