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pBdr>
          <w:bottom w:val="single" w:sz="16" w:space="1" w:color="C9A961"/>
        </w:pBdr>
      </w:pPr>
      <w:r>
        <w:rPr>
          <w:rFonts w:ascii="Georgia" w:hAnsi="Georgia"/>
          <w:b/>
          <w:color w:val="1E2761"/>
          <w:sz w:val="44"/>
        </w:rPr>
        <w:t>Project Flywheel</w:t>
      </w:r>
    </w:p>
    <w:p>
      <w:pPr>
        <w:spacing w:after="280"/>
      </w:pPr>
      <w:r>
        <w:rPr>
          <w:rFonts w:ascii="Georgia" w:hAnsi="Georgia"/>
          <w:i/>
          <w:color w:val="666666"/>
          <w:sz w:val="26"/>
        </w:rPr>
        <w:t>Credit Card Transaction Data in Adobe Experience Platform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Document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Product Requirements Document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Project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Project Flywheel (working name)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Version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v1 — DRAFT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Status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Early draft, circulated for partner review ahead of vision deck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Author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Will Hendricks, Sr. PM, MarTech Strategy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Date circulated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March 16, 2026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Document owner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Will Hendricks (whendricks@meridiannb.com)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Engineering DRI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Marcus Webb (tentative — to be confirmed)</w:t>
            </w:r>
          </w:p>
        </w:tc>
      </w:tr>
      <w:tr>
        <w:tc>
          <w:tcPr>
            <w:tcW w:type="dxa" w:w="288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1E2761"/>
                <w:sz w:val="21"/>
              </w:rPr>
              <w:t>Target MVP go-live</w:t>
            </w:r>
          </w:p>
        </w:tc>
        <w:tc>
          <w:tcPr>
            <w:tcW w:type="dxa" w:w="64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Q3 2026 (placeholder, pending scoping)</w:t>
            </w:r>
          </w:p>
        </w:tc>
      </w:tr>
    </w:tbl>
    <w:p/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Draft note (Will, March 16): This is the first full pass of the PRD, ahead of the vision deck I am putting together for David / Priya next week. A lot of this is still scaffolding — I want to get our thinking on paper so partners can react. Expect many [TBD] markers. Please flag disagreements directly in the doc or over email and I will fold them into v2 after we have the Data Eng working session.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Version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1584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115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Author</w:t>
            </w:r>
          </w:p>
        </w:tc>
        <w:tc>
          <w:tcPr>
            <w:tcW w:type="dxa" w:w="547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Summary</w:t>
            </w:r>
          </w:p>
        </w:tc>
      </w:tr>
      <w:tr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v0.1</w:t>
            </w:r>
          </w:p>
        </w:tc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2026-03-09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Will</w:t>
            </w:r>
          </w:p>
        </w:tc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Outline only, section skeleton for partner review</w:t>
            </w:r>
          </w:p>
        </w:tc>
      </w:tr>
      <w:tr>
        <w:tc>
          <w:tcPr>
            <w:tcW w:type="dxa" w:w="115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v1</w:t>
            </w:r>
          </w:p>
        </w:tc>
        <w:tc>
          <w:tcPr>
            <w:tcW w:type="dxa" w:w="1584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2026-03-16</w:t>
            </w:r>
          </w:p>
        </w:tc>
        <w:tc>
          <w:tcPr>
            <w:tcW w:type="dxa" w:w="115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Will</w:t>
            </w:r>
          </w:p>
        </w:tc>
        <w:tc>
          <w:tcPr>
            <w:tcW w:type="dxa" w:w="547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First full draft, ahead of vision deck presentation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1. TL;DR</w:t>
      </w:r>
    </w:p>
    <w:p>
      <w:r>
        <w:rPr>
          <w:b w:val="0"/>
          <w:i w:val="0"/>
        </w:rPr>
        <w:t xml:space="preserve">Meridian's credit card marketing runs on a Snowflake-authored feature layer that pushes aggregated attributes into Adobe Experience Platform (AEP) nightly. Every new audience request requires a Data Engineering ticket, and cycle time from request to live audience is painfully long (anecdotally 3–5 weeks, actual number </w:t>
      </w:r>
      <w:r>
        <w:rPr>
          <w:b w:val="0"/>
          <w:i/>
        </w:rPr>
        <w:t>[TBD — pulling Jira history]</w:t>
      </w:r>
      <w:r>
        <w:rPr>
          <w:b w:val="0"/>
          <w:i w:val="0"/>
        </w:rPr>
        <w:t>).</w:t>
      </w:r>
    </w:p>
    <w:p>
      <w:r>
        <w:rPr>
          <w:b/>
          <w:i w:val="0"/>
        </w:rPr>
        <w:t>Project Flywheel</w:t>
      </w:r>
      <w:r>
        <w:rPr>
          <w:b w:val="0"/>
          <w:i w:val="0"/>
        </w:rPr>
        <w:t xml:space="preserve"> proposes to bring credit card transaction data into AEP in a more flexible shape so that Marketing can build audiences without routing every request through Data Engineering.</w:t>
      </w:r>
    </w:p>
    <w:p>
      <w:r>
        <w:rPr>
          <w:b/>
          <w:i w:val="0"/>
        </w:rPr>
        <w:t>Three candidate use cases</w:t>
      </w:r>
      <w:r>
        <w:rPr>
          <w:b w:val="0"/>
          <w:i w:val="0"/>
        </w:rPr>
        <w:t xml:space="preserve"> (tentative, to be validated with Credit Card and Offers teams):</w:t>
      </w:r>
    </w:p>
    <w:p>
      <w:pPr>
        <w:pStyle w:val="ListBullet"/>
        <w:ind w:left="360"/>
      </w:pPr>
      <w:r>
        <w:rPr>
          <w:b w:val="0"/>
          <w:i w:val="0"/>
        </w:rPr>
        <w:t>1. Category-based targeted offers (MCC-driven)</w:t>
      </w:r>
    </w:p>
    <w:p>
      <w:pPr>
        <w:pStyle w:val="ListBullet"/>
        <w:ind w:left="360"/>
      </w:pPr>
      <w:r>
        <w:rPr>
          <w:b w:val="0"/>
          <w:i w:val="0"/>
        </w:rPr>
        <w:t>2. Dormant card reactivation (improved winback)</w:t>
      </w:r>
    </w:p>
    <w:p>
      <w:pPr>
        <w:pStyle w:val="ListBullet"/>
        <w:ind w:left="360"/>
      </w:pPr>
      <w:r>
        <w:rPr>
          <w:b w:val="0"/>
          <w:i w:val="0"/>
        </w:rPr>
        <w:t>3. Travel-spender identification for Horizon card re-launch</w:t>
      </w:r>
    </w:p>
    <w:p>
      <w:r>
        <w:rPr>
          <w:b/>
          <w:i w:val="0"/>
        </w:rPr>
        <w:t>Architecture:</w:t>
      </w:r>
      <w:r>
        <w:rPr>
          <w:b w:val="0"/>
          <w:i w:val="0"/>
        </w:rPr>
        <w:t xml:space="preserve"> three options on the table (see §7), leaning toward </w:t>
      </w:r>
      <w:r>
        <w:rPr>
          <w:b/>
          <w:i w:val="0"/>
        </w:rPr>
        <w:t>Option A (expanded feature push)</w:t>
      </w:r>
      <w:r>
        <w:rPr>
          <w:b w:val="0"/>
          <w:i w:val="0"/>
        </w:rPr>
        <w:t xml:space="preserve"> as lowest-risk starting point — but needs validation with Marcus and his team.</w:t>
      </w:r>
    </w:p>
    <w:p>
      <w:r>
        <w:rPr>
          <w:b/>
          <w:i w:val="0"/>
        </w:rPr>
        <w:t>Target go-live:</w:t>
      </w:r>
      <w:r>
        <w:rPr>
          <w:b w:val="0"/>
          <w:i w:val="0"/>
        </w:rPr>
        <w:t xml:space="preserve"> Q3 2026. </w:t>
      </w:r>
      <w:r>
        <w:rPr>
          <w:b/>
          <w:i w:val="0"/>
        </w:rPr>
        <w:t>Budget envelope:</w:t>
      </w:r>
      <w:r>
        <w:rPr>
          <w:b w:val="0"/>
          <w:i w:val="0"/>
        </w:rPr>
        <w:t xml:space="preserve"> </w:t>
      </w:r>
      <w:r>
        <w:rPr>
          <w:b w:val="0"/>
          <w:i/>
        </w:rPr>
        <w:t>[TBD]</w:t>
      </w:r>
      <w:r>
        <w:rPr>
          <w:b w:val="0"/>
          <w:i w:val="0"/>
        </w:rPr>
        <w:t xml:space="preserve"> — very rough initial estimate is $400K–$1.2M all-in, need to narrow significantly before any steerco ask.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2. Background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2.1 The problem</w:t>
      </w:r>
    </w:p>
    <w:p>
      <w:r>
        <w:rPr>
          <w:b w:val="0"/>
          <w:i w:val="0"/>
        </w:rPr>
        <w:t>Meridian's credit card marketing is constrained by a feature-layer pattern that was designed when AEP was a newer platform. Today, Marketing must request any new behavioral signal via a Data Engineering ticket. The Snowflake → AEP nightly push carries only pre-aggregated features. Three structural limits have emerged:</w:t>
      </w:r>
    </w:p>
    <w:p>
      <w:pPr>
        <w:pStyle w:val="ListBullet"/>
        <w:ind w:left="360"/>
      </w:pPr>
      <w:r>
        <w:rPr>
          <w:b/>
          <w:i w:val="0"/>
        </w:rPr>
        <w:t xml:space="preserve">Cycle time. </w:t>
      </w:r>
      <w:r>
        <w:rPr>
          <w:b w:val="0"/>
          <w:i w:val="0"/>
        </w:rPr>
        <w:t xml:space="preserve">Each new audience requires a new feature. The Data Eng team is capacity-constrained and prioritizes against a broader portfolio. Median request-to-live-audience time is long. </w:t>
      </w:r>
      <w:r>
        <w:rPr>
          <w:b w:val="0"/>
          <w:i/>
        </w:rPr>
        <w:t>[TBD — Linh pulling from Jira]</w:t>
      </w:r>
    </w:p>
    <w:p>
      <w:pPr>
        <w:pStyle w:val="ListBullet"/>
        <w:ind w:left="360"/>
      </w:pPr>
      <w:r>
        <w:rPr>
          <w:b/>
          <w:i w:val="0"/>
        </w:rPr>
        <w:t xml:space="preserve">Flexibility. </w:t>
      </w:r>
      <w:r>
        <w:rPr>
          <w:b w:val="0"/>
          <w:i w:val="0"/>
        </w:rPr>
        <w:t>If Marketing asks a question that doesn't match an existing feature, there is no self-service answer. The feature layer was built for a static set of campaigns; it does not bend.</w:t>
      </w:r>
    </w:p>
    <w:p>
      <w:pPr>
        <w:pStyle w:val="ListBullet"/>
        <w:ind w:left="360"/>
      </w:pPr>
      <w:r>
        <w:rPr>
          <w:b/>
          <w:i w:val="0"/>
        </w:rPr>
        <w:t xml:space="preserve">Scope gaps. </w:t>
      </w:r>
      <w:r>
        <w:rPr>
          <w:b w:val="0"/>
          <w:i w:val="0"/>
        </w:rPr>
        <w:t>Merchant names, dispute status, and transaction-level detail are not in AEP today. Marketing is effectively blind to entire customer-behavior dimensions.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2.2 Why now</w:t>
      </w:r>
    </w:p>
    <w:p>
      <w:pPr>
        <w:pStyle w:val="ListBullet"/>
        <w:ind w:left="360"/>
      </w:pPr>
      <w:r>
        <w:rPr>
          <w:b/>
          <w:i w:val="0"/>
        </w:rPr>
        <w:t>Horizon card relaunch</w:t>
      </w:r>
      <w:r>
        <w:rPr>
          <w:b w:val="0"/>
          <w:i w:val="0"/>
        </w:rPr>
        <w:t xml:space="preserve"> is targeted for Q3. Marketing has asked for a travel-spender audience and cannot get it on the current pipeline.</w:t>
      </w:r>
    </w:p>
    <w:p>
      <w:pPr>
        <w:pStyle w:val="ListBullet"/>
        <w:ind w:left="360"/>
      </w:pPr>
      <w:r>
        <w:rPr>
          <w:b/>
          <w:i w:val="0"/>
        </w:rPr>
        <w:t>Credit Card leadership</w:t>
      </w:r>
      <w:r>
        <w:rPr>
          <w:b w:val="0"/>
          <w:i w:val="0"/>
        </w:rPr>
        <w:t xml:space="preserve"> (Priya Raman) flagged the 180-day dormancy journey as a miss — we are reactivating customers far later than industry norms suggest we should be.</w:t>
      </w:r>
    </w:p>
    <w:p>
      <w:pPr>
        <w:pStyle w:val="ListBullet"/>
        <w:ind w:left="360"/>
      </w:pPr>
      <w:r>
        <w:rPr>
          <w:b/>
          <w:i w:val="0"/>
        </w:rPr>
        <w:t>AEP contract renewal</w:t>
      </w:r>
      <w:r>
        <w:rPr>
          <w:b w:val="0"/>
          <w:i w:val="0"/>
        </w:rPr>
        <w:t xml:space="preserve"> conversation is expected later this year. If we are going to expand our AEP footprint, better to decide in a considered way now than reactively later.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2.3 Evidence of impact</w:t>
      </w:r>
    </w:p>
    <w:p>
      <w:pPr>
        <w:pStyle w:val="ListBullet"/>
        <w:ind w:left="360"/>
      </w:pPr>
      <w:r>
        <w:rPr>
          <w:b w:val="0"/>
          <w:i/>
        </w:rPr>
        <w:t>[TBD — Jira history of blocked audience requests, 18-month lookback]</w:t>
      </w:r>
    </w:p>
    <w:p>
      <w:pPr>
        <w:pStyle w:val="ListBullet"/>
        <w:ind w:left="360"/>
      </w:pPr>
      <w:r>
        <w:rPr>
          <w:b w:val="0"/>
          <w:i/>
        </w:rPr>
        <w:t>[TBD — Data Eng team capacity figures, current backlog]</w:t>
      </w:r>
    </w:p>
    <w:p>
      <w:pPr>
        <w:pStyle w:val="ListBullet"/>
        <w:ind w:left="360"/>
      </w:pPr>
      <w:r>
        <w:rPr>
          <w:b w:val="0"/>
          <w:i w:val="0"/>
        </w:rPr>
        <w:t>Anecdotal: Greg Yamamoto's team has been waiting on a category-spend audience since January.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3. Goals and Non-Goals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3.1 Goals</w:t>
      </w:r>
    </w:p>
    <w:p>
      <w:pPr>
        <w:pStyle w:val="ListBullet"/>
        <w:ind w:left="360"/>
      </w:pPr>
      <w:r>
        <w:rPr>
          <w:b/>
          <w:i w:val="0"/>
        </w:rPr>
        <w:t xml:space="preserve">G1. </w:t>
      </w:r>
      <w:r>
        <w:rPr>
          <w:b w:val="0"/>
          <w:i w:val="0"/>
        </w:rPr>
        <w:t>Enable Marketing to build audiences from transaction-level behavior without a Data Engineering ticket for every new request.</w:t>
      </w:r>
    </w:p>
    <w:p>
      <w:pPr>
        <w:pStyle w:val="ListBullet"/>
        <w:ind w:left="360"/>
      </w:pPr>
      <w:r>
        <w:rPr>
          <w:b/>
          <w:i w:val="0"/>
        </w:rPr>
        <w:t xml:space="preserve">G2. </w:t>
      </w:r>
      <w:r>
        <w:rPr>
          <w:b w:val="0"/>
          <w:i w:val="0"/>
        </w:rPr>
        <w:t>Ship at least two behavioral marketing use cases on the new pattern by end of Q3 2026.</w:t>
      </w:r>
    </w:p>
    <w:p>
      <w:pPr>
        <w:pStyle w:val="ListBullet"/>
        <w:ind w:left="360"/>
      </w:pPr>
      <w:r>
        <w:rPr>
          <w:b/>
          <w:i w:val="0"/>
        </w:rPr>
        <w:t xml:space="preserve">G3. </w:t>
      </w:r>
      <w:r>
        <w:rPr>
          <w:b w:val="0"/>
          <w:i w:val="0"/>
        </w:rPr>
        <w:t>Establish a reusable ingestion and modeling pattern in AEP that can be extended to future use cases (deposits, investments) without re-architecting.</w:t>
      </w:r>
    </w:p>
    <w:p>
      <w:pPr>
        <w:pStyle w:val="ListBullet"/>
        <w:ind w:left="360"/>
      </w:pPr>
      <w:r>
        <w:rPr>
          <w:b/>
          <w:i w:val="0"/>
        </w:rPr>
        <w:t xml:space="preserve">G4. </w:t>
      </w:r>
      <w:r>
        <w:rPr>
          <w:b w:val="0"/>
          <w:i w:val="0"/>
        </w:rPr>
        <w:t>Keep AEP run-rate cost within [TBD — need to agree envelope with David K.].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3.2 Non-Goals</w:t>
      </w:r>
    </w:p>
    <w:p>
      <w:pPr>
        <w:pStyle w:val="ListBullet"/>
        <w:ind w:left="360"/>
      </w:pPr>
      <w:r>
        <w:rPr>
          <w:b/>
          <w:i w:val="0"/>
        </w:rPr>
        <w:t xml:space="preserve">NG1. </w:t>
      </w:r>
      <w:r>
        <w:rPr>
          <w:b w:val="0"/>
          <w:i w:val="0"/>
        </w:rPr>
        <w:t>This project is not replacing the existing Snowflake feature layer. The Snowflake → AEP push continues. [Note: assumes continuation — Marcus to confirm]</w:t>
      </w:r>
    </w:p>
    <w:p>
      <w:pPr>
        <w:pStyle w:val="ListBullet"/>
        <w:ind w:left="360"/>
      </w:pPr>
      <w:r>
        <w:rPr>
          <w:b/>
          <w:i w:val="0"/>
        </w:rPr>
        <w:t xml:space="preserve">NG2. </w:t>
      </w:r>
      <w:r>
        <w:rPr>
          <w:b w:val="0"/>
          <w:i w:val="0"/>
        </w:rPr>
        <w:t>Not introducing real-time personalization on the card site or app. Latency target is "same-day-ish," not sub-second.</w:t>
      </w:r>
    </w:p>
    <w:p>
      <w:pPr>
        <w:pStyle w:val="ListBullet"/>
        <w:ind w:left="360"/>
      </w:pPr>
      <w:r>
        <w:rPr>
          <w:b/>
          <w:i w:val="0"/>
        </w:rPr>
        <w:t xml:space="preserve">NG3. </w:t>
      </w:r>
      <w:r>
        <w:rPr>
          <w:b w:val="0"/>
          <w:i w:val="0"/>
        </w:rPr>
        <w:t>Not an expansion beyond credit card in MVP. Deposits and investments are future scope.</w:t>
      </w:r>
    </w:p>
    <w:p>
      <w:pPr>
        <w:pStyle w:val="ListBullet"/>
        <w:ind w:left="360"/>
      </w:pPr>
      <w:r>
        <w:rPr>
          <w:b/>
          <w:i w:val="0"/>
        </w:rPr>
        <w:t xml:space="preserve">NG4. </w:t>
      </w:r>
      <w:r>
        <w:rPr>
          <w:b w:val="0"/>
          <w:i w:val="0"/>
        </w:rPr>
        <w:t>Not a merchant taxonomy build. If merchant normalization is required, we will evaluate external vendors (or wait for the Enterprise Merchant Taxonomy project — timeline unclear).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4. Success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88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72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Current</w:t>
            </w:r>
          </w:p>
        </w:tc>
        <w:tc>
          <w:tcPr>
            <w:tcW w:type="dxa" w:w="172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Target</w:t>
            </w:r>
          </w:p>
        </w:tc>
        <w:tc>
          <w:tcPr>
            <w:tcW w:type="dxa" w:w="2016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Source</w:t>
            </w:r>
          </w:p>
        </w:tc>
      </w:tr>
      <w:tr>
        <w:tc>
          <w:tcPr>
            <w:tcW w:type="dxa" w:w="388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New audience cycle time (request → live)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[TBD] days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≤ 5 days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Analytics / Jira</w:t>
            </w:r>
          </w:p>
        </w:tc>
      </w:tr>
      <w:tr>
        <w:tc>
          <w:tcPr>
            <w:tcW w:type="dxa" w:w="388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Use cases live in AEP on transaction signal</w:t>
            </w:r>
          </w:p>
        </w:tc>
        <w:tc>
          <w:tcPr>
            <w:tcW w:type="dxa" w:w="172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0</w:t>
            </w:r>
          </w:p>
        </w:tc>
        <w:tc>
          <w:tcPr>
            <w:tcW w:type="dxa" w:w="172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2+</w:t>
            </w:r>
          </w:p>
        </w:tc>
        <w:tc>
          <w:tcPr>
            <w:tcW w:type="dxa" w:w="201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MarTech</w:t>
            </w:r>
          </w:p>
        </w:tc>
      </w:tr>
      <w:tr>
        <w:tc>
          <w:tcPr>
            <w:tcW w:type="dxa" w:w="388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Category-targeted offer engagement lift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n/a (no program)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[TBD]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Offers team</w:t>
            </w:r>
          </w:p>
        </w:tc>
      </w:tr>
      <w:tr>
        <w:tc>
          <w:tcPr>
            <w:tcW w:type="dxa" w:w="388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Dormancy reactivation rate (vs 180d baseline)</w:t>
            </w:r>
          </w:p>
        </w:tc>
        <w:tc>
          <w:tcPr>
            <w:tcW w:type="dxa" w:w="172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~4%</w:t>
            </w:r>
          </w:p>
        </w:tc>
        <w:tc>
          <w:tcPr>
            <w:tcW w:type="dxa" w:w="172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[TBD]</w:t>
            </w:r>
          </w:p>
        </w:tc>
        <w:tc>
          <w:tcPr>
            <w:tcW w:type="dxa" w:w="201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Lifecycle Marketing</w:t>
            </w:r>
          </w:p>
        </w:tc>
      </w:tr>
      <w:tr>
        <w:tc>
          <w:tcPr>
            <w:tcW w:type="dxa" w:w="388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AEP monthly run-rate cost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[TBD]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Within envelope</w:t>
            </w:r>
          </w:p>
        </w:tc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Finance</w:t>
            </w:r>
          </w:p>
        </w:tc>
      </w:tr>
    </w:tbl>
    <w:p>
      <w:pPr>
        <w:spacing w:after="80"/>
      </w:pP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Will note: Several targets are placeholders. I want to work with Jessica and Ben to ground these before v2.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5. Users and Stakeholders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Stakeholder</w:t>
            </w:r>
          </w:p>
        </w:tc>
        <w:tc>
          <w:tcPr>
            <w:tcW w:type="dxa" w:w="331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type="dxa" w:w="3600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Involvement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Will Hendricks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Sr. PM, MarTech Strategy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DRI, author</w:t>
            </w:r>
          </w:p>
        </w:tc>
      </w:tr>
      <w:tr>
        <w:tc>
          <w:tcPr>
            <w:tcW w:type="dxa" w:w="244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David Kowalski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VP, MarTech</w:t>
            </w:r>
          </w:p>
        </w:tc>
        <w:tc>
          <w:tcPr>
            <w:tcW w:type="dxa" w:w="360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Sponsor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Priya Raman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Director, Credit Card Product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Business partner</w:t>
            </w:r>
          </w:p>
        </w:tc>
      </w:tr>
      <w:tr>
        <w:tc>
          <w:tcPr>
            <w:tcW w:type="dxa" w:w="244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Greg Yamamoto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Sr. Mgr, Card Rewards &amp; Offers</w:t>
            </w:r>
          </w:p>
        </w:tc>
        <w:tc>
          <w:tcPr>
            <w:tcW w:type="dxa" w:w="360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Primary MVP use case owner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Marcus Webb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Principal Data Engineer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Tech lead (Data Engineering)</w:t>
            </w:r>
          </w:p>
        </w:tc>
      </w:tr>
      <w:tr>
        <w:tc>
          <w:tcPr>
            <w:tcW w:type="dxa" w:w="244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Jessica Chen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Sr. Mgr, Marketing Analytics</w:t>
            </w:r>
          </w:p>
        </w:tc>
        <w:tc>
          <w:tcPr>
            <w:tcW w:type="dxa" w:w="360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Feature/analytics lead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Ben Foster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Director, Marketing Analytics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Analytics sponsor</w:t>
            </w:r>
          </w:p>
        </w:tc>
      </w:tr>
      <w:tr>
        <w:tc>
          <w:tcPr>
            <w:tcW w:type="dxa" w:w="244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Rachel Okonkwo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Sr. Mgr, Campaign Ops</w:t>
            </w:r>
          </w:p>
        </w:tc>
        <w:tc>
          <w:tcPr>
            <w:tcW w:type="dxa" w:w="360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Activation partner</w:t>
            </w:r>
          </w:p>
        </w:tc>
      </w:tr>
      <w:tr>
        <w:tc>
          <w:tcPr>
            <w:tcW w:type="dxa" w:w="24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Adobe partner SC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TBD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To be engaged for architecture review</w:t>
            </w:r>
          </w:p>
        </w:tc>
      </w:tr>
    </w:tbl>
    <w:p>
      <w:pPr>
        <w:spacing w:after="80"/>
      </w:pP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[TBD] I have not yet confirmed the Adobe side (solution consultant). Will reach out via our account team this week. Dana Mueller (Governance) will need to be looped in once we have a retention story.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6. Candidate Use Cases</w:t>
      </w:r>
    </w:p>
    <w:p>
      <w:r>
        <w:rPr>
          <w:b/>
          <w:i w:val="0"/>
        </w:rPr>
        <w:t xml:space="preserve">Important: </w:t>
      </w:r>
      <w:r>
        <w:rPr>
          <w:b w:val="0"/>
          <w:i w:val="0"/>
        </w:rPr>
        <w:t xml:space="preserve">Use cases below are a </w:t>
      </w:r>
      <w:r>
        <w:rPr>
          <w:b/>
          <w:i w:val="0"/>
        </w:rPr>
        <w:t>candidate list</w:t>
      </w:r>
      <w:r>
        <w:rPr>
          <w:b w:val="0"/>
          <w:i w:val="0"/>
        </w:rPr>
        <w:t xml:space="preserve"> for discussion. I am proposing we lock two for MVP by end of March after working sessions with Priya and Greg. No formal commitment yet.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UC1 — Category-based targeted offers</w:t>
      </w:r>
    </w:p>
    <w:p>
      <w:r>
        <w:rPr>
          <w:b/>
          <w:i w:val="0"/>
        </w:rPr>
        <w:t xml:space="preserve">Summary. </w:t>
      </w:r>
      <w:r>
        <w:rPr>
          <w:b w:val="0"/>
          <w:i w:val="0"/>
        </w:rPr>
        <w:t>Identify cardholders with elevated spend in a category cluster over the trailing 30 / 90 days and target them with a relevant merchant offer.</w:t>
      </w:r>
    </w:p>
    <w:p>
      <w:r>
        <w:rPr>
          <w:b/>
          <w:i w:val="0"/>
        </w:rPr>
        <w:t xml:space="preserve">Status. </w:t>
      </w:r>
      <w:r>
        <w:rPr>
          <w:b w:val="0"/>
          <w:i w:val="0"/>
        </w:rPr>
        <w:t>Greg's team has been asking for this for months. The rough audience spec is "30d category spend &gt; $X in cluster Y." Categories are MCC-derived.</w:t>
      </w:r>
    </w:p>
    <w:p>
      <w:r>
        <w:rPr>
          <w:b/>
          <w:i w:val="0"/>
        </w:rPr>
        <w:t>Data needed.</w:t>
      </w:r>
    </w:p>
    <w:p>
      <w:pPr>
        <w:pStyle w:val="ListBullet"/>
        <w:ind w:left="360"/>
      </w:pPr>
      <w:r>
        <w:t>MCC code on each transaction</w:t>
      </w:r>
    </w:p>
    <w:p>
      <w:pPr>
        <w:pStyle w:val="ListBullet"/>
        <w:ind w:left="360"/>
      </w:pPr>
      <w:r>
        <w:t>Spend aggregations by MCC cluster (30d, 90d)</w:t>
      </w:r>
    </w:p>
    <w:p>
      <w:pPr>
        <w:pStyle w:val="ListBullet"/>
        <w:ind w:left="360"/>
      </w:pPr>
      <w:r>
        <w:t>A clean category cluster mapping</w:t>
      </w:r>
    </w:p>
    <w:p>
      <w:r>
        <w:rPr>
          <w:b/>
          <w:i w:val="0"/>
        </w:rPr>
        <w:t>Open questions.</w:t>
      </w:r>
    </w:p>
    <w:p>
      <w:pPr>
        <w:pStyle w:val="ListBullet"/>
        <w:ind w:left="360"/>
      </w:pPr>
      <w:r>
        <w:t>How many clusters? Early conversations suggest ~12. Needs Analytics input.</w:t>
      </w:r>
    </w:p>
    <w:p>
      <w:pPr>
        <w:pStyle w:val="ListBullet"/>
        <w:ind w:left="360"/>
      </w:pPr>
      <w:r>
        <w:t>Do we need merchant name, or is MCC enough for MVP?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UC2 — Dormant card reactivation (improved winback)</w:t>
      </w:r>
    </w:p>
    <w:p>
      <w:r>
        <w:rPr>
          <w:b/>
          <w:i w:val="0"/>
        </w:rPr>
        <w:t xml:space="preserve">Summary. </w:t>
      </w:r>
      <w:r>
        <w:rPr>
          <w:b w:val="0"/>
          <w:i w:val="0"/>
        </w:rPr>
        <w:t>Replace today's 180-day-dormancy journey with a shorter trigger (candidate: 90 days). Current reactivation rate is ~4%. Goal is to measurably improve that.</w:t>
      </w:r>
    </w:p>
    <w:p>
      <w:r>
        <w:rPr>
          <w:b/>
          <w:i w:val="0"/>
        </w:rPr>
        <w:t xml:space="preserve">Status. </w:t>
      </w:r>
      <w:r>
        <w:rPr>
          <w:b w:val="0"/>
          <w:i w:val="0"/>
        </w:rPr>
        <w:t>Priya has flagged this as a priority. Lifecycle team has journey patterns that can be repointed at a new trigger once the data is in AEP.</w:t>
      </w:r>
    </w:p>
    <w:p>
      <w:r>
        <w:rPr>
          <w:b/>
          <w:i w:val="0"/>
        </w:rPr>
        <w:t>Data needed.</w:t>
      </w:r>
    </w:p>
    <w:p>
      <w:pPr>
        <w:pStyle w:val="ListBullet"/>
        <w:ind w:left="360"/>
      </w:pPr>
      <w:r>
        <w:t>days_since_last_purchase at the customer level</w:t>
      </w:r>
    </w:p>
    <w:p>
      <w:pPr>
        <w:pStyle w:val="ListBullet"/>
        <w:ind w:left="360"/>
      </w:pPr>
      <w:r>
        <w:t>Existing account status, tenure, utilization — already in the Snowflake feature layer</w:t>
      </w:r>
    </w:p>
    <w:p>
      <w:r>
        <w:rPr>
          <w:b/>
          <w:i w:val="0"/>
        </w:rPr>
        <w:t>Open questions.</w:t>
      </w:r>
    </w:p>
    <w:p>
      <w:pPr>
        <w:pStyle w:val="ListBullet"/>
        <w:ind w:left="360"/>
      </w:pPr>
      <w:r>
        <w:t>90 days vs. 120 days vs. another threshold? [TBD — Analytics to propose]</w:t>
      </w:r>
    </w:p>
    <w:p>
      <w:pPr>
        <w:pStyle w:val="ListBullet"/>
        <w:ind w:left="360"/>
      </w:pPr>
      <w:r>
        <w:t>Do we want to exclude customers in balance-transfer or promotional-APR periods? Greg's initial take is yes.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UC3 — Travel-spender identification (Horizon card re-launch)</w:t>
      </w:r>
    </w:p>
    <w:p>
      <w:r>
        <w:rPr>
          <w:b/>
          <w:i w:val="0"/>
        </w:rPr>
        <w:t xml:space="preserve">Summary. </w:t>
      </w:r>
      <w:r>
        <w:rPr>
          <w:b w:val="0"/>
          <w:i w:val="0"/>
        </w:rPr>
        <w:t>For the Q3 Horizon card relaunch, Marketing wants to identify existing cardholders with recent travel spend (airlines, hotels, rental cars) for a targeted upgrade offer.</w:t>
      </w:r>
    </w:p>
    <w:p>
      <w:r>
        <w:rPr>
          <w:b/>
          <w:i w:val="0"/>
        </w:rPr>
        <w:t xml:space="preserve">Status. </w:t>
      </w:r>
      <w:r>
        <w:rPr>
          <w:b w:val="0"/>
          <w:i w:val="0"/>
        </w:rPr>
        <w:t>Scoped to Horizon relaunch. Time-sensitive on the Horizon timeline. If Flywheel slips, this use case will need a manual workaround.</w:t>
      </w:r>
    </w:p>
    <w:p>
      <w:r>
        <w:rPr>
          <w:b/>
          <w:i w:val="0"/>
        </w:rPr>
        <w:t>Data needed.</w:t>
      </w:r>
    </w:p>
    <w:p>
      <w:pPr>
        <w:pStyle w:val="ListBullet"/>
        <w:ind w:left="360"/>
      </w:pPr>
      <w:r>
        <w:t>Transaction-level MCC for travel categories</w:t>
      </w:r>
    </w:p>
    <w:p>
      <w:pPr>
        <w:pStyle w:val="ListBullet"/>
        <w:ind w:left="360"/>
      </w:pPr>
      <w:r>
        <w:t>Aggregated travel spend over a rolling window (90d, 180d)</w:t>
      </w:r>
    </w:p>
    <w:p>
      <w:r>
        <w:rPr>
          <w:b/>
          <w:i w:val="0"/>
        </w:rPr>
        <w:t>Open questions.</w:t>
      </w:r>
    </w:p>
    <w:p>
      <w:pPr>
        <w:pStyle w:val="ListBullet"/>
        <w:ind w:left="360"/>
      </w:pPr>
      <w:r>
        <w:t>Is Horizon launch confirmed for Q3? [TBD — Priya]</w:t>
      </w:r>
    </w:p>
    <w:p>
      <w:pPr>
        <w:pStyle w:val="ListBullet"/>
        <w:ind w:left="360"/>
      </w:pPr>
      <w:r>
        <w:t>If Flywheel cannot deliver in time, is there a fallback plan for the Horizon audience?</w:t>
      </w: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Note to reviewers: If we can only do two in MVP, my current preference is UC1 + UC2, with UC3 as a fast-follow tied to Horizon. Open to counter-arguments.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7. Solution Options (Under Evaluation)</w:t>
      </w:r>
    </w:p>
    <w:p>
      <w:r>
        <w:rPr>
          <w:b w:val="0"/>
          <w:i w:val="0"/>
        </w:rPr>
        <w:t>Three options are on the table. I am not recommending one yet — this section is here to tee up the Data Engineering working session next week.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Option A — Expanded feature push</w:t>
      </w:r>
    </w:p>
    <w:p>
      <w:r>
        <w:rPr>
          <w:b w:val="0"/>
          <w:i w:val="0"/>
        </w:rPr>
        <w:t>Keep today's Snowflake → AEP nightly push, but widen it. Add the 15–25 new features required to cover the candidate use cases.</w:t>
      </w:r>
    </w:p>
    <w:p>
      <w:pPr>
        <w:pStyle w:val="ListBullet"/>
        <w:ind w:left="360"/>
      </w:pPr>
      <w:r>
        <w:rPr>
          <w:b/>
          <w:i w:val="0"/>
        </w:rPr>
        <w:t xml:space="preserve">Pros. </w:t>
      </w:r>
      <w:r>
        <w:rPr>
          <w:b w:val="0"/>
          <w:i w:val="0"/>
        </w:rPr>
        <w:t>Lowest risk. Reuses existing pattern. No new AEP schema work. Data Eng knows how to do this.</w:t>
      </w:r>
    </w:p>
    <w:p>
      <w:pPr>
        <w:pStyle w:val="ListBullet"/>
        <w:ind w:left="360"/>
      </w:pPr>
      <w:r>
        <w:rPr>
          <w:b/>
          <w:i w:val="0"/>
        </w:rPr>
        <w:t xml:space="preserve">Cons. </w:t>
      </w:r>
      <w:r>
        <w:rPr>
          <w:b w:val="0"/>
          <w:i w:val="0"/>
        </w:rPr>
        <w:t>Does not solve the cycle-time problem. Every future use case still needs a Data Eng ticket. Feels like we are kicking the can.</w:t>
      </w:r>
    </w:p>
    <w:p>
      <w:pPr>
        <w:pStyle w:val="ListBullet"/>
        <w:ind w:left="360"/>
      </w:pPr>
      <w:r>
        <w:rPr>
          <w:b/>
          <w:i w:val="0"/>
        </w:rPr>
        <w:t xml:space="preserve">Cost. </w:t>
      </w:r>
      <w:r>
        <w:rPr>
          <w:b w:val="0"/>
          <w:i w:val="0"/>
        </w:rPr>
        <w:t>Lowest of the three. Rough estimate: $100K–$200K one-time, marginal run-rate increase.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Option B — Raw-ish transaction events in AEP, daily batch</w:t>
      </w:r>
    </w:p>
    <w:p>
      <w:r>
        <w:rPr>
          <w:b w:val="0"/>
          <w:i w:val="0"/>
        </w:rPr>
        <w:t>Push a reduced-field version of the transaction authorization stream into AEP as events, daily. Analytics can author AEP-native computed attributes on top.</w:t>
      </w:r>
    </w:p>
    <w:p>
      <w:pPr>
        <w:pStyle w:val="ListBullet"/>
        <w:ind w:left="360"/>
      </w:pPr>
      <w:r>
        <w:rPr>
          <w:b/>
          <w:i w:val="0"/>
        </w:rPr>
        <w:t xml:space="preserve">Pros. </w:t>
      </w:r>
      <w:r>
        <w:rPr>
          <w:b w:val="0"/>
          <w:i w:val="0"/>
        </w:rPr>
        <w:t>Directly solves cycle time. Unlocks flexibility. Positions AEP as a full behavioral data platform.</w:t>
      </w:r>
    </w:p>
    <w:p>
      <w:pPr>
        <w:pStyle w:val="ListBullet"/>
        <w:ind w:left="360"/>
      </w:pPr>
      <w:r>
        <w:rPr>
          <w:b/>
          <w:i w:val="0"/>
        </w:rPr>
        <w:t xml:space="preserve">Cons. </w:t>
      </w:r>
      <w:r>
        <w:rPr>
          <w:b w:val="0"/>
          <w:i w:val="0"/>
        </w:rPr>
        <w:t>Bigger lift. AEP profile density goes up — potential cost implications. Requires schema design and a field-strike exercise to decide what we keep and what we drop.</w:t>
      </w:r>
    </w:p>
    <w:p>
      <w:pPr>
        <w:pStyle w:val="ListBullet"/>
        <w:ind w:left="360"/>
      </w:pPr>
      <w:r>
        <w:rPr>
          <w:b/>
          <w:i w:val="0"/>
        </w:rPr>
        <w:t xml:space="preserve">Cost. </w:t>
      </w:r>
      <w:r>
        <w:rPr>
          <w:b w:val="0"/>
          <w:i w:val="0"/>
        </w:rPr>
        <w:t>Middle. Rough estimate: $400K–$700K one-time, [TBD] annual run-rate.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Option C — Full streaming ingestion</w:t>
      </w:r>
    </w:p>
    <w:p>
      <w:r>
        <w:rPr>
          <w:b w:val="0"/>
          <w:i w:val="0"/>
        </w:rPr>
        <w:t>Stream transactions into AEP in near-real-time via Kafka or an equivalent.</w:t>
      </w:r>
    </w:p>
    <w:p>
      <w:pPr>
        <w:pStyle w:val="ListBullet"/>
        <w:ind w:left="360"/>
      </w:pPr>
      <w:r>
        <w:rPr>
          <w:b/>
          <w:i w:val="0"/>
        </w:rPr>
        <w:t xml:space="preserve">Pros. </w:t>
      </w:r>
      <w:r>
        <w:rPr>
          <w:b w:val="0"/>
          <w:i w:val="0"/>
        </w:rPr>
        <w:t>Real-time personalization unlocked. Future-proof.</w:t>
      </w:r>
    </w:p>
    <w:p>
      <w:pPr>
        <w:pStyle w:val="ListBullet"/>
        <w:ind w:left="360"/>
      </w:pPr>
      <w:r>
        <w:rPr>
          <w:b/>
          <w:i w:val="0"/>
        </w:rPr>
        <w:t xml:space="preserve">Cons. </w:t>
      </w:r>
      <w:r>
        <w:rPr>
          <w:b w:val="0"/>
          <w:i w:val="0"/>
        </w:rPr>
        <w:t>Much larger lift. Higher run-rate. No MVP use case requires sub-hour latency. Feels like overkill.</w:t>
      </w:r>
    </w:p>
    <w:p>
      <w:pPr>
        <w:pStyle w:val="ListBullet"/>
        <w:ind w:left="360"/>
      </w:pPr>
      <w:r>
        <w:rPr>
          <w:b/>
          <w:i w:val="0"/>
        </w:rPr>
        <w:t xml:space="preserve">Cost. </w:t>
      </w:r>
      <w:r>
        <w:rPr>
          <w:b w:val="0"/>
          <w:i w:val="0"/>
        </w:rPr>
        <w:t>Highest. Rough estimate: $1M+ one-time, significantly higher annual run-rate.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Leaning</w:t>
      </w:r>
    </w:p>
    <w:p>
      <w:r>
        <w:rPr>
          <w:b w:val="0"/>
          <w:i w:val="0"/>
        </w:rPr>
        <w:t xml:space="preserve">My initial lean is </w:t>
      </w:r>
      <w:r>
        <w:rPr>
          <w:b/>
          <w:i w:val="0"/>
        </w:rPr>
        <w:t>Option A</w:t>
      </w:r>
      <w:r>
        <w:rPr>
          <w:b w:val="0"/>
          <w:i w:val="0"/>
        </w:rPr>
        <w:t xml:space="preserve"> as a lower-risk starting point, with Option B as a Phase 2 consideration. </w:t>
      </w:r>
      <w:r>
        <w:rPr>
          <w:b/>
          <w:i w:val="0"/>
        </w:rPr>
        <w:t>However</w:t>
      </w:r>
      <w:r>
        <w:rPr>
          <w:b w:val="0"/>
          <w:i w:val="0"/>
        </w:rPr>
        <w:t xml:space="preserve"> I want to hear Marcus and Jessica's view before committing — they may make a strong case for B now rather than later. This section will be rewritten in v2 after the working session.</w:t>
      </w: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[TBD] Formal architecture recommendation lands in v2.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8. Data Model / Schema</w:t>
      </w:r>
    </w:p>
    <w:p>
      <w:r>
        <w:rPr>
          <w:b w:val="0"/>
          <w:i/>
          <w:color w:val="666666"/>
        </w:rPr>
        <w:t>(Placeholder — to be fleshed out after architecture option is chosen.)</w:t>
      </w:r>
    </w:p>
    <w:p>
      <w:r>
        <w:rPr>
          <w:b w:val="0"/>
          <w:i w:val="0"/>
        </w:rPr>
        <w:t xml:space="preserve">If we go with </w:t>
      </w:r>
      <w:r>
        <w:rPr>
          <w:b/>
          <w:i w:val="0"/>
        </w:rPr>
        <w:t>Option A</w:t>
      </w:r>
      <w:r>
        <w:rPr>
          <w:b w:val="0"/>
          <w:i w:val="0"/>
        </w:rPr>
        <w:t>, the schema work is an extension of the existing Snowflake feature table — we add the new features Marketing needs and push them nightly.</w:t>
      </w:r>
    </w:p>
    <w:p>
      <w:r>
        <w:rPr>
          <w:b w:val="0"/>
          <w:i w:val="0"/>
        </w:rPr>
        <w:t xml:space="preserve">If we go with </w:t>
      </w:r>
      <w:r>
        <w:rPr>
          <w:b/>
          <w:i w:val="0"/>
        </w:rPr>
        <w:t>Option B</w:t>
      </w:r>
      <w:r>
        <w:rPr>
          <w:b w:val="0"/>
          <w:i w:val="0"/>
        </w:rPr>
        <w:t xml:space="preserve">, we need to design an AEP event schema that represents a transaction. The raw TSYS authorization record has ~56 fields; most are not useful for marketing (authorization network codes, terminal IDs, etc.). A field-strike exercise would reduce this to a marketing-relevant subset. </w:t>
      </w:r>
      <w:r>
        <w:rPr>
          <w:b w:val="0"/>
          <w:i/>
        </w:rPr>
        <w:t>[TBD — estimate 20–30 fields retained]</w:t>
      </w:r>
    </w:p>
    <w:p>
      <w:pPr>
        <w:spacing w:before="120" w:after="40"/>
      </w:pPr>
      <w:r>
        <w:rPr>
          <w:rFonts w:ascii="Calibri" w:hAnsi="Calibri"/>
          <w:b/>
          <w:color w:val="222222"/>
          <w:sz w:val="23"/>
        </w:rPr>
        <w:t>Key fields likely required regardless of option</w:t>
      </w:r>
    </w:p>
    <w:p>
      <w:pPr>
        <w:pStyle w:val="ListBullet"/>
        <w:ind w:left="360"/>
      </w:pPr>
      <w:r>
        <w:t>Transaction timestamp</w:t>
      </w:r>
    </w:p>
    <w:p>
      <w:pPr>
        <w:pStyle w:val="ListBullet"/>
        <w:ind w:left="360"/>
      </w:pPr>
      <w:r>
        <w:t>Amount, currency</w:t>
      </w:r>
    </w:p>
    <w:p>
      <w:pPr>
        <w:pStyle w:val="ListBullet"/>
        <w:ind w:left="360"/>
      </w:pPr>
      <w:r>
        <w:t>MCC code</w:t>
      </w:r>
    </w:p>
    <w:p>
      <w:pPr>
        <w:pStyle w:val="ListBullet"/>
        <w:ind w:left="360"/>
      </w:pPr>
      <w:r>
        <w:t>Merchant name (raw string initially — normalization later)</w:t>
      </w:r>
    </w:p>
    <w:p>
      <w:pPr>
        <w:pStyle w:val="ListBullet"/>
        <w:ind w:left="360"/>
      </w:pPr>
      <w:r>
        <w:t>Account ID → customer ID mapping</w:t>
      </w:r>
    </w:p>
    <w:p>
      <w:pPr>
        <w:pStyle w:val="ListBullet"/>
        <w:ind w:left="360"/>
      </w:pPr>
      <w:r>
        <w:t>Authorization vs. posted status</w:t>
      </w:r>
    </w:p>
    <w:p>
      <w:r>
        <w:rPr>
          <w:b/>
          <w:i w:val="0"/>
        </w:rPr>
        <w:t xml:space="preserve">Identity resolution. </w:t>
      </w:r>
      <w:r>
        <w:rPr>
          <w:b w:val="0"/>
          <w:i w:val="0"/>
        </w:rPr>
        <w:t xml:space="preserve">We need a stable join key between transaction records and AEP customer profiles. The current Snowflake feature push uses customer ID. For Option B we likely need to resolve on tokenized PAN or account ID. </w:t>
      </w:r>
      <w:r>
        <w:rPr>
          <w:b w:val="0"/>
          <w:i/>
        </w:rPr>
        <w:t>[TBD — Infosec to confirm tokenized PAN is stable across card re-issuance; Marcus flagged this as an open question]</w:t>
      </w:r>
    </w:p>
    <w:p>
      <w:r>
        <w:rPr>
          <w:b/>
          <w:i w:val="0"/>
        </w:rPr>
        <w:t xml:space="preserve">Historical depth. </w:t>
      </w:r>
      <w:r>
        <w:rPr>
          <w:b w:val="0"/>
          <w:i w:val="0"/>
        </w:rPr>
        <w:t xml:space="preserve">AEP today holds 13 months rolling. We should confirm that is sufficient, or whether any use case requires 24 months. </w:t>
      </w:r>
      <w:r>
        <w:rPr>
          <w:b w:val="0"/>
          <w:i/>
        </w:rPr>
        <w:t>[TBD]</w:t>
      </w:r>
    </w:p>
    <w:p>
      <w:r>
        <w:rPr>
          <w:b/>
          <w:i w:val="0"/>
        </w:rPr>
        <w:t xml:space="preserve">Retention. </w:t>
      </w:r>
      <w:r>
        <w:rPr>
          <w:b w:val="0"/>
          <w:i w:val="0"/>
        </w:rPr>
        <w:t xml:space="preserve">Current Snowflake policy is 13 months rolling with hard delete. Assume we mirror that in AEP. </w:t>
      </w:r>
      <w:r>
        <w:rPr>
          <w:b w:val="0"/>
          <w:i/>
        </w:rPr>
        <w:t>[Dana to sign off once we have a written retention spec.]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9. Merchant Normalization</w:t>
      </w:r>
    </w:p>
    <w:p>
      <w:r>
        <w:rPr>
          <w:b w:val="0"/>
          <w:i w:val="0"/>
        </w:rPr>
        <w:t>Raw transaction records carry unnormalized merchant descriptors (e.g., "SQ *STARBUCKS #4721 SAN FRA"). For MVP Marketing use cases driven by MCC, the raw descriptor is probably fine — MCC is the primary category signal. If we want merchant-level targeting (e.g., "Starbucks customers"), we need normalization.</w:t>
      </w:r>
    </w:p>
    <w:p>
      <w:r>
        <w:rPr>
          <w:b/>
          <w:i w:val="0"/>
        </w:rPr>
        <w:t>Options:</w:t>
      </w:r>
    </w:p>
    <w:p>
      <w:pPr>
        <w:pStyle w:val="ListBullet"/>
        <w:ind w:left="360"/>
      </w:pPr>
      <w:r>
        <w:t>Use the in-flight Enterprise Merchant Taxonomy project output. Timeline unclear — could be H2 2026 or later.</w:t>
      </w:r>
    </w:p>
    <w:p>
      <w:pPr>
        <w:pStyle w:val="ListBullet"/>
        <w:ind w:left="360"/>
      </w:pPr>
      <w:r>
        <w:t>Purchase a third-party merchant taxonomy vendor.</w:t>
      </w:r>
    </w:p>
    <w:p>
      <w:pPr>
        <w:pStyle w:val="ListBullet"/>
        <w:ind w:left="360"/>
      </w:pPr>
      <w:r>
        <w:t>Build a lightweight in-house lookup for top-N merchants.</w:t>
      </w:r>
    </w:p>
    <w:p>
      <w:r>
        <w:rPr>
          <w:b/>
          <w:i w:val="0"/>
        </w:rPr>
        <w:t xml:space="preserve">Recommendation. </w:t>
      </w:r>
      <w:r>
        <w:rPr>
          <w:b w:val="0"/>
          <w:i w:val="0"/>
        </w:rPr>
        <w:t xml:space="preserve">For MVP, </w:t>
      </w:r>
      <w:r>
        <w:rPr>
          <w:b/>
          <w:i w:val="0"/>
        </w:rPr>
        <w:t>do not block on merchant normalization.</w:t>
      </w:r>
      <w:r>
        <w:rPr>
          <w:b w:val="0"/>
          <w:i w:val="0"/>
        </w:rPr>
        <w:t xml:space="preserve"> Ship MCC-based category targeting first. Revisit merchant-level targeting as a Phase 2 discussion once the Taxonomy project timeline is clearer. </w:t>
      </w:r>
      <w:r>
        <w:rPr>
          <w:b w:val="0"/>
          <w:i/>
        </w:rPr>
        <w:t>[TBD]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10. Dependencies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60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Dependency</w:t>
            </w:r>
          </w:p>
        </w:tc>
        <w:tc>
          <w:tcPr>
            <w:tcW w:type="dxa" w:w="259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Owner</w:t>
            </w:r>
          </w:p>
        </w:tc>
        <w:tc>
          <w:tcPr>
            <w:tcW w:type="dxa" w:w="2160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Data Engineering working session to evaluate Options A/B/C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Marcus Webb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Scheduled late March</w:t>
            </w:r>
          </w:p>
        </w:tc>
      </w:tr>
      <w:tr>
        <w:tc>
          <w:tcPr>
            <w:tcW w:type="dxa" w:w="46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Analytics input on feature coverage and cluster definitions</w:t>
            </w:r>
          </w:p>
        </w:tc>
        <w:tc>
          <w:tcPr>
            <w:tcW w:type="dxa" w:w="259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Jessica Chen</w:t>
            </w:r>
          </w:p>
        </w:tc>
        <w:tc>
          <w:tcPr>
            <w:tcW w:type="dxa" w:w="216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Not yet kicked off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Adobe solution consultant engagement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MarTech / AEP account team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Not yet engaged</w:t>
            </w:r>
          </w:p>
        </w:tc>
      </w:tr>
      <w:tr>
        <w:tc>
          <w:tcPr>
            <w:tcW w:type="dxa" w:w="46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Infosec confirmation on tokenized PAN stability</w:t>
            </w:r>
          </w:p>
        </w:tc>
        <w:tc>
          <w:tcPr>
            <w:tcW w:type="dxa" w:w="259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Infosec / Marcus</w:t>
            </w:r>
          </w:p>
        </w:tc>
        <w:tc>
          <w:tcPr>
            <w:tcW w:type="dxa" w:w="216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Open</w:t>
            </w:r>
          </w:p>
        </w:tc>
      </w:tr>
      <w:tr>
        <w:tc>
          <w:tcPr>
            <w:tcW w:type="dxa" w:w="46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Governance sign-off on retention and scope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Dana Mueller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Not yet engaged</w:t>
            </w:r>
          </w:p>
        </w:tc>
      </w:tr>
      <w:tr>
        <w:tc>
          <w:tcPr>
            <w:tcW w:type="dxa" w:w="46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Horizon card launch timeline (for UC3)</w:t>
            </w:r>
          </w:p>
        </w:tc>
        <w:tc>
          <w:tcPr>
            <w:tcW w:type="dxa" w:w="259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Priya Raman</w:t>
            </w:r>
          </w:p>
        </w:tc>
        <w:tc>
          <w:tcPr>
            <w:tcW w:type="dxa" w:w="2160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Awaiting confirmation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11. Risks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331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Risk</w:t>
            </w:r>
          </w:p>
        </w:tc>
        <w:tc>
          <w:tcPr>
            <w:tcW w:type="dxa" w:w="1296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Likelihood</w:t>
            </w:r>
          </w:p>
        </w:tc>
        <w:tc>
          <w:tcPr>
            <w:tcW w:type="dxa" w:w="100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Impact</w:t>
            </w:r>
          </w:p>
        </w:tc>
        <w:tc>
          <w:tcPr>
            <w:tcW w:type="dxa" w:w="316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R1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Data Eng team capacity — they are already stretched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Scope tightly, negotiate capacity carve-out with Marcus</w:t>
            </w:r>
          </w:p>
        </w:tc>
      </w:tr>
      <w:tr>
        <w:tc>
          <w:tcPr>
            <w:tcW w:type="dxa" w:w="57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R2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AEP run-rate cost balloons</w:t>
            </w:r>
          </w:p>
        </w:tc>
        <w:tc>
          <w:tcPr>
            <w:tcW w:type="dxa" w:w="129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0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316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Tight field-strike discipline; enforce daily batch (not streaming) for MVP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R3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Use case scope creep (adding a 4th or 5th)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Hold the line at 2 for MVP</w:t>
            </w:r>
          </w:p>
        </w:tc>
      </w:tr>
      <w:tr>
        <w:tc>
          <w:tcPr>
            <w:tcW w:type="dxa" w:w="57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R4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Merchant normalization becomes a blocker</w:t>
            </w:r>
          </w:p>
        </w:tc>
        <w:tc>
          <w:tcPr>
            <w:tcW w:type="dxa" w:w="129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Low</w:t>
            </w:r>
          </w:p>
        </w:tc>
        <w:tc>
          <w:tcPr>
            <w:tcW w:type="dxa" w:w="10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316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Scope to MCC-only for MVP; treat merchant as Phase 2</w:t>
            </w:r>
          </w:p>
        </w:tc>
      </w:tr>
      <w:tr>
        <w:tc>
          <w:tcPr>
            <w:tcW w:type="dxa" w:w="57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R5</w:t>
            </w:r>
          </w:p>
        </w:tc>
        <w:tc>
          <w:tcPr>
            <w:tcW w:type="dxa" w:w="331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Governance raises objections late in the cycle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00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High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Loop Dana in early, before v2</w:t>
            </w:r>
          </w:p>
        </w:tc>
      </w:tr>
      <w:tr>
        <w:tc>
          <w:tcPr>
            <w:tcW w:type="dxa" w:w="57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R6</w:t>
            </w:r>
          </w:p>
        </w:tc>
        <w:tc>
          <w:tcPr>
            <w:tcW w:type="dxa" w:w="331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Horizon launch slips or accelerates</w:t>
            </w:r>
          </w:p>
        </w:tc>
        <w:tc>
          <w:tcPr>
            <w:tcW w:type="dxa" w:w="1296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100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Medium</w:t>
            </w:r>
          </w:p>
        </w:tc>
        <w:tc>
          <w:tcPr>
            <w:tcW w:type="dxa" w:w="316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Do not put Horizon on Flywheel's critical path</w:t>
            </w:r>
          </w:p>
        </w:tc>
      </w:tr>
    </w:tbl>
    <w:p>
      <w:pPr>
        <w:spacing w:after="80"/>
      </w:pP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12. Rollout Plan (Rough)</w:t>
      </w:r>
    </w:p>
    <w:p>
      <w:pPr>
        <w:pStyle w:val="ListBullet"/>
        <w:ind w:left="360"/>
      </w:pPr>
      <w:r>
        <w:rPr>
          <w:b/>
          <w:i w:val="0"/>
        </w:rPr>
        <w:t xml:space="preserve">March: </w:t>
      </w:r>
      <w:r>
        <w:rPr>
          <w:b w:val="0"/>
          <w:i w:val="0"/>
        </w:rPr>
        <w:t>Partner alignment, architecture decision, PRD v2</w:t>
      </w:r>
    </w:p>
    <w:p>
      <w:pPr>
        <w:pStyle w:val="ListBullet"/>
        <w:ind w:left="360"/>
      </w:pPr>
      <w:r>
        <w:rPr>
          <w:b/>
          <w:i w:val="0"/>
        </w:rPr>
        <w:t xml:space="preserve">April: </w:t>
      </w:r>
      <w:r>
        <w:rPr>
          <w:b w:val="0"/>
          <w:i w:val="0"/>
        </w:rPr>
        <w:t>Detailed design, Data Eng scoping, vision deck to Steerco</w:t>
      </w:r>
    </w:p>
    <w:p>
      <w:pPr>
        <w:pStyle w:val="ListBullet"/>
        <w:ind w:left="360"/>
      </w:pPr>
      <w:r>
        <w:rPr>
          <w:b/>
          <w:i w:val="0"/>
        </w:rPr>
        <w:t xml:space="preserve">May–June: </w:t>
      </w:r>
      <w:r>
        <w:rPr>
          <w:b w:val="0"/>
          <w:i w:val="0"/>
        </w:rPr>
        <w:t>Build</w:t>
      </w:r>
    </w:p>
    <w:p>
      <w:pPr>
        <w:pStyle w:val="ListBullet"/>
        <w:ind w:left="360"/>
      </w:pPr>
      <w:r>
        <w:rPr>
          <w:b/>
          <w:i w:val="0"/>
        </w:rPr>
        <w:t xml:space="preserve">July: </w:t>
      </w:r>
      <w:r>
        <w:rPr>
          <w:b w:val="0"/>
          <w:i w:val="0"/>
        </w:rPr>
        <w:t>UAT, audience regression testing</w:t>
      </w:r>
    </w:p>
    <w:p>
      <w:pPr>
        <w:pStyle w:val="ListBullet"/>
        <w:ind w:left="360"/>
      </w:pPr>
      <w:r>
        <w:rPr>
          <w:b/>
          <w:i w:val="0"/>
        </w:rPr>
        <w:t xml:space="preserve">Aug–Sep: </w:t>
      </w:r>
      <w:r>
        <w:rPr>
          <w:b w:val="0"/>
          <w:i w:val="0"/>
        </w:rPr>
        <w:t>MVP go-live for 2 use cases</w:t>
      </w:r>
    </w:p>
    <w:p>
      <w:pPr>
        <w:pStyle w:val="ListBullet"/>
        <w:ind w:left="360"/>
      </w:pPr>
      <w:r>
        <w:rPr>
          <w:b/>
          <w:i w:val="0"/>
        </w:rPr>
        <w:t xml:space="preserve">Q4: </w:t>
      </w:r>
      <w:r>
        <w:rPr>
          <w:b w:val="0"/>
          <w:i w:val="0"/>
        </w:rPr>
        <w:t>Phase 2 scoping (merchant normalization, additional use cases)</w:t>
      </w: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Timeline is highly speculative at this stage. Real dates land after the architecture decision.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13. Cost (Very Rough)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472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Bucket</w:t>
            </w:r>
          </w:p>
        </w:tc>
        <w:tc>
          <w:tcPr>
            <w:tcW w:type="dxa" w:w="3888"/>
            <w:shd w:val="clear" w:color="auto" w:fill="1E276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Rough Range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One-time build (Data Eng + MarTech + Adobe PS)</w:t>
            </w:r>
          </w:p>
        </w:tc>
        <w:tc>
          <w:tcPr>
            <w:tcW w:type="dxa" w:w="388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$400K–$800K</w:t>
            </w:r>
          </w:p>
        </w:tc>
      </w:tr>
      <w:tr>
        <w:tc>
          <w:tcPr>
            <w:tcW w:type="dxa" w:w="5472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AEP incremental run-rate (annual)</w:t>
            </w:r>
          </w:p>
        </w:tc>
        <w:tc>
          <w:tcPr>
            <w:tcW w:type="dxa" w:w="3888"/>
            <w:shd w:val="clear" w:color="auto" w:fill="F3F4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$300K–$900K</w:t>
            </w:r>
          </w:p>
        </w:tc>
      </w:tr>
      <w:tr>
        <w:tc>
          <w:tcPr>
            <w:tcW w:type="dxa" w:w="54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Analytics / Query Service (annual)</w:t>
            </w:r>
          </w:p>
        </w:tc>
        <w:tc>
          <w:tcPr>
            <w:tcW w:type="dxa" w:w="388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sz w:val="21"/>
              </w:rPr>
              <w:t>[TBD]</w:t>
            </w:r>
          </w:p>
        </w:tc>
      </w:tr>
    </w:tbl>
    <w:p>
      <w:pPr>
        <w:spacing w:after="80"/>
      </w:pPr>
    </w:p>
    <w:p>
      <w:pPr>
        <w:spacing w:before="120" w:after="200"/>
        <w:ind w:left="216"/>
        <w:pBdr>
          <w:left w:val="single" w:sz="24" w:space="8" w:color="C9A961"/>
        </w:pBdr>
      </w:pPr>
      <w:r>
        <w:rPr>
          <w:i/>
          <w:color w:val="222222"/>
        </w:rPr>
        <w:t>These ranges are too wide to bring to Steerco. Narrowing is a v2 priority after the architecture working session. David has asked for a defensible number before we go external.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14. Open Questions</w:t>
      </w:r>
    </w:p>
    <w:p>
      <w:pPr>
        <w:pStyle w:val="ListBullet"/>
        <w:ind w:left="360"/>
      </w:pPr>
      <w:r>
        <w:rPr>
          <w:b/>
          <w:i w:val="0"/>
        </w:rPr>
        <w:t xml:space="preserve">1. </w:t>
      </w:r>
      <w:r>
        <w:rPr>
          <w:b/>
          <w:i w:val="0"/>
        </w:rPr>
        <w:t>Which architecture option?</w:t>
      </w:r>
      <w:r>
        <w:rPr>
          <w:b w:val="0"/>
          <w:i w:val="0"/>
        </w:rPr>
        <w:t xml:space="preserve"> A, B, or C — decision target end of March.</w:t>
      </w:r>
    </w:p>
    <w:p>
      <w:pPr>
        <w:pStyle w:val="ListBullet"/>
        <w:ind w:left="360"/>
      </w:pPr>
      <w:r>
        <w:rPr>
          <w:b/>
          <w:i w:val="0"/>
        </w:rPr>
        <w:t xml:space="preserve">2. </w:t>
      </w:r>
      <w:r>
        <w:rPr>
          <w:b/>
          <w:i w:val="0"/>
        </w:rPr>
        <w:t>Which two use cases lock for MVP?</w:t>
      </w:r>
      <w:r>
        <w:rPr>
          <w:b w:val="0"/>
          <w:i w:val="0"/>
        </w:rPr>
        <w:t xml:space="preserve"> UC1, UC2, UC3 — three candidates, pick two.</w:t>
      </w:r>
    </w:p>
    <w:p>
      <w:pPr>
        <w:pStyle w:val="ListBullet"/>
        <w:ind w:left="360"/>
      </w:pPr>
      <w:r>
        <w:rPr>
          <w:b/>
          <w:i w:val="0"/>
        </w:rPr>
        <w:t xml:space="preserve">3. </w:t>
      </w:r>
      <w:r>
        <w:rPr>
          <w:b/>
          <w:i w:val="0"/>
        </w:rPr>
        <w:t>What is the actual median cycle time today?</w:t>
      </w:r>
      <w:r>
        <w:rPr>
          <w:b w:val="0"/>
          <w:i w:val="0"/>
        </w:rPr>
        <w:t xml:space="preserve"> Need Jira pull. [Linh]</w:t>
      </w:r>
    </w:p>
    <w:p>
      <w:pPr>
        <w:pStyle w:val="ListBullet"/>
        <w:ind w:left="360"/>
      </w:pPr>
      <w:r>
        <w:rPr>
          <w:b/>
          <w:i w:val="0"/>
        </w:rPr>
        <w:t xml:space="preserve">4. </w:t>
      </w:r>
      <w:r>
        <w:rPr>
          <w:b/>
          <w:i w:val="0"/>
        </w:rPr>
        <w:t>Is tokenized PAN stable across re-issuance?</w:t>
      </w:r>
      <w:r>
        <w:rPr>
          <w:b w:val="0"/>
          <w:i w:val="0"/>
        </w:rPr>
        <w:t xml:space="preserve"> Infosec to confirm.</w:t>
      </w:r>
    </w:p>
    <w:p>
      <w:pPr>
        <w:pStyle w:val="ListBullet"/>
        <w:ind w:left="360"/>
      </w:pPr>
      <w:r>
        <w:rPr>
          <w:b/>
          <w:i w:val="0"/>
        </w:rPr>
        <w:t xml:space="preserve">5. </w:t>
      </w:r>
      <w:r>
        <w:rPr>
          <w:b/>
          <w:i w:val="0"/>
        </w:rPr>
        <w:t>13 months historical depth — sufficient?</w:t>
      </w:r>
      <w:r>
        <w:rPr>
          <w:b w:val="0"/>
          <w:i w:val="0"/>
        </w:rPr>
        <w:t xml:space="preserve"> Analytics to confirm.</w:t>
      </w:r>
    </w:p>
    <w:p>
      <w:pPr>
        <w:pStyle w:val="ListBullet"/>
        <w:ind w:left="360"/>
      </w:pPr>
      <w:r>
        <w:rPr>
          <w:b/>
          <w:i w:val="0"/>
        </w:rPr>
        <w:t xml:space="preserve">6. </w:t>
      </w:r>
      <w:r>
        <w:rPr>
          <w:b/>
          <w:i w:val="0"/>
        </w:rPr>
        <w:t>How many MCC clusters?</w:t>
      </w:r>
      <w:r>
        <w:rPr>
          <w:b w:val="0"/>
          <w:i w:val="0"/>
        </w:rPr>
        <w:t xml:space="preserve"> 12 is the starting point, needs Analytics review.</w:t>
      </w:r>
    </w:p>
    <w:p>
      <w:pPr>
        <w:pStyle w:val="ListBullet"/>
        <w:ind w:left="360"/>
      </w:pPr>
      <w:r>
        <w:rPr>
          <w:b/>
          <w:i w:val="0"/>
        </w:rPr>
        <w:t xml:space="preserve">7. </w:t>
      </w:r>
      <w:r>
        <w:rPr>
          <w:b/>
          <w:i w:val="0"/>
        </w:rPr>
        <w:t>Dormancy threshold — 90d vs 120d?</w:t>
      </w:r>
      <w:r>
        <w:rPr>
          <w:b w:val="0"/>
          <w:i w:val="0"/>
        </w:rPr>
        <w:t xml:space="preserve"> Analytics to propose.</w:t>
      </w:r>
    </w:p>
    <w:p>
      <w:pPr>
        <w:pStyle w:val="ListBullet"/>
        <w:ind w:left="360"/>
      </w:pPr>
      <w:r>
        <w:rPr>
          <w:b/>
          <w:i w:val="0"/>
        </w:rPr>
        <w:t xml:space="preserve">8. </w:t>
      </w:r>
      <w:r>
        <w:rPr>
          <w:b/>
          <w:i w:val="0"/>
        </w:rPr>
        <w:t>Do we include declined authorizations in scope?</w:t>
      </w:r>
      <w:r>
        <w:rPr>
          <w:b w:val="0"/>
          <w:i w:val="0"/>
        </w:rPr>
        <w:t xml:space="preserve"> [TBD]</w:t>
      </w:r>
    </w:p>
    <w:p>
      <w:pPr>
        <w:pStyle w:val="ListBullet"/>
        <w:ind w:left="360"/>
      </w:pPr>
      <w:r>
        <w:rPr>
          <w:b/>
          <w:i w:val="0"/>
        </w:rPr>
        <w:t xml:space="preserve">9. </w:t>
      </w:r>
      <w:r>
        <w:rPr>
          <w:b/>
          <w:i w:val="0"/>
        </w:rPr>
        <w:t>Merchant normalization — wait for Taxonomy project or vendor?</w:t>
      </w:r>
      <w:r>
        <w:rPr>
          <w:b w:val="0"/>
          <w:i w:val="0"/>
        </w:rPr>
        <w:t xml:space="preserve"> Phase 2 decision.</w:t>
      </w:r>
    </w:p>
    <w:p>
      <w:pPr>
        <w:pStyle w:val="ListBullet"/>
        <w:ind w:left="360"/>
      </w:pPr>
      <w:r>
        <w:rPr>
          <w:b/>
          <w:i w:val="0"/>
        </w:rPr>
        <w:t xml:space="preserve">10. </w:t>
      </w:r>
      <w:r>
        <w:rPr>
          <w:b/>
          <w:i w:val="0"/>
        </w:rPr>
        <w:t>What is David's budget envelope?</w:t>
      </w:r>
      <w:r>
        <w:rPr>
          <w:b w:val="0"/>
          <w:i w:val="0"/>
        </w:rPr>
        <w:t xml:space="preserve"> Need a number before we can narrow the cost section.</w:t>
      </w:r>
    </w:p>
    <w:p>
      <w:pPr>
        <w:pStyle w:val="ListBullet"/>
        <w:ind w:left="360"/>
      </w:pPr>
      <w:r>
        <w:rPr>
          <w:b/>
          <w:i w:val="0"/>
        </w:rPr>
        <w:t xml:space="preserve">11. </w:t>
      </w:r>
      <w:r>
        <w:rPr>
          <w:b/>
          <w:i w:val="0"/>
        </w:rPr>
        <w:t>Horizon card relaunch timing?</w:t>
      </w:r>
      <w:r>
        <w:rPr>
          <w:b w:val="0"/>
          <w:i w:val="0"/>
        </w:rPr>
        <w:t xml:space="preserve"> Confirms UC3 viability.</w:t>
      </w:r>
    </w:p>
    <w:p>
      <w:pPr>
        <w:pStyle w:val="ListBullet"/>
        <w:ind w:left="360"/>
      </w:pPr>
      <w:r>
        <w:rPr>
          <w:b/>
          <w:i w:val="0"/>
        </w:rPr>
        <w:t xml:space="preserve">12. </w:t>
      </w:r>
      <w:r>
        <w:rPr>
          <w:b/>
          <w:i w:val="0"/>
        </w:rPr>
        <w:t>Who is the Adobe SC?</w:t>
      </w:r>
      <w:r>
        <w:rPr>
          <w:b w:val="0"/>
          <w:i w:val="0"/>
        </w:rPr>
        <w:t xml:space="preserve"> Need to engage via account team.</w:t>
      </w:r>
    </w:p>
    <w:p>
      <w:pPr>
        <w:spacing w:before="360" w:after="80"/>
        <w:pBdr>
          <w:bottom w:val="single" w:sz="8" w:space="1" w:color="C9A961"/>
        </w:pBdr>
      </w:pPr>
      <w:r>
        <w:rPr>
          <w:rFonts w:ascii="Georgia" w:hAnsi="Georgia"/>
          <w:b/>
          <w:color w:val="1E2761"/>
          <w:sz w:val="32"/>
        </w:rPr>
        <w:t>15. Appendix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15.1 Glossary</w:t>
      </w:r>
    </w:p>
    <w:p>
      <w:pPr>
        <w:pStyle w:val="ListBullet"/>
        <w:ind w:left="360"/>
      </w:pPr>
      <w:r>
        <w:rPr>
          <w:b/>
          <w:i w:val="0"/>
        </w:rPr>
        <w:t>AEP</w:t>
      </w:r>
      <w:r>
        <w:rPr>
          <w:b w:val="0"/>
          <w:i w:val="0"/>
        </w:rPr>
        <w:t xml:space="preserve"> — Adobe Experience Platform (our marketing data platform)</w:t>
      </w:r>
    </w:p>
    <w:p>
      <w:pPr>
        <w:pStyle w:val="ListBullet"/>
        <w:ind w:left="360"/>
      </w:pPr>
      <w:r>
        <w:rPr>
          <w:b/>
          <w:i w:val="0"/>
        </w:rPr>
        <w:t>MCC</w:t>
      </w:r>
      <w:r>
        <w:rPr>
          <w:b w:val="0"/>
          <w:i w:val="0"/>
        </w:rPr>
        <w:t xml:space="preserve"> — Merchant Category Code (4-digit code on each card transaction)</w:t>
      </w:r>
    </w:p>
    <w:p>
      <w:pPr>
        <w:pStyle w:val="ListBullet"/>
        <w:ind w:left="360"/>
      </w:pPr>
      <w:r>
        <w:rPr>
          <w:b/>
          <w:i w:val="0"/>
        </w:rPr>
        <w:t>TSYS</w:t>
      </w:r>
      <w:r>
        <w:rPr>
          <w:b w:val="0"/>
          <w:i w:val="0"/>
        </w:rPr>
        <w:t xml:space="preserve"> — our card processor; source of authorization and posted transaction records</w:t>
      </w:r>
    </w:p>
    <w:p>
      <w:pPr>
        <w:pStyle w:val="ListBullet"/>
        <w:ind w:left="360"/>
      </w:pPr>
      <w:r>
        <w:rPr>
          <w:b/>
          <w:i w:val="0"/>
        </w:rPr>
        <w:t>Snowflake feature layer</w:t>
      </w:r>
      <w:r>
        <w:rPr>
          <w:b w:val="0"/>
          <w:i w:val="0"/>
        </w:rPr>
        <w:t xml:space="preserve"> — the ~42 marketing features today pushed nightly from Snowflake to AEP</w:t>
      </w:r>
    </w:p>
    <w:p>
      <w:pPr>
        <w:pStyle w:val="ListBullet"/>
        <w:ind w:left="360"/>
      </w:pPr>
      <w:r>
        <w:rPr>
          <w:b/>
          <w:i w:val="0"/>
        </w:rPr>
        <w:t>Horizon card</w:t>
      </w:r>
      <w:r>
        <w:rPr>
          <w:b w:val="0"/>
          <w:i w:val="0"/>
        </w:rPr>
        <w:t xml:space="preserve"> — the premium travel card Priya's team is re-launching in Q3</w:t>
      </w:r>
    </w:p>
    <w:p>
      <w:pPr>
        <w:spacing w:before="200" w:after="40"/>
      </w:pPr>
      <w:r>
        <w:rPr>
          <w:rFonts w:ascii="Calibri" w:hAnsi="Calibri"/>
          <w:b/>
          <w:color w:val="1E2761"/>
          <w:sz w:val="26"/>
        </w:rPr>
        <w:t>15.2 What this doc is not</w:t>
      </w:r>
    </w:p>
    <w:p>
      <w:pPr>
        <w:pStyle w:val="ListBullet"/>
        <w:ind w:left="360"/>
      </w:pPr>
      <w:r>
        <w:t>Not a technical design document (that follows v2, led by Data Eng)</w:t>
      </w:r>
    </w:p>
    <w:p>
      <w:pPr>
        <w:pStyle w:val="ListBullet"/>
        <w:ind w:left="360"/>
      </w:pPr>
      <w:r>
        <w:t>Not a budget approval document (Steerco ask comes later, once the envelope is narrower)</w:t>
      </w:r>
    </w:p>
    <w:p>
      <w:pPr>
        <w:pStyle w:val="ListBullet"/>
        <w:ind w:left="360"/>
      </w:pPr>
      <w:r>
        <w:t>Not a committed plan — it is a proposal for partner review</w:t>
      </w:r>
    </w:p>
    <w:p>
      <w:pPr>
        <w:spacing w:before="480"/>
        <w:jc w:val="center"/>
      </w:pPr>
      <w:r>
        <w:rPr>
          <w:i/>
          <w:color w:val="666666"/>
          <w:sz w:val="20"/>
        </w:rPr>
        <w:t>End of v1 draft. Please send edits to Will by EOW.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