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7560" w:hRule="exact"/>
        </w:trPr>
        <w:tc>
          <w:tcPr>
            <w:tcW w:type="pct" w:w="100%"/>
            <w:tcBorders>
              <w:top w:val="none" w:sz="0"/>
              <w:left w:val="none" w:sz="0"/>
              <w:bottom w:val="none" w:sz="0"/>
              <w:right w:val="none" w:sz="0"/>
            </w:tcBorders>
            <w:shd w:fill="1B2A4A" w:color="auto" w:val="clear"/>
            <w:tcMar>
              <w:top w:type="dxa" w:w="0"/>
              <w:left w:type="dxa" w:w="1440"/>
              <w:bottom w:type="dxa" w:w="0"/>
              <w:right w:type="dxa" w:w="1440"/>
            </w:tcMar>
            <w:vAlign w:val="center"/>
          </w:tcPr>
          <w:p>
            <w:pPr>
              <w:spacing w:after="200" w:before="2400"/>
              <w:jc w:val="left"/>
            </w:pPr>
            <w:r>
              <w:rPr>
                <w:rFonts w:ascii="Calibri"/>
                <w:b/>
                <w:bCs/>
                <w:color w:val="4ECDC4"/>
                <w:spacing w:val="200"/>
                <w:sz w:val="24"/>
                <w:szCs w:val="24"/>
              </w:rPr>
              <w:t xml:space="preserve">DESIGN SPECIFICATION</w:t>
            </w:r>
          </w:p>
          <w:p>
            <w:pPr>
              <w:spacing w:after="200"/>
              <w:jc w:val="left"/>
            </w:pPr>
            <w:r>
              <w:rPr>
                <w:rFonts w:ascii="Calibri"/>
                <w:b/>
                <w:bCs/>
                <w:color w:val="FFFFFF"/>
                <w:sz w:val="72"/>
                <w:szCs w:val="72"/>
              </w:rPr>
              <w:t xml:space="preserve">Persona</w:t>
            </w:r>
          </w:p>
          <w:p>
            <w:pPr>
              <w:spacing w:after="200"/>
              <w:jc w:val="left"/>
            </w:pPr>
            <w:r>
              <w:rPr>
                <w:rFonts w:ascii="Calibri"/>
                <w:color w:val="4ECDC4"/>
                <w:sz w:val="36"/>
                <w:szCs w:val="36"/>
              </w:rPr>
              <w:t xml:space="preserve">AI Roleplay Desktop Application</w:t>
            </w:r>
          </w:p>
          <w:p>
            <w:pPr>
              <w:spacing w:after="0" w:before="300"/>
            </w:pPr>
            <w:r>
              <w:rPr>
                <w:sz w:val="8"/>
                <w:szCs w:val="8"/>
              </w:rPr>
              <w:t xml:space="preserve"> </w:t>
            </w:r>
          </w:p>
        </w:tc>
      </w:tr>
      <w:tr>
        <w:trPr>
          <w:trHeight w:val="8438" w:hRule="exact"/>
        </w:trPr>
        <w:tc>
          <w:tcPr>
            <w:tcW w:type="pct" w:w="100%"/>
            <w:tcBorders>
              <w:top w:val="none" w:sz="0"/>
              <w:left w:val="none" w:sz="0"/>
              <w:bottom w:val="none" w:sz="0"/>
              <w:right w:val="none" w:sz="0"/>
            </w:tcBorders>
            <w:shd w:fill="FFFFFF" w:color="auto" w:val="clear"/>
            <w:tcMar>
              <w:top w:type="dxa" w:w="600"/>
              <w:left w:type="dxa" w:w="1440"/>
              <w:bottom w:type="dxa" w:w="0"/>
              <w:right w:type="dxa" w:w="1440"/>
            </w:tcMar>
            <w:vAlign w:val="top"/>
          </w:tcPr>
          <w:p>
            <w:pPr>
              <w:spacing w:after="300" w:before="400"/>
            </w:pPr>
            <w:r>
              <w:rPr>
                <w:rFonts w:ascii="Calibri"/>
                <w:color w:val="666666"/>
                <w:sz w:val="20"/>
                <w:szCs w:val="20"/>
              </w:rPr>
              <w:t xml:space="preserve">Cross-Platform Desktop Application  |  Character Card System  |  OpenAI-Compatible</w:t>
            </w:r>
          </w:p>
          <w:p>
            <w:pPr>
              <w:spacing w:after="120"/>
            </w:pPr>
            <w:r>
              <w:rPr>
                <w:rFonts w:ascii="Calibri"/>
                <w:color w:val="666666"/>
                <w:sz w:val="20"/>
                <w:szCs w:val="20"/>
              </w:rPr>
              <w:t xml:space="preserve">Version: </w:t>
            </w:r>
            <w:r>
              <w:rPr>
                <w:rFonts w:ascii="Calibri"/>
                <w:b/>
                <w:bCs/>
                <w:color w:val="1B2A4A"/>
                <w:sz w:val="20"/>
                <w:szCs w:val="20"/>
              </w:rPr>
              <w:t xml:space="preserve">1.0</w:t>
            </w:r>
          </w:p>
          <w:p>
            <w:pPr>
              <w:spacing w:after="120"/>
            </w:pPr>
            <w:r>
              <w:rPr>
                <w:rFonts w:ascii="Calibri"/>
                <w:color w:val="666666"/>
                <w:sz w:val="20"/>
                <w:szCs w:val="20"/>
              </w:rPr>
              <w:t xml:space="preserve">Date: </w:t>
            </w:r>
            <w:r>
              <w:rPr>
                <w:rFonts w:ascii="Calibri"/>
                <w:b/>
                <w:bCs/>
                <w:color w:val="1B2A4A"/>
                <w:sz w:val="20"/>
                <w:szCs w:val="20"/>
              </w:rPr>
              <w:t xml:space="preserve">April 28, 2026</w:t>
            </w:r>
          </w:p>
          <w:p>
            <w:pPr>
              <w:spacing w:after="120"/>
            </w:pPr>
            <w:r>
              <w:rPr>
                <w:rFonts w:ascii="Calibri"/>
                <w:color w:val="666666"/>
                <w:sz w:val="20"/>
                <w:szCs w:val="20"/>
              </w:rPr>
              <w:t xml:space="preserve">Status: </w:t>
            </w:r>
            <w:r>
              <w:rPr>
                <w:rFonts w:ascii="Calibri"/>
                <w:b/>
                <w:bCs/>
                <w:color w:val="1B2A4A"/>
                <w:sz w:val="20"/>
                <w:szCs w:val="20"/>
              </w:rPr>
              <w:t xml:space="preserve">Design Phase</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1B2A4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Product Vision &amp; Goals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Vision Statement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Target Audience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Key Objectives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Competitive Analysis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3.1 Platform Comparison</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3.2 Key Differentiators</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Design Philosophy: GNOME Ethos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4.1 Core Principles Applied</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4.1.1 Content-First Design</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4.1.2 Progressive Disclosure</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4.1.3 Consistent Visual Language</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4.1.4 Header Bar Pattern</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4.1.5 Sidebar Navigation</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4.1.6 Adaptive Layout</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4.2 Visual Style Guide</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5. Technology Stack</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5.1 Framework: Tauri 2.0</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5.2 Frontend: React + TypeScript</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5.3 State Management: Zustand</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5.4 Database: SQLite (via rusqlite)</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5.5 UI Component Library: Custom + Radix Primitives</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5.6 Technology Summary</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6. System Architecture</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6.1 High-Level Architecture</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6.2 Module Architecture</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6.3 Context Window Management</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7. Character Card System</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7.1 Card Format Specification</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7.2 Lorebook System</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7.3 Card Import/Export</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7.4 Character Creation Wizard</w:t>
            </w:r>
            <w:r>
              <w:tab/>
            </w:r>
            <w:r>
              <w:fldChar w:fldCharType="begin"/>
            </w:r>
            <w:r>
              <w:instrText xml:space="preserve"> PAGEREF _Toc100032 \h </w:instrText>
            </w:r>
            <w:r>
              <w:fldChar w:fldCharType="separate"/>
            </w:r>
            <w:r>
              <w:t>11</w:t>
            </w:r>
            <w:r>
              <w:fldChar w:fldCharType="end"/>
            </w:r>
          </w:hyperlink>
        </w:p>
        <w:p>
          <w:pPr>
            <w:pStyle w:val="9"/>
            <w:tabs>
              <w:tab w:val="right" w:leader="dot" w:pos="9026"/>
            </w:tabs>
            <w:spacing w:before="120" w:after="60"/>
          </w:pPr>
          <w:hyperlink w:anchor="_Toc100033" w:history="1">
            <w:r>
              <w:rPr>
                <w:rStyle w:val="Hyperlink"/>
              </w:rPr>
              <w:t>8. AI Provider Integration</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8.1 OpenAI-Compatible API</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8.2 Supported Provider Types</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8.3 Provider Configuration</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8.4 Streaming Architecture</w:t>
            </w:r>
            <w:r>
              <w:tab/>
            </w:r>
            <w:r>
              <w:fldChar w:fldCharType="begin"/>
            </w:r>
            <w:r>
              <w:instrText xml:space="preserve"> PAGEREF _Toc100037 \h </w:instrText>
            </w:r>
            <w:r>
              <w:fldChar w:fldCharType="separate"/>
            </w:r>
            <w:r>
              <w:t>12</w:t>
            </w:r>
            <w:r>
              <w:fldChar w:fldCharType="end"/>
            </w:r>
          </w:hyperlink>
        </w:p>
        <w:p>
          <w:pPr>
            <w:pStyle w:val="9"/>
            <w:tabs>
              <w:tab w:val="right" w:leader="dot" w:pos="9026"/>
            </w:tabs>
            <w:spacing w:before="120" w:after="60"/>
          </w:pPr>
          <w:hyperlink w:anchor="_Toc100038" w:history="1">
            <w:r>
              <w:rPr>
                <w:rStyle w:val="Hyperlink"/>
              </w:rPr>
              <w:t>9. UI/UX Design</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9.1 Primary Views</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9.2 Chat View Layout</w:t>
            </w:r>
            <w:r>
              <w:tab/>
            </w:r>
            <w:r>
              <w:fldChar w:fldCharType="begin"/>
            </w:r>
            <w:r>
              <w:instrText xml:space="preserve"> PAGEREF _Toc100040 \h </w:instrText>
            </w:r>
            <w:r>
              <w:fldChar w:fldCharType="separate"/>
            </w:r>
            <w:r>
              <w:t>13</w:t>
            </w:r>
            <w:r>
              <w:fldChar w:fldCharType="end"/>
            </w:r>
          </w:hyperlink>
        </w:p>
        <w:p>
          <w:pPr>
            <w:pStyle w:val="11"/>
            <w:ind w:left="360"/>
            <w:tabs>
              <w:tab w:val="right" w:leader="dot" w:pos="9026"/>
            </w:tabs>
            <w:spacing w:before="120" w:after="60"/>
          </w:pPr>
          <w:hyperlink w:anchor="_Toc100041" w:history="1">
            <w:r>
              <w:rPr>
                <w:rStyle w:val="Hyperlink"/>
              </w:rPr>
              <w:t>9.3 Characters View</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9.4 Settings View</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9.5 Keyboard Navigation</w:t>
            </w:r>
            <w:r>
              <w:tab/>
            </w:r>
            <w:r>
              <w:fldChar w:fldCharType="begin"/>
            </w:r>
            <w:r>
              <w:instrText xml:space="preserve"> PAGEREF _Toc100043 \h </w:instrText>
            </w:r>
            <w:r>
              <w:fldChar w:fldCharType="separate"/>
            </w:r>
            <w:r>
              <w:t>14</w:t>
            </w:r>
            <w:r>
              <w:fldChar w:fldCharType="end"/>
            </w:r>
          </w:hyperlink>
        </w:p>
        <w:p>
          <w:pPr>
            <w:pStyle w:val="9"/>
            <w:tabs>
              <w:tab w:val="right" w:leader="dot" w:pos="9026"/>
            </w:tabs>
            <w:spacing w:before="120" w:after="60"/>
          </w:pPr>
          <w:hyperlink w:anchor="_Toc100044" w:history="1">
            <w:r>
              <w:rPr>
                <w:rStyle w:val="Hyperlink"/>
              </w:rPr>
              <w:t>10. Feature Specifications</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10.1 Conversation Management (Tier 1)</w:t>
            </w:r>
            <w:r>
              <w:tab/>
            </w:r>
            <w:r>
              <w:fldChar w:fldCharType="begin"/>
            </w:r>
            <w:r>
              <w:instrText xml:space="preserve"> PAGEREF _Toc100045 \h </w:instrText>
            </w:r>
            <w:r>
              <w:fldChar w:fldCharType="separate"/>
            </w:r>
            <w:r>
              <w:t>15</w:t>
            </w:r>
            <w:r>
              <w:fldChar w:fldCharType="end"/>
            </w:r>
          </w:hyperlink>
        </w:p>
        <w:p>
          <w:pPr>
            <w:pStyle w:val="11"/>
            <w:ind w:left="360"/>
            <w:tabs>
              <w:tab w:val="right" w:leader="dot" w:pos="9026"/>
            </w:tabs>
            <w:spacing w:before="120" w:after="60"/>
          </w:pPr>
          <w:hyperlink w:anchor="_Toc100046" w:history="1">
            <w:r>
              <w:rPr>
                <w:rStyle w:val="Hyperlink"/>
              </w:rPr>
              <w:t>10.2 Character Management (Tier 1)</w:t>
            </w:r>
            <w:r>
              <w:tab/>
            </w:r>
            <w:r>
              <w:fldChar w:fldCharType="begin"/>
            </w:r>
            <w:r>
              <w:instrText xml:space="preserve"> PAGEREF _Toc100046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10.3 Group Chat (Tier 2)</w:t>
            </w:r>
            <w:r>
              <w:tab/>
            </w:r>
            <w:r>
              <w:fldChar w:fldCharType="begin"/>
            </w:r>
            <w:r>
              <w:instrText xml:space="preserve"> PAGEREF _Toc100047 \h </w:instrText>
            </w:r>
            <w:r>
              <w:fldChar w:fldCharType="separate"/>
            </w:r>
            <w:r>
              <w:t>15</w:t>
            </w:r>
            <w:r>
              <w:fldChar w:fldCharType="end"/>
            </w:r>
          </w:hyperlink>
        </w:p>
        <w:p>
          <w:pPr>
            <w:pStyle w:val="11"/>
            <w:ind w:left="360"/>
            <w:tabs>
              <w:tab w:val="right" w:leader="dot" w:pos="9026"/>
            </w:tabs>
            <w:spacing w:before="120" w:after="60"/>
          </w:pPr>
          <w:hyperlink w:anchor="_Toc100048" w:history="1">
            <w:r>
              <w:rPr>
                <w:rStyle w:val="Hyperlink"/>
              </w:rPr>
              <w:t>10.4 Lorebook Management (Tier 2)</w:t>
            </w:r>
            <w:r>
              <w:tab/>
            </w:r>
            <w:r>
              <w:fldChar w:fldCharType="begin"/>
            </w:r>
            <w:r>
              <w:instrText xml:space="preserve"> PAGEREF _Toc100048 \h </w:instrText>
            </w:r>
            <w:r>
              <w:fldChar w:fldCharType="separate"/>
            </w:r>
            <w:r>
              <w:t>16</w:t>
            </w:r>
            <w:r>
              <w:fldChar w:fldCharType="end"/>
            </w:r>
          </w:hyperlink>
        </w:p>
        <w:p>
          <w:pPr>
            <w:pStyle w:val="11"/>
            <w:ind w:left="360"/>
            <w:tabs>
              <w:tab w:val="right" w:leader="dot" w:pos="9026"/>
            </w:tabs>
            <w:spacing w:before="120" w:after="60"/>
          </w:pPr>
          <w:hyperlink w:anchor="_Toc100049" w:history="1">
            <w:r>
              <w:rPr>
                <w:rStyle w:val="Hyperlink"/>
              </w:rPr>
              <w:t>10.5 Regex Scripting (Tier 2)</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0" w:history="1">
            <w:r>
              <w:rPr>
                <w:rStyle w:val="Hyperlink"/>
              </w:rPr>
              <w:t>10.6 Conversation Search (Tier 2)</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10.7 Prompt Presets (Tier 1)</w:t>
            </w:r>
            <w:r>
              <w:tab/>
            </w:r>
            <w:r>
              <w:fldChar w:fldCharType="begin"/>
            </w:r>
            <w:r>
              <w:instrText xml:space="preserve"> PAGEREF _Toc100051 \h </w:instrText>
            </w:r>
            <w:r>
              <w:fldChar w:fldCharType="separate"/>
            </w:r>
            <w:r>
              <w:t>16</w:t>
            </w:r>
            <w:r>
              <w:fldChar w:fldCharType="end"/>
            </w:r>
          </w:hyperlink>
        </w:p>
        <w:p>
          <w:pPr>
            <w:pStyle w:val="11"/>
            <w:ind w:left="360"/>
            <w:tabs>
              <w:tab w:val="right" w:leader="dot" w:pos="9026"/>
            </w:tabs>
            <w:spacing w:before="120" w:after="60"/>
          </w:pPr>
          <w:hyperlink w:anchor="_Toc100052" w:history="1">
            <w:r>
              <w:rPr>
                <w:rStyle w:val="Hyperlink"/>
              </w:rPr>
              <w:t>10.8 Vault Mode (Tier 3)</w:t>
            </w:r>
            <w:r>
              <w:tab/>
            </w:r>
            <w:r>
              <w:fldChar w:fldCharType="begin"/>
            </w:r>
            <w:r>
              <w:instrText xml:space="preserve"> PAGEREF _Toc100052 \h </w:instrText>
            </w:r>
            <w:r>
              <w:fldChar w:fldCharType="separate"/>
            </w:r>
            <w:r>
              <w:t>17</w:t>
            </w:r>
            <w:r>
              <w:fldChar w:fldCharType="end"/>
            </w:r>
          </w:hyperlink>
        </w:p>
        <w:p>
          <w:pPr>
            <w:pStyle w:val="9"/>
            <w:tabs>
              <w:tab w:val="right" w:leader="dot" w:pos="9026"/>
            </w:tabs>
            <w:spacing w:before="120" w:after="60"/>
          </w:pPr>
          <w:hyperlink w:anchor="_Toc100053" w:history="1">
            <w:r>
              <w:rPr>
                <w:rStyle w:val="Hyperlink"/>
              </w:rPr>
              <w:t>11. Data Model &amp; Storage</w:t>
            </w:r>
            <w:r>
              <w:tab/>
            </w:r>
            <w:r>
              <w:fldChar w:fldCharType="begin"/>
            </w:r>
            <w:r>
              <w:instrText xml:space="preserve"> PAGEREF _Toc100053 \h </w:instrText>
            </w:r>
            <w:r>
              <w:fldChar w:fldCharType="separate"/>
            </w:r>
            <w:r>
              <w:t>17</w:t>
            </w:r>
            <w:r>
              <w:fldChar w:fldCharType="end"/>
            </w:r>
          </w:hyperlink>
        </w:p>
        <w:p>
          <w:pPr>
            <w:pStyle w:val="11"/>
            <w:ind w:left="360"/>
            <w:tabs>
              <w:tab w:val="right" w:leader="dot" w:pos="9026"/>
            </w:tabs>
            <w:spacing w:before="120" w:after="60"/>
          </w:pPr>
          <w:hyperlink w:anchor="_Toc100054" w:history="1">
            <w:r>
              <w:rPr>
                <w:rStyle w:val="Hyperlink"/>
              </w:rPr>
              <w:t>11.1 Core Schema</w:t>
            </w:r>
            <w:r>
              <w:tab/>
            </w:r>
            <w:r>
              <w:fldChar w:fldCharType="begin"/>
            </w:r>
            <w:r>
              <w:instrText xml:space="preserve"> PAGEREF _Toc100054 \h </w:instrText>
            </w:r>
            <w:r>
              <w:fldChar w:fldCharType="separate"/>
            </w:r>
            <w:r>
              <w:t>17</w:t>
            </w:r>
            <w:r>
              <w:fldChar w:fldCharType="end"/>
            </w:r>
          </w:hyperlink>
        </w:p>
        <w:p>
          <w:pPr>
            <w:pStyle w:val="11"/>
            <w:ind w:left="360"/>
            <w:tabs>
              <w:tab w:val="right" w:leader="dot" w:pos="9026"/>
            </w:tabs>
            <w:spacing w:before="120" w:after="60"/>
          </w:pPr>
          <w:hyperlink w:anchor="_Toc100055" w:history="1">
            <w:r>
              <w:rPr>
                <w:rStyle w:val="Hyperlink"/>
              </w:rPr>
              <w:t>11.2 Branch Storage Model</w:t>
            </w:r>
            <w:r>
              <w:tab/>
            </w:r>
            <w:r>
              <w:fldChar w:fldCharType="begin"/>
            </w:r>
            <w:r>
              <w:instrText xml:space="preserve"> PAGEREF _Toc100055 \h </w:instrText>
            </w:r>
            <w:r>
              <w:fldChar w:fldCharType="separate"/>
            </w:r>
            <w:r>
              <w:t>17</w:t>
            </w:r>
            <w:r>
              <w:fldChar w:fldCharType="end"/>
            </w:r>
          </w:hyperlink>
        </w:p>
        <w:p>
          <w:pPr>
            <w:pStyle w:val="11"/>
            <w:ind w:left="360"/>
            <w:tabs>
              <w:tab w:val="right" w:leader="dot" w:pos="9026"/>
            </w:tabs>
            <w:spacing w:before="120" w:after="60"/>
          </w:pPr>
          <w:hyperlink w:anchor="_Toc100056" w:history="1">
            <w:r>
              <w:rPr>
                <w:rStyle w:val="Hyperlink"/>
              </w:rPr>
              <w:t>11.3 Backup &amp; Portability</w:t>
            </w:r>
            <w:r>
              <w:tab/>
            </w:r>
            <w:r>
              <w:fldChar w:fldCharType="begin"/>
            </w:r>
            <w:r>
              <w:instrText xml:space="preserve"> PAGEREF _Toc100056 \h </w:instrText>
            </w:r>
            <w:r>
              <w:fldChar w:fldCharType="separate"/>
            </w:r>
            <w:r>
              <w:t>18</w:t>
            </w:r>
            <w:r>
              <w:fldChar w:fldCharType="end"/>
            </w:r>
          </w:hyperlink>
        </w:p>
        <w:p>
          <w:pPr>
            <w:pStyle w:val="9"/>
            <w:tabs>
              <w:tab w:val="right" w:leader="dot" w:pos="9026"/>
            </w:tabs>
            <w:spacing w:before="120" w:after="60"/>
          </w:pPr>
          <w:hyperlink w:anchor="_Toc100057" w:history="1">
            <w:r>
              <w:rPr>
                <w:rStyle w:val="Hyperlink"/>
              </w:rPr>
              <w:t>12. Security &amp; Privacy</w:t>
            </w:r>
            <w:r>
              <w:tab/>
            </w:r>
            <w:r>
              <w:fldChar w:fldCharType="begin"/>
            </w:r>
            <w:r>
              <w:instrText xml:space="preserve"> PAGEREF _Toc100057 \h </w:instrText>
            </w:r>
            <w:r>
              <w:fldChar w:fldCharType="separate"/>
            </w:r>
            <w:r>
              <w:t>18</w:t>
            </w:r>
            <w:r>
              <w:fldChar w:fldCharType="end"/>
            </w:r>
          </w:hyperlink>
        </w:p>
        <w:p>
          <w:pPr>
            <w:pStyle w:val="11"/>
            <w:ind w:left="360"/>
            <w:tabs>
              <w:tab w:val="right" w:leader="dot" w:pos="9026"/>
            </w:tabs>
            <w:spacing w:before="120" w:after="60"/>
          </w:pPr>
          <w:hyperlink w:anchor="_Toc100058" w:history="1">
            <w:r>
              <w:rPr>
                <w:rStyle w:val="Hyperlink"/>
              </w:rPr>
              <w:t>12.1 API Key Security</w:t>
            </w:r>
            <w:r>
              <w:tab/>
            </w:r>
            <w:r>
              <w:fldChar w:fldCharType="begin"/>
            </w:r>
            <w:r>
              <w:instrText xml:space="preserve"> PAGEREF _Toc100058 \h </w:instrText>
            </w:r>
            <w:r>
              <w:fldChar w:fldCharType="separate"/>
            </w:r>
            <w:r>
              <w:t>18</w:t>
            </w:r>
            <w:r>
              <w:fldChar w:fldCharType="end"/>
            </w:r>
          </w:hyperlink>
        </w:p>
        <w:p>
          <w:pPr>
            <w:pStyle w:val="11"/>
            <w:ind w:left="360"/>
            <w:tabs>
              <w:tab w:val="right" w:leader="dot" w:pos="9026"/>
            </w:tabs>
            <w:spacing w:before="120" w:after="60"/>
          </w:pPr>
          <w:hyperlink w:anchor="_Toc100059" w:history="1">
            <w:r>
              <w:rPr>
                <w:rStyle w:val="Hyperlink"/>
              </w:rPr>
              <w:t>12.2 Network Security</w:t>
            </w:r>
            <w:r>
              <w:tab/>
            </w:r>
            <w:r>
              <w:fldChar w:fldCharType="begin"/>
            </w:r>
            <w:r>
              <w:instrText xml:space="preserve"> PAGEREF _Toc100059 \h </w:instrText>
            </w:r>
            <w:r>
              <w:fldChar w:fldCharType="separate"/>
            </w:r>
            <w:r>
              <w:t>18</w:t>
            </w:r>
            <w:r>
              <w:fldChar w:fldCharType="end"/>
            </w:r>
          </w:hyperlink>
        </w:p>
        <w:p>
          <w:pPr>
            <w:pStyle w:val="11"/>
            <w:ind w:left="360"/>
            <w:tabs>
              <w:tab w:val="right" w:leader="dot" w:pos="9026"/>
            </w:tabs>
            <w:spacing w:before="120" w:after="60"/>
          </w:pPr>
          <w:hyperlink w:anchor="_Toc100060" w:history="1">
            <w:r>
              <w:rPr>
                <w:rStyle w:val="Hyperlink"/>
              </w:rPr>
              <w:t>12.3 Content Security</w:t>
            </w:r>
            <w:r>
              <w:tab/>
            </w:r>
            <w:r>
              <w:fldChar w:fldCharType="begin"/>
            </w:r>
            <w:r>
              <w:instrText xml:space="preserve"> PAGEREF _Toc100060 \h </w:instrText>
            </w:r>
            <w:r>
              <w:fldChar w:fldCharType="separate"/>
            </w:r>
            <w:r>
              <w:t>19</w:t>
            </w:r>
            <w:r>
              <w:fldChar w:fldCharType="end"/>
            </w:r>
          </w:hyperlink>
        </w:p>
        <w:p>
          <w:pPr>
            <w:pStyle w:val="11"/>
            <w:ind w:left="360"/>
            <w:tabs>
              <w:tab w:val="right" w:leader="dot" w:pos="9026"/>
            </w:tabs>
            <w:spacing w:before="120" w:after="60"/>
          </w:pPr>
          <w:hyperlink w:anchor="_Toc100061" w:history="1">
            <w:r>
              <w:rPr>
                <w:rStyle w:val="Hyperlink"/>
              </w:rPr>
              <w:t>12.4 Input Sanitization</w:t>
            </w:r>
            <w:r>
              <w:tab/>
            </w:r>
            <w:r>
              <w:fldChar w:fldCharType="begin"/>
            </w:r>
            <w:r>
              <w:instrText xml:space="preserve"> PAGEREF _Toc100061 \h </w:instrText>
            </w:r>
            <w:r>
              <w:fldChar w:fldCharType="separate"/>
            </w:r>
            <w:r>
              <w:t>19</w:t>
            </w:r>
            <w:r>
              <w:fldChar w:fldCharType="end"/>
            </w:r>
          </w:hyperlink>
        </w:p>
        <w:p>
          <w:pPr>
            <w:pStyle w:val="9"/>
            <w:tabs>
              <w:tab w:val="right" w:leader="dot" w:pos="9026"/>
            </w:tabs>
            <w:spacing w:before="120" w:after="60"/>
          </w:pPr>
          <w:hyperlink w:anchor="_Toc100062" w:history="1">
            <w:r>
              <w:rPr>
                <w:rStyle w:val="Hyperlink"/>
              </w:rPr>
              <w:t>13. Development Roadmap</w:t>
            </w:r>
            <w:r>
              <w:tab/>
            </w:r>
            <w:r>
              <w:fldChar w:fldCharType="begin"/>
            </w:r>
            <w:r>
              <w:instrText xml:space="preserve"> PAGEREF _Toc100062 \h </w:instrText>
            </w:r>
            <w:r>
              <w:fldChar w:fldCharType="separate"/>
            </w:r>
            <w:r>
              <w:t>19</w:t>
            </w:r>
            <w:r>
              <w:fldChar w:fldCharType="end"/>
            </w:r>
          </w:hyperlink>
        </w:p>
        <w:p>
          <w:pPr>
            <w:pStyle w:val="11"/>
            <w:ind w:left="360"/>
            <w:tabs>
              <w:tab w:val="right" w:leader="dot" w:pos="9026"/>
            </w:tabs>
            <w:spacing w:before="120" w:after="60"/>
          </w:pPr>
          <w:hyperlink w:anchor="_Toc100063" w:history="1">
            <w:r>
              <w:rPr>
                <w:rStyle w:val="Hyperlink"/>
              </w:rPr>
              <w:t>13.1 Phase 1: Foundation (Months 1-3)</w:t>
            </w:r>
            <w:r>
              <w:tab/>
            </w:r>
            <w:r>
              <w:fldChar w:fldCharType="begin"/>
            </w:r>
            <w:r>
              <w:instrText xml:space="preserve"> PAGEREF _Toc100063 \h </w:instrText>
            </w:r>
            <w:r>
              <w:fldChar w:fldCharType="separate"/>
            </w:r>
            <w:r>
              <w:t>19</w:t>
            </w:r>
            <w:r>
              <w:fldChar w:fldCharType="end"/>
            </w:r>
          </w:hyperlink>
        </w:p>
        <w:p>
          <w:pPr>
            <w:pStyle w:val="11"/>
            <w:ind w:left="360"/>
            <w:tabs>
              <w:tab w:val="right" w:leader="dot" w:pos="9026"/>
            </w:tabs>
            <w:spacing w:before="120" w:after="60"/>
          </w:pPr>
          <w:hyperlink w:anchor="_Toc100064" w:history="1">
            <w:r>
              <w:rPr>
                <w:rStyle w:val="Hyperlink"/>
              </w:rPr>
              <w:t>13.2 Phase 2: Core Features (Months 4-6)</w:t>
            </w:r>
            <w:r>
              <w:tab/>
            </w:r>
            <w:r>
              <w:fldChar w:fldCharType="begin"/>
            </w:r>
            <w:r>
              <w:instrText xml:space="preserve"> PAGEREF _Toc100064 \h </w:instrText>
            </w:r>
            <w:r>
              <w:fldChar w:fldCharType="separate"/>
            </w:r>
            <w:r>
              <w:t>20</w:t>
            </w:r>
            <w:r>
              <w:fldChar w:fldCharType="end"/>
            </w:r>
          </w:hyperlink>
        </w:p>
        <w:p>
          <w:pPr>
            <w:pStyle w:val="11"/>
            <w:ind w:left="360"/>
            <w:tabs>
              <w:tab w:val="right" w:leader="dot" w:pos="9026"/>
            </w:tabs>
            <w:spacing w:before="120" w:after="60"/>
          </w:pPr>
          <w:hyperlink w:anchor="_Toc100065" w:history="1">
            <w:r>
              <w:rPr>
                <w:rStyle w:val="Hyperlink"/>
              </w:rPr>
              <w:t>13.3 Phase 3: Advanced Features (Months 7-9)</w:t>
            </w:r>
            <w:r>
              <w:tab/>
            </w:r>
            <w:r>
              <w:fldChar w:fldCharType="begin"/>
            </w:r>
            <w:r>
              <w:instrText xml:space="preserve"> PAGEREF _Toc100065 \h </w:instrText>
            </w:r>
            <w:r>
              <w:fldChar w:fldCharType="separate"/>
            </w:r>
            <w:r>
              <w:t>20</w:t>
            </w:r>
            <w:r>
              <w:fldChar w:fldCharType="end"/>
            </w:r>
          </w:hyperlink>
        </w:p>
        <w:p>
          <w:pPr>
            <w:pStyle w:val="11"/>
            <w:ind w:left="360"/>
            <w:tabs>
              <w:tab w:val="right" w:leader="dot" w:pos="9026"/>
            </w:tabs>
            <w:spacing w:before="120" w:after="60"/>
          </w:pPr>
          <w:hyperlink w:anchor="_Toc100066" w:history="1">
            <w:r>
              <w:rPr>
                <w:rStyle w:val="Hyperlink"/>
              </w:rPr>
              <w:t>13.4 Phase 4: Polish &amp; Community (Months 10-12)</w:t>
            </w:r>
            <w:r>
              <w:tab/>
            </w:r>
            <w:r>
              <w:fldChar w:fldCharType="begin"/>
            </w:r>
            <w:r>
              <w:instrText xml:space="preserve"> PAGEREF _Toc100066 \h </w:instrText>
            </w:r>
            <w:r>
              <w:fldChar w:fldCharType="separate"/>
            </w:r>
            <w:r>
              <w:t>21</w:t>
            </w:r>
            <w:r>
              <w:fldChar w:fldCharType="end"/>
            </w:r>
          </w:hyperlink>
        </w:p>
        <w:p>
          <w:pPr>
            <w:pStyle w:val="11"/>
            <w:ind w:left="360"/>
            <w:tabs>
              <w:tab w:val="right" w:leader="dot" w:pos="9026"/>
            </w:tabs>
            <w:spacing w:before="120" w:after="60"/>
          </w:pPr>
          <w:hyperlink w:anchor="_Toc100067" w:history="1">
            <w:r>
              <w:rPr>
                <w:rStyle w:val="Hyperlink"/>
              </w:rPr>
              <w:t>13.5 Roadmap Summary</w:t>
            </w:r>
            <w:r>
              <w:tab/>
            </w:r>
            <w:r>
              <w:fldChar w:fldCharType="begin"/>
            </w:r>
            <w:r>
              <w:instrText xml:space="preserve"> PAGEREF _Toc100067 \h </w:instrText>
            </w:r>
            <w:r>
              <w:fldChar w:fldCharType="separate"/>
            </w:r>
            <w:r>
              <w:t>21</w:t>
            </w:r>
            <w:r>
              <w:fldChar w:fldCharType="end"/>
            </w:r>
          </w:hyperlink>
        </w:p>
        <w:p>
          <w:pPr>
            <w:pStyle w:val="9"/>
            <w:tabs>
              <w:tab w:val="right" w:leader="dot" w:pos="9026"/>
            </w:tabs>
            <w:spacing w:before="120" w:after="60"/>
          </w:pPr>
          <w:hyperlink w:anchor="_Toc100068" w:history="1">
            <w:r>
              <w:rPr>
                <w:rStyle w:val="Hyperlink"/>
              </w:rPr>
              <w:t>14. Appendix A: Character Card JSON Schema</w:t>
            </w:r>
            <w:r>
              <w:tab/>
            </w:r>
            <w:r>
              <w:fldChar w:fldCharType="begin"/>
            </w:r>
            <w:r>
              <w:instrText xml:space="preserve"> PAGEREF _Toc100068 \h </w:instrText>
            </w:r>
            <w:r>
              <w:fldChar w:fldCharType="separate"/>
            </w:r>
            <w:r>
              <w:t>21</w:t>
            </w:r>
            <w:r>
              <w:fldChar w:fldCharType="end"/>
            </w:r>
          </w:hyperlink>
        </w:p>
        <w:p>
          <w:pPr>
            <w:pStyle w:val="9"/>
            <w:tabs>
              <w:tab w:val="right" w:leader="dot" w:pos="9026"/>
            </w:tabs>
            <w:spacing w:before="120" w:after="60"/>
          </w:pPr>
          <w:hyperlink w:anchor="_Toc100069" w:history="1">
            <w:r>
              <w:rPr>
                <w:rStyle w:val="Hyperlink"/>
              </w:rPr>
              <w:t>15. Appendix B: API Compatibility Matrix</w:t>
            </w:r>
            <w:r>
              <w:tab/>
            </w:r>
            <w:r>
              <w:fldChar w:fldCharType="begin"/>
            </w:r>
            <w:r>
              <w:instrText xml:space="preserve"> PAGEREF _Toc100069 \h </w:instrText>
            </w:r>
            <w:r>
              <w:fldChar w:fldCharType="separate"/>
            </w:r>
            <w:r>
              <w:t>21</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40" w:bottom="1440" w:left="1440" w:header="708" w:footer="708" w:gutter="0"/>
          <w:pgNumType w:start="1" w:fmt="upperRoman"/>
          <w:docGrid w:linePitch="360"/>
        </w:sectPr>
      </w:pPr>
    </w:p>
    <w:p>
      <w:pPr>
        <w:pStyle w:val="Heading1"/>
        <w:spacing w:after="300" w:before="600"/>
      </w:pPr>
      <w:bookmarkStart w:id="100000" w:name="_Toc100000"/>
      <w:r>
        <w:rPr>
          <w:rFonts w:ascii="Calibri" w:eastAsia="SimHei"/>
          <w:b/>
          <w:bCs/>
          <w:color w:val="1B2A4A"/>
          <w:sz w:val="32"/>
          <w:szCs w:val="32"/>
        </w:rPr>
        <w:t xml:space="preserve">1. Executive Summary</w:t>
      </w:r>
      <w:bookmarkEnd w:id="100000"/>
    </w:p>
    <w:p>
      <w:pPr>
        <w:spacing w:after="160" w:line="312"/>
      </w:pPr>
      <w:r>
        <w:rPr>
          <w:rFonts w:ascii="Calibri" w:eastAsia="SimSun"/>
          <w:color w:val="000000"/>
          <w:sz w:val="22"/>
          <w:szCs w:val="22"/>
        </w:rPr>
        <w:t xml:space="preserve">Persona is a cross-platform desktop application designed for immersive, interactive roleplay with AI-powered characters. The application combines the rich conversational capabilities of modern large language models with a thoughtfully crafted character card system, enabling users to create, share, and engage with AI personas in deep, contextual narratives. Unlike existing web-based platforms, Persona is built as a native-feeling desktop application that prioritizes user privacy, data sovereignty, and offline accessibility while maintaining a sleek, distraction-free interface.</w:t>
      </w:r>
    </w:p>
    <w:p>
      <w:pPr>
        <w:spacing w:after="160" w:line="312"/>
      </w:pPr>
      <w:r>
        <w:rPr>
          <w:rFonts w:ascii="Calibri" w:eastAsia="SimSun"/>
          <w:color w:val="000000"/>
          <w:sz w:val="22"/>
          <w:szCs w:val="22"/>
        </w:rPr>
        <w:t xml:space="preserve">The application draws design inspiration from the GNOME desktop environment's design ethos, emphasizing clarity, minimalism, and content-first interaction. This means every UI element serves a clear purpose, visual noise is ruthlessly eliminated, and the user's creative content always takes center stage. The GNOME philosophy of "getting out of the user's way" aligns perfectly with the needs of roleplay enthusiasts who demand long, uninterrupted creative sessions without UI fatigue.</w:t>
      </w:r>
    </w:p>
    <w:p>
      <w:pPr>
        <w:spacing w:after="160" w:line="312"/>
      </w:pPr>
      <w:r>
        <w:rPr>
          <w:rFonts w:ascii="Calibri" w:eastAsia="SimSun"/>
          <w:color w:val="000000"/>
          <w:sz w:val="22"/>
          <w:szCs w:val="22"/>
        </w:rPr>
        <w:t xml:space="preserve">At its core, Persona is provider-agnostic. It communicates with any OpenAI-compatible API endpoint, giving users the freedom to choose their preferred AI backend, whether that is a commercial provider like OpenAI or Anthropic, an open-source model served locally through tools like Ollama or LM Studio, or a custom deployment. This flexibility ensures that users are never locked into a single provider and can optimize for cost, quality, latency, or privacy according to their own priorities.</w:t>
      </w:r>
    </w:p>
    <w:p>
      <w:pPr>
        <w:spacing w:after="160" w:line="312"/>
      </w:pPr>
      <w:r>
        <w:rPr>
          <w:rFonts w:ascii="Calibri" w:eastAsia="SimSun"/>
          <w:color w:val="000000"/>
          <w:sz w:val="22"/>
          <w:szCs w:val="22"/>
        </w:rPr>
        <w:t xml:space="preserve">The character card system serves as the foundational data model, encoding a character's personality, appearance, behavioral patterns, sample dialogues, and scenario context into a portable, standardized format. Cards can be imported from existing ecosystems like SillyTavern and CharacterAI, created from scratch using an intuitive built-in editor, or shared with the community through export functionality. The system supports rich metadata including lorebooks (world-building knowledge bases), alternate greetings, and dynamic prompt presets that allow users to fine-tune AI behavior for different narrative styles.</w:t>
      </w:r>
    </w:p>
    <w:p>
      <w:pPr>
        <w:pStyle w:val="Heading1"/>
        <w:spacing w:after="300" w:before="600"/>
      </w:pPr>
      <w:bookmarkStart w:id="100001" w:name="_Toc100001"/>
      <w:r>
        <w:rPr>
          <w:rFonts w:ascii="Calibri" w:eastAsia="SimHei"/>
          <w:b/>
          <w:bCs/>
          <w:color w:val="1B2A4A"/>
          <w:sz w:val="32"/>
          <w:szCs w:val="32"/>
        </w:rPr>
        <w:t xml:space="preserve">2. Product Vision &amp; Goals</w:t>
      </w:r>
      <w:bookmarkEnd w:id="100001"/>
    </w:p>
    <w:p>
      <w:pPr>
        <w:pStyle w:val="Heading2"/>
        <w:spacing w:after="240" w:before="480"/>
      </w:pPr>
      <w:bookmarkStart w:id="100002" w:name="_Toc100002"/>
      <w:r>
        <w:rPr>
          <w:rFonts w:ascii="Calibri" w:eastAsia="SimHei"/>
          <w:b/>
          <w:bCs/>
          <w:color w:val="2C3E6B"/>
          <w:sz w:val="28"/>
          <w:szCs w:val="28"/>
        </w:rPr>
        <w:t xml:space="preserve">2.1 Vision Statement</w:t>
      </w:r>
      <w:bookmarkEnd w:id="100002"/>
    </w:p>
    <w:p>
      <w:pPr>
        <w:spacing w:after="160" w:line="312"/>
      </w:pPr>
      <w:r>
        <w:rPr>
          <w:rFonts w:ascii="Calibri" w:eastAsia="SimSun"/>
          <w:color w:val="000000"/>
          <w:sz w:val="22"/>
          <w:szCs w:val="22"/>
        </w:rPr>
        <w:t xml:space="preserve">To create the most refined, privacy-respecting, and creatively empowering AI roleplay experience on the desktop, where users can bring any character to life through conversation and storytelling, supported by a beautifully minimal interface that disappears into the background of their imagination.</w:t>
      </w:r>
    </w:p>
    <w:p>
      <w:pPr>
        <w:pStyle w:val="Heading2"/>
        <w:spacing w:after="240" w:before="480"/>
      </w:pPr>
      <w:bookmarkStart w:id="100003" w:name="_Toc100003"/>
      <w:r>
        <w:rPr>
          <w:rFonts w:ascii="Calibri" w:eastAsia="SimHei"/>
          <w:b/>
          <w:bCs/>
          <w:color w:val="2C3E6B"/>
          <w:sz w:val="28"/>
          <w:szCs w:val="28"/>
        </w:rPr>
        <w:t xml:space="preserve">2.2 Target Audience</w:t>
      </w:r>
      <w:bookmarkEnd w:id="100003"/>
    </w:p>
    <w:p>
      <w:pPr>
        <w:spacing w:after="160" w:line="312"/>
      </w:pPr>
      <w:r>
        <w:rPr>
          <w:rFonts w:ascii="Calibri" w:eastAsia="SimSun"/>
          <w:color w:val="000000"/>
          <w:sz w:val="22"/>
          <w:szCs w:val="22"/>
        </w:rPr>
        <w:t xml:space="preserve">Persona targets several distinct user segments, each with unique needs and expectations. Creative writers and novelists form a primary audience, seeking AI collaborators that can help them explore character voices, test dialogue, and develop storylines through interactive conversation. These users value depth, consistency, and the ability to maintain long narrative contexts across many sessions.</w:t>
      </w:r>
    </w:p>
    <w:p>
      <w:pPr>
        <w:spacing w:after="160" w:line="312"/>
      </w:pPr>
      <w:r>
        <w:rPr>
          <w:rFonts w:ascii="Calibri" w:eastAsia="SimSun"/>
          <w:color w:val="000000"/>
          <w:sz w:val="22"/>
          <w:szCs w:val="22"/>
        </w:rPr>
        <w:t xml:space="preserve">Tabletop roleplaying game enthusiasts represent another key segment, using AI characters as dungeon masters, NPCs, or fellow party members. They require structured scenario management, world-building tools (lorebooks), and the ability to maintain consistent rules and settings across campaigns. The application's local-first architecture ensures their custom worlds remain private and always accessible.</w:t>
      </w:r>
    </w:p>
    <w:p>
      <w:pPr>
        <w:spacing w:after="160" w:line="312"/>
      </w:pPr>
      <w:r>
        <w:rPr>
          <w:rFonts w:ascii="Calibri" w:eastAsia="SimSun"/>
          <w:color w:val="000000"/>
          <w:sz w:val="22"/>
          <w:szCs w:val="22"/>
        </w:rPr>
        <w:t xml:space="preserve">Casual roleplay hobbyists who currently use platforms like Character.ai or SpicyChat form the broadest potential user base. These users want an easy on-ramp with intuitive character creation, seamless conversation flow, and the ability to explore diverse character interactions. They are drawn by the promise of uncensored, private interactions that respect their creative freedom without corporate content policy restrictions.</w:t>
      </w:r>
    </w:p>
    <w:p>
      <w:pPr>
        <w:spacing w:after="160" w:line="312"/>
      </w:pPr>
      <w:r>
        <w:rPr>
          <w:rFonts w:ascii="Calibri" w:eastAsia="SimSun"/>
          <w:color w:val="000000"/>
          <w:sz w:val="22"/>
          <w:szCs w:val="22"/>
        </w:rPr>
        <w:t xml:space="preserve">AI researchers and hobbyists who run local models through Ollama, LM Studio, or similar tools need a polished front-end that supports their self-hosted infrastructure. Persona's OpenAI-compatible integration means these users can point the application at their local server and enjoy the same experience as cloud-based users, with full data sovereignty.</w:t>
      </w:r>
    </w:p>
    <w:p>
      <w:pPr>
        <w:pStyle w:val="Heading2"/>
        <w:spacing w:after="240" w:before="480"/>
      </w:pPr>
      <w:bookmarkStart w:id="100004" w:name="_Toc100004"/>
      <w:r>
        <w:rPr>
          <w:rFonts w:ascii="Calibri" w:eastAsia="SimHei"/>
          <w:b/>
          <w:bCs/>
          <w:color w:val="2C3E6B"/>
          <w:sz w:val="28"/>
          <w:szCs w:val="28"/>
        </w:rPr>
        <w:t xml:space="preserve">2.3 Key Objectives</w:t>
      </w:r>
      <w:bookmarkEnd w:id="100004"/>
    </w:p>
    <w:p>
      <w:pPr>
        <w:spacing w:after="100" w:line="312"/>
        <w:ind w:left="720" w:hanging="360"/>
      </w:pPr>
      <w:r>
        <w:rPr>
          <w:rFonts w:ascii="Calibri" w:eastAsia="SimSun"/>
          <w:color w:val="000000"/>
          <w:sz w:val="22"/>
          <w:szCs w:val="22"/>
        </w:rPr>
        <w:t xml:space="preserve">•  Deliver a native desktop experience on both Windows and macOS with consistent behavior and appearance across platforms</w:t>
      </w:r>
    </w:p>
    <w:p>
      <w:pPr>
        <w:spacing w:after="100" w:line="312"/>
        <w:ind w:left="720" w:hanging="360"/>
      </w:pPr>
      <w:r>
        <w:rPr>
          <w:rFonts w:ascii="Calibri" w:eastAsia="SimSun"/>
          <w:color w:val="000000"/>
          <w:sz w:val="22"/>
          <w:szCs w:val="22"/>
        </w:rPr>
        <w:t xml:space="preserve">•  Implement a comprehensive character card system compatible with the SillyTavern/CharacterCardV2 specification for maximum interoperability</w:t>
      </w:r>
    </w:p>
    <w:p>
      <w:pPr>
        <w:spacing w:after="100" w:line="312"/>
        <w:ind w:left="720" w:hanging="360"/>
      </w:pPr>
      <w:r>
        <w:rPr>
          <w:rFonts w:ascii="Calibri" w:eastAsia="SimSun"/>
          <w:color w:val="000000"/>
          <w:sz w:val="22"/>
          <w:szCs w:val="22"/>
        </w:rPr>
        <w:t xml:space="preserve">•  Support any OpenAI-compatible API provider through a pluggable backend architecture with streaming response support</w:t>
      </w:r>
    </w:p>
    <w:p>
      <w:pPr>
        <w:spacing w:after="100" w:line="312"/>
        <w:ind w:left="720" w:hanging="360"/>
      </w:pPr>
      <w:r>
        <w:rPr>
          <w:rFonts w:ascii="Calibri" w:eastAsia="SimSun"/>
          <w:color w:val="000000"/>
          <w:sz w:val="22"/>
          <w:szCs w:val="22"/>
        </w:rPr>
        <w:t xml:space="preserve">•  Apply GNOME design principles to create a distraction-free, content-first UI that reduces cognitive load during long creative sessions</w:t>
      </w:r>
    </w:p>
    <w:p>
      <w:pPr>
        <w:spacing w:after="100" w:line="312"/>
        <w:ind w:left="720" w:hanging="360"/>
      </w:pPr>
      <w:r>
        <w:rPr>
          <w:rFonts w:ascii="Calibri" w:eastAsia="SimSun"/>
          <w:color w:val="000000"/>
          <w:sz w:val="22"/>
          <w:szCs w:val="22"/>
        </w:rPr>
        <w:t xml:space="preserve">•  Ensure all user data (conversations, characters, settings) is stored locally with no mandatory cloud synchronization or account creation</w:t>
      </w:r>
    </w:p>
    <w:p>
      <w:pPr>
        <w:spacing w:after="100" w:line="312"/>
        <w:ind w:left="720" w:hanging="360"/>
      </w:pPr>
      <w:r>
        <w:rPr>
          <w:rFonts w:ascii="Calibri" w:eastAsia="SimSun"/>
          <w:color w:val="000000"/>
          <w:sz w:val="22"/>
          <w:szCs w:val="22"/>
        </w:rPr>
        <w:t xml:space="preserve">•  Provide advanced features including conversation branching, lorebooks, prompt presets, character grouping, and regex scripting for power users</w:t>
      </w:r>
    </w:p>
    <w:p>
      <w:pPr>
        <w:pStyle w:val="Heading1"/>
        <w:spacing w:after="300" w:before="600"/>
      </w:pPr>
      <w:bookmarkStart w:id="100005" w:name="_Toc100005"/>
      <w:r>
        <w:rPr>
          <w:rFonts w:ascii="Calibri" w:eastAsia="SimHei"/>
          <w:b/>
          <w:bCs/>
          <w:color w:val="1B2A4A"/>
          <w:sz w:val="32"/>
          <w:szCs w:val="32"/>
        </w:rPr>
        <w:t xml:space="preserve">3. Competitive Analysis</w:t>
      </w:r>
      <w:bookmarkEnd w:id="100005"/>
    </w:p>
    <w:p>
      <w:pPr>
        <w:spacing w:after="160" w:line="312"/>
      </w:pPr>
      <w:r>
        <w:rPr>
          <w:rFonts w:ascii="Calibri" w:eastAsia="SimSun"/>
          <w:color w:val="000000"/>
          <w:sz w:val="22"/>
          <w:szCs w:val="22"/>
        </w:rPr>
        <w:t xml:space="preserve">Understanding the existing landscape of AI roleplay platforms is essential for identifying Persona's differentiation and feature priorities. The three most relevant reference platforms, Character.ai, SpicyChat.ai, and SillyTavern, each represent different approaches to the same core problem: enabling rich, sustained AI character interactions.</w:t>
      </w:r>
    </w:p>
    <w:p>
      <w:pPr>
        <w:pStyle w:val="Heading2"/>
        <w:spacing w:after="240" w:before="480"/>
      </w:pPr>
      <w:bookmarkStart w:id="100006" w:name="_Toc100006"/>
      <w:r>
        <w:rPr>
          <w:rFonts w:ascii="Calibri" w:eastAsia="SimHei"/>
          <w:b/>
          <w:bCs/>
          <w:color w:val="2C3E6B"/>
          <w:sz w:val="28"/>
          <w:szCs w:val="28"/>
        </w:rPr>
        <w:t xml:space="preserve">3.1 Platform Comparison</w:t>
      </w:r>
      <w:bookmarkEnd w:id="10000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2A4A" w:color="auto" w:val="clear"/>
            <w:tcMar>
              <w:top w:type="dxa" w:w="60"/>
              <w:left w:type="dxa" w:w="120"/>
              <w:bottom w:type="dxa" w:w="60"/>
              <w:right w:type="dxa" w:w="120"/>
            </w:tcMar>
          </w:tcPr>
          <w:p>
            <w:r>
              <w:rPr>
                <w:rFonts w:ascii="Calibri" w:eastAsia="SimSun"/>
                <w:b/>
                <w:bCs/>
                <w:color w:val="FFFFFF"/>
                <w:sz w:val="20"/>
                <w:szCs w:val="20"/>
              </w:rPr>
              <w:t xml:space="preserve">Feature</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Character.ai</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SpicyChat.ai</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SillyTavern</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Persona (Proposed)</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Platform Type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Web</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Web</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Web/Desktop (Node.js)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Native Desktop (Tauri)</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Open Source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AI Provider</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Proprietary</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Proprietary</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Multi-provider</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Multi-provider (OpenAI-compatible)</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Character Cards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Internal format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Internal format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CharacterCardV2 (PNG/JSON)</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CharacterCardV2 (PNG/JSON)</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Content Policy</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Strict SFW filter</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Tiered (free=SFW, paid=NSFW)</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User-controlled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User-controlled</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Conversation Branching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Lorebook / World Info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Limited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Yes (advanced)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Yes (advanced)</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Local Data Storage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 (cloud)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 (cloud)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 (SQLite)</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Account Required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Streaming Responses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Custom Prompts/Presets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Limited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Yes (extensive)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Yes (extensive)</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Group Chat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Regex Scripting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UI Design Philosophy</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Mobile-first social</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Chat-oriented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Functional/dense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GNOME minimalist</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Offline Capability</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Partial (needs server)</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Full (with local model)</w:t>
            </w:r>
          </w:p>
        </w:tc>
      </w:tr>
    </w:tbl>
    <w:p>
      <w:pPr>
        <w:pStyle w:val="Heading2"/>
        <w:spacing w:after="240" w:before="480"/>
      </w:pPr>
      <w:bookmarkStart w:id="100007" w:name="_Toc100007"/>
      <w:r>
        <w:rPr>
          <w:rFonts w:ascii="Calibri" w:eastAsia="SimHei"/>
          <w:b/>
          <w:bCs/>
          <w:color w:val="2C3E6B"/>
          <w:sz w:val="28"/>
          <w:szCs w:val="28"/>
        </w:rPr>
        <w:t xml:space="preserve">3.2 Key Differentiators</w:t>
      </w:r>
      <w:bookmarkEnd w:id="100007"/>
    </w:p>
    <w:p>
      <w:pPr>
        <w:spacing w:after="160" w:line="312"/>
      </w:pPr>
      <w:r>
        <w:rPr>
          <w:rFonts w:ascii="Calibri" w:eastAsia="SimSun"/>
          <w:color w:val="000000"/>
          <w:sz w:val="22"/>
          <w:szCs w:val="22"/>
        </w:rPr>
        <w:t xml:space="preserve">Persona distinguishes itself through three primary differentiators. First, the GNOME-inspired design philosophy creates a fundamentally different user experience from existing platforms. While Character.ai adopts a social media aesthetic and SillyTavern packs maximum functionality into dense panels, Persona embraces whitespace, typographic clarity, and progressive disclosure to create an environment that feels like a well-designed writing tool rather than a chat application. This reduces visual fatigue during extended sessions and helps users maintain creative flow.</w:t>
      </w:r>
    </w:p>
    <w:p>
      <w:pPr>
        <w:spacing w:after="160" w:line="312"/>
      </w:pPr>
      <w:r>
        <w:rPr>
          <w:rFonts w:ascii="Calibri" w:eastAsia="SimSun"/>
          <w:color w:val="000000"/>
          <w:sz w:val="22"/>
          <w:szCs w:val="22"/>
        </w:rPr>
        <w:t xml:space="preserve">Second, Persona is built on Tauri rather than Electron, resulting in a dramatically smaller binary size (approximately 5-10 MB vs. 150+ MB for Electron apps), lower memory consumption, and native-feeling performance. The Rust backend provides robust file handling, secure API key storage, and efficient database operations without the overhead of a full Chromium instance. Users experience faster startup, smoother animations, and longer battery life on laptops.</w:t>
      </w:r>
    </w:p>
    <w:p>
      <w:pPr>
        <w:spacing w:after="160" w:line="312"/>
      </w:pPr>
      <w:r>
        <w:rPr>
          <w:rFonts w:ascii="Calibri" w:eastAsia="SimSun"/>
          <w:color w:val="000000"/>
          <w:sz w:val="22"/>
          <w:szCs w:val="22"/>
        </w:rPr>
        <w:t xml:space="preserve">Third, the local-first, no-account-required philosophy ensures that users own their data completely from the first launch. There is no registration flow, no cloud dependency, and no telemetry by default. Conversations, characters, and settings live on the user's machine in a portable SQLite database. This approach aligns with the growing demand for privacy-respecting software and removes a significant adoption barrier for users who are cautious about sharing creative content with cloud services.</w:t>
      </w:r>
    </w:p>
    <w:p>
      <w:pPr>
        <w:pStyle w:val="Heading1"/>
        <w:spacing w:after="300" w:before="600"/>
      </w:pPr>
      <w:bookmarkStart w:id="100008" w:name="_Toc100008"/>
      <w:r>
        <w:rPr>
          <w:rFonts w:ascii="Calibri" w:eastAsia="SimHei"/>
          <w:b/>
          <w:bCs/>
          <w:color w:val="1B2A4A"/>
          <w:sz w:val="32"/>
          <w:szCs w:val="32"/>
        </w:rPr>
        <w:t xml:space="preserve">4. Design Philosophy: GNOME Ethos</w:t>
      </w:r>
      <w:bookmarkEnd w:id="100008"/>
    </w:p>
    <w:p>
      <w:pPr>
        <w:spacing w:after="160" w:line="312"/>
      </w:pPr>
      <w:r>
        <w:rPr>
          <w:rFonts w:ascii="Calibri" w:eastAsia="SimSun"/>
          <w:color w:val="000000"/>
          <w:sz w:val="22"/>
          <w:szCs w:val="22"/>
        </w:rPr>
        <w:t xml:space="preserve">The GNOME design philosophy provides a mature, well-documented framework for creating applications that are intuitive, accessible, and aesthetically refined. Persona adapts GNOME's core design principles to the specific needs of AI roleplay, ensuring that the interface supports creative work without imposing unnecessary cognitive overhead.</w:t>
      </w:r>
    </w:p>
    <w:p>
      <w:pPr>
        <w:pStyle w:val="Heading2"/>
        <w:spacing w:after="240" w:before="480"/>
      </w:pPr>
      <w:bookmarkStart w:id="100009" w:name="_Toc100009"/>
      <w:r>
        <w:rPr>
          <w:rFonts w:ascii="Calibri" w:eastAsia="SimHei"/>
          <w:b/>
          <w:bCs/>
          <w:color w:val="2C3E6B"/>
          <w:sz w:val="28"/>
          <w:szCs w:val="28"/>
        </w:rPr>
        <w:t xml:space="preserve">4.1 Core Principles Applied</w:t>
      </w:r>
      <w:bookmarkEnd w:id="100009"/>
    </w:p>
    <w:p>
      <w:pPr>
        <w:pStyle w:val="Heading3"/>
        <w:spacing w:after="180" w:before="360"/>
      </w:pPr>
      <w:bookmarkStart w:id="100010" w:name="_Toc100010"/>
      <w:r>
        <w:rPr>
          <w:rFonts w:ascii="Calibri" w:eastAsia="SimHei"/>
          <w:b/>
          <w:bCs/>
          <w:color w:val="5A6FA0"/>
          <w:sz w:val="24"/>
          <w:szCs w:val="24"/>
        </w:rPr>
        <w:t xml:space="preserve">4.1.1 Content-First Design</w:t>
      </w:r>
      <w:bookmarkEnd w:id="100010"/>
    </w:p>
    <w:p>
      <w:pPr>
        <w:spacing w:after="160" w:line="312"/>
      </w:pPr>
      <w:r>
        <w:rPr>
          <w:rFonts w:ascii="Calibri" w:eastAsia="SimSun"/>
          <w:color w:val="000000"/>
          <w:sz w:val="22"/>
          <w:szCs w:val="22"/>
        </w:rPr>
        <w:t xml:space="preserve">In GNOME applications, the user's content is always the visual priority. Persona applies this principle by making the conversation area the dominant element in every view. Chat messages receive the maximum available screen space, with UI chrome (toolbars, sidebars, navigation) receding to minimal, contextually appropriate elements. The character's responses and the user's inputs are the stars; everything else exists to support that interaction. Navigation elements collapse when not in use, and secondary controls are accessed through progressive disclosure rather than permanent panels.</w:t>
      </w:r>
    </w:p>
    <w:p>
      <w:pPr>
        <w:pStyle w:val="Heading3"/>
        <w:spacing w:after="180" w:before="360"/>
      </w:pPr>
      <w:bookmarkStart w:id="100011" w:name="_Toc100011"/>
      <w:r>
        <w:rPr>
          <w:rFonts w:ascii="Calibri" w:eastAsia="SimHei"/>
          <w:b/>
          <w:bCs/>
          <w:color w:val="5A6FA0"/>
          <w:sz w:val="24"/>
          <w:szCs w:val="24"/>
        </w:rPr>
        <w:t xml:space="preserve">4.1.2 Progressive Disclosure</w:t>
      </w:r>
      <w:bookmarkEnd w:id="100011"/>
    </w:p>
    <w:p>
      <w:pPr>
        <w:spacing w:after="160" w:line="312"/>
      </w:pPr>
      <w:r>
        <w:rPr>
          <w:rFonts w:ascii="Calibri" w:eastAsia="SimSun"/>
          <w:color w:val="000000"/>
          <w:sz w:val="22"/>
          <w:szCs w:val="22"/>
        </w:rPr>
        <w:t xml:space="preserve">GNOME advocates showing only what is needed at each level of interaction. Persona implements this through a tiered interface where casual users see a simple chat view with a message input, while advanced features like prompt editing, lorebook management, and response regeneration are revealed through contextual menus, expandable panels, and keyboard shortcuts. A new user can start chatting within seconds of launching the application, while power users can progressively discover and enable sophisticated customization without ever being overwhelmed by initial complexity.</w:t>
      </w:r>
    </w:p>
    <w:p>
      <w:pPr>
        <w:pStyle w:val="Heading3"/>
        <w:spacing w:after="180" w:before="360"/>
      </w:pPr>
      <w:bookmarkStart w:id="100012" w:name="_Toc100012"/>
      <w:r>
        <w:rPr>
          <w:rFonts w:ascii="Calibri" w:eastAsia="SimHei"/>
          <w:b/>
          <w:bCs/>
          <w:color w:val="5A6FA0"/>
          <w:sz w:val="24"/>
          <w:szCs w:val="24"/>
        </w:rPr>
        <w:t xml:space="preserve">4.1.3 Consistent Visual Language</w:t>
      </w:r>
      <w:bookmarkEnd w:id="100012"/>
    </w:p>
    <w:p>
      <w:pPr>
        <w:spacing w:after="160" w:line="312"/>
      </w:pPr>
      <w:r>
        <w:rPr>
          <w:rFonts w:ascii="Calibri" w:eastAsia="SimSun"/>
          <w:color w:val="000000"/>
          <w:sz w:val="22"/>
          <w:szCs w:val="22"/>
        </w:rPr>
        <w:t xml:space="preserve">GNOME maintains a rigorous visual consistency through its HIG (Human Interface Guidelines). Persona follows suit with a unified design token system: a carefully chosen color palette derived from the Adwaita theme, consistent border radii (rounded corners on cards and buttons), uniform spacing based on a 4px grid, and a limited set of typographic styles. Every button, card, input field, and navigation element follows the same visual grammar, reducing the learning curve and creating a sense of polished coherence throughout the application.</w:t>
      </w:r>
    </w:p>
    <w:p>
      <w:pPr>
        <w:pStyle w:val="Heading3"/>
        <w:spacing w:after="180" w:before="360"/>
      </w:pPr>
      <w:bookmarkStart w:id="100013" w:name="_Toc100013"/>
      <w:r>
        <w:rPr>
          <w:rFonts w:ascii="Calibri" w:eastAsia="SimHei"/>
          <w:b/>
          <w:bCs/>
          <w:color w:val="5A6FA0"/>
          <w:sz w:val="24"/>
          <w:szCs w:val="24"/>
        </w:rPr>
        <w:t xml:space="preserve">4.1.4 Header Bar Pattern</w:t>
      </w:r>
      <w:bookmarkEnd w:id="100013"/>
    </w:p>
    <w:p>
      <w:pPr>
        <w:spacing w:after="160" w:line="312"/>
      </w:pPr>
      <w:r>
        <w:rPr>
          <w:rFonts w:ascii="Calibri" w:eastAsia="SimSun"/>
          <w:color w:val="000000"/>
          <w:sz w:val="22"/>
          <w:szCs w:val="22"/>
        </w:rPr>
        <w:t xml:space="preserve">Rather than traditional menu bars and separate title bars, GNOME applications use a consolidated header bar that combines the window title, primary navigation, and key actions into a single, space-efficient element. Persona adopts this pattern with a header bar containing the application name, view switcher (Chat, Characters, Settings), and contextual actions (new chat, search, view options). This saves approximately 30-40 pixels of vertical space compared to separate title bar and menu bar approaches, which directly benefits the content area.</w:t>
      </w:r>
    </w:p>
    <w:p>
      <w:pPr>
        <w:pStyle w:val="Heading3"/>
        <w:spacing w:after="180" w:before="360"/>
      </w:pPr>
      <w:bookmarkStart w:id="100014" w:name="_Toc100014"/>
      <w:r>
        <w:rPr>
          <w:rFonts w:ascii="Calibri" w:eastAsia="SimHei"/>
          <w:b/>
          <w:bCs/>
          <w:color w:val="5A6FA0"/>
          <w:sz w:val="24"/>
          <w:szCs w:val="24"/>
        </w:rPr>
        <w:t xml:space="preserve">4.1.5 Sidebar Navigation</w:t>
      </w:r>
      <w:bookmarkEnd w:id="100014"/>
    </w:p>
    <w:p>
      <w:pPr>
        <w:spacing w:after="160" w:line="312"/>
      </w:pPr>
      <w:r>
        <w:rPr>
          <w:rFonts w:ascii="Calibri" w:eastAsia="SimSun"/>
          <w:color w:val="000000"/>
          <w:sz w:val="22"/>
          <w:szCs w:val="22"/>
        </w:rPr>
        <w:t xml:space="preserve">GNOME applications like Files, Contacts, and Music use a left sidebar for primary navigation, allowing the main content area to remain focused. Persona implements a collapsible sidebar listing conversations and character groups. The sidebar can be toggled with a keyboard shortcut (F9 or Ctrl+B) and auto-hides in compact window sizes, giving users full control over their screen real estate. Selected items in the sidebar immediately update the main content view without page transitions, maintaining spatial continuity.</w:t>
      </w:r>
    </w:p>
    <w:p>
      <w:pPr>
        <w:pStyle w:val="Heading3"/>
        <w:spacing w:after="180" w:before="360"/>
      </w:pPr>
      <w:bookmarkStart w:id="100015" w:name="_Toc100015"/>
      <w:r>
        <w:rPr>
          <w:rFonts w:ascii="Calibri" w:eastAsia="SimHei"/>
          <w:b/>
          <w:bCs/>
          <w:color w:val="5A6FA0"/>
          <w:sz w:val="24"/>
          <w:szCs w:val="24"/>
        </w:rPr>
        <w:t xml:space="preserve">4.1.6 Adaptive Layout</w:t>
      </w:r>
      <w:bookmarkEnd w:id="100015"/>
    </w:p>
    <w:p>
      <w:pPr>
        <w:spacing w:after="160" w:line="312"/>
      </w:pPr>
      <w:r>
        <w:rPr>
          <w:rFonts w:ascii="Calibri" w:eastAsia="SimSun"/>
          <w:color w:val="000000"/>
          <w:sz w:val="22"/>
          <w:szCs w:val="22"/>
        </w:rPr>
        <w:t xml:space="preserve">While desktop-focused, GNOME design accounts for different window sizes. Persona's layout adapts gracefully: in wide windows, the sidebar and main content sit side by side; in narrower windows, the sidebar becomes an overlay; and the conversation view reflows message bubbles to maintain readability. This ensures the application works well on screens ranging from compact laptops to ultrawide monitors without sacrificing usability or visual quality.</w:t>
      </w:r>
    </w:p>
    <w:p>
      <w:pPr>
        <w:pStyle w:val="Heading2"/>
        <w:spacing w:after="240" w:before="480"/>
      </w:pPr>
      <w:bookmarkStart w:id="100016" w:name="_Toc100016"/>
      <w:r>
        <w:rPr>
          <w:rFonts w:ascii="Calibri" w:eastAsia="SimHei"/>
          <w:b/>
          <w:bCs/>
          <w:color w:val="2C3E6B"/>
          <w:sz w:val="28"/>
          <w:szCs w:val="28"/>
        </w:rPr>
        <w:t xml:space="preserve">4.2 Visual Style Guide</w:t>
      </w:r>
      <w:bookmarkEnd w:id="10001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color="auto" w:val="clear"/>
            <w:tcMar>
              <w:top w:type="dxa" w:w="60"/>
              <w:left w:type="dxa" w:w="120"/>
              <w:bottom w:type="dxa" w:w="60"/>
              <w:right w:type="dxa" w:w="120"/>
            </w:tcMar>
          </w:tcPr>
          <w:p>
            <w:r>
              <w:rPr>
                <w:rFonts w:ascii="Calibri" w:eastAsia="SimSun"/>
                <w:b/>
                <w:bCs/>
                <w:color w:val="FFFFFF"/>
                <w:sz w:val="20"/>
                <w:szCs w:val="20"/>
              </w:rPr>
              <w:t xml:space="preserve">Element</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Specification</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Rationale</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Color Scheme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Light/dark themes based on Adwaita palette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Familiar to GNOME users, high readability, system theme sync</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Primary Background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Light: #FFFFFF / Dark: #1D1D1D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Maximum content contrast, reduces eye strain</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Accent Color</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Teal #4ECDC4 (light) / #2AA89E (dark)</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Distinctive, accessible, visible on both themes</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Typography</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System font (Cantarell on Linux, Segoe UI on Windows, SF Pro on macOS)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Native feel, zero font loading delay, respects OS preferences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Border Radius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12px for cards, 8px for buttons, 4px for inputs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Consistent rounding hierarchy signals element importance</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Spacing Grid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4px base unit (4, 8, 12, 16, 24, 32, 48)</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Mathematical consistency, prevents arbitrary spacing</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Icon Style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Symbolic/line icons, 16px or 24px</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GNOME symbolic icon pattern, minimal visual weight</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Shadows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Subtle elevation: 0 1px 3px rgba(0,0,0,0.12)</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Depth without distraction, consistent with GTK4 patterns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Animations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200-300ms ease-out transitions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Responsive feel without sluggishness, matches GNOME motion</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Message Bubbles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Character: left-aligned, User: right-aligned, rounded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Clear speaker attribution, chat convention familiarity</w:t>
            </w:r>
          </w:p>
        </w:tc>
      </w:tr>
    </w:tbl>
    <w:p>
      <w:pPr>
        <w:pStyle w:val="Heading1"/>
        <w:spacing w:after="300" w:before="600"/>
      </w:pPr>
      <w:bookmarkStart w:id="100017" w:name="_Toc100017"/>
      <w:r>
        <w:rPr>
          <w:rFonts w:ascii="Calibri" w:eastAsia="SimHei"/>
          <w:b/>
          <w:bCs/>
          <w:color w:val="1B2A4A"/>
          <w:sz w:val="32"/>
          <w:szCs w:val="32"/>
        </w:rPr>
        <w:t xml:space="preserve">5. Technology Stack</w:t>
      </w:r>
      <w:bookmarkEnd w:id="100017"/>
    </w:p>
    <w:p>
      <w:pPr>
        <w:spacing w:after="160" w:line="312"/>
      </w:pPr>
      <w:r>
        <w:rPr>
          <w:rFonts w:ascii="Calibri" w:eastAsia="SimSun"/>
          <w:color w:val="000000"/>
          <w:sz w:val="22"/>
          <w:szCs w:val="22"/>
        </w:rPr>
        <w:t xml:space="preserve">The technology choices for Persona are driven by three core requirements: cross-platform compatibility with native feel, minimal resource consumption, and a rich frontend ecosystem for building the GNOME-inspired UI. The following stack represents the optimal intersection of these requirements.</w:t>
      </w:r>
    </w:p>
    <w:p>
      <w:pPr>
        <w:pStyle w:val="Heading2"/>
        <w:spacing w:after="240" w:before="480"/>
      </w:pPr>
      <w:bookmarkStart w:id="100018" w:name="_Toc100018"/>
      <w:r>
        <w:rPr>
          <w:rFonts w:ascii="Calibri" w:eastAsia="SimHei"/>
          <w:b/>
          <w:bCs/>
          <w:color w:val="2C3E6B"/>
          <w:sz w:val="28"/>
          <w:szCs w:val="28"/>
        </w:rPr>
        <w:t xml:space="preserve">5.1 Framework: Tauri 2.0</w:t>
      </w:r>
      <w:bookmarkEnd w:id="100018"/>
    </w:p>
    <w:p>
      <w:pPr>
        <w:spacing w:after="160" w:line="312"/>
      </w:pPr>
      <w:r>
        <w:rPr>
          <w:rFonts w:ascii="Calibri" w:eastAsia="SimSun"/>
          <w:color w:val="000000"/>
          <w:sz w:val="22"/>
          <w:szCs w:val="22"/>
        </w:rPr>
        <w:t xml:space="preserve">Tauri serves as the application shell, providing a Rust backend with a web-view frontend. Unlike Electron, which bundles a full Chromium browser, Tauri uses the operating system's native webview (WebView2 on Windows, WKWebView on macOS). This results in a dramatically smaller binary (5-10 MB vs. 150+ MB for Electron), lower memory footprint (typically 50-100 MB vs. 200-500 MB for Electron apps), and native-feeling performance. Tauri 2.0 adds critical features including multi-window support, improved IPC performance, and a plugin ecosystem for native functionality like filesystem access, notifications, and system tray integration.</w:t>
      </w:r>
    </w:p>
    <w:p>
      <w:pPr>
        <w:spacing w:after="160" w:line="312"/>
      </w:pPr>
      <w:r>
        <w:rPr>
          <w:rFonts w:ascii="Calibri" w:eastAsia="SimSun"/>
          <w:color w:val="000000"/>
          <w:sz w:val="22"/>
          <w:szCs w:val="22"/>
        </w:rPr>
        <w:t xml:space="preserve">The Rust backend handles all sensitive operations: API key storage using the OS keychain (via the keyring crate), SQLite database management, file import/export, and HTTP requests to AI providers. This architecture ensures that credentials never enter the JavaScript context, significantly reducing the attack surface compared to Electron applications where the main process and renderer share a Node.js runtime.</w:t>
      </w:r>
    </w:p>
    <w:p>
      <w:pPr>
        <w:pStyle w:val="Heading2"/>
        <w:spacing w:after="240" w:before="480"/>
      </w:pPr>
      <w:bookmarkStart w:id="100019" w:name="_Toc100019"/>
      <w:r>
        <w:rPr>
          <w:rFonts w:ascii="Calibri" w:eastAsia="SimHei"/>
          <w:b/>
          <w:bCs/>
          <w:color w:val="2C3E6B"/>
          <w:sz w:val="28"/>
          <w:szCs w:val="28"/>
        </w:rPr>
        <w:t xml:space="preserve">5.2 Frontend: React + TypeScript</w:t>
      </w:r>
      <w:bookmarkEnd w:id="100019"/>
    </w:p>
    <w:p>
      <w:pPr>
        <w:spacing w:after="160" w:line="312"/>
      </w:pPr>
      <w:r>
        <w:rPr>
          <w:rFonts w:ascii="Calibri" w:eastAsia="SimSun"/>
          <w:color w:val="000000"/>
          <w:sz w:val="22"/>
          <w:szCs w:val="22"/>
        </w:rPr>
        <w:t xml:space="preserve">The UI is built with React 18 and TypeScript, providing a robust component model with compile-time type safety. React's component architecture maps naturally to GNOME's design system: reusable components for cards, buttons, dialogs, and navigation elements enforce visual consistency across the application. TypeScript ensures that the character card data model, API response types, and state management logic are all statically verified, catching potential runtime errors during development rather than in production.</w:t>
      </w:r>
    </w:p>
    <w:p>
      <w:pPr>
        <w:spacing w:after="160" w:line="312"/>
      </w:pPr>
      <w:r>
        <w:rPr>
          <w:rFonts w:ascii="Calibri" w:eastAsia="SimSun"/>
          <w:color w:val="000000"/>
          <w:sz w:val="22"/>
          <w:szCs w:val="22"/>
        </w:rPr>
        <w:t xml:space="preserve">The frontend communicates with the Tauri Rust backend through a typed IPC layer, using Tauri's invoke command system. All API calls to AI providers are routed through the Rust backend, which handles streaming responses via server-sent events (SSE) and forwards them to the frontend in real-time. This architecture keeps the frontend responsive even during long-running generation tasks.</w:t>
      </w:r>
    </w:p>
    <w:p>
      <w:pPr>
        <w:pStyle w:val="Heading2"/>
        <w:spacing w:after="240" w:before="480"/>
      </w:pPr>
      <w:bookmarkStart w:id="100020" w:name="_Toc100020"/>
      <w:r>
        <w:rPr>
          <w:rFonts w:ascii="Calibri" w:eastAsia="SimHei"/>
          <w:b/>
          <w:bCs/>
          <w:color w:val="2C3E6B"/>
          <w:sz w:val="28"/>
          <w:szCs w:val="28"/>
        </w:rPr>
        <w:t xml:space="preserve">5.3 State Management: Zustand</w:t>
      </w:r>
      <w:bookmarkEnd w:id="100020"/>
    </w:p>
    <w:p>
      <w:pPr>
        <w:spacing w:after="160" w:line="312"/>
      </w:pPr>
      <w:r>
        <w:rPr>
          <w:rFonts w:ascii="Calibri" w:eastAsia="SimSun"/>
          <w:color w:val="000000"/>
          <w:sz w:val="22"/>
          <w:szCs w:val="22"/>
        </w:rPr>
        <w:t xml:space="preserve">Zustand provides lightweight, TypeScript-friendly state management with minimal boilerplate. Unlike Redux, which requires significant setup with actions, reducers, and middleware, Zustand uses a simple hook-based API that integrates naturally with React. The store is organized into slices for conversations, characters, settings, and UI state, each with clearly defined actions and selectors. Zustand's middleware supports persistence to the SQLite database through the Tauri backend, ensuring state survives application restarts.</w:t>
      </w:r>
    </w:p>
    <w:p>
      <w:pPr>
        <w:pStyle w:val="Heading2"/>
        <w:spacing w:after="240" w:before="480"/>
      </w:pPr>
      <w:bookmarkStart w:id="100021" w:name="_Toc100021"/>
      <w:r>
        <w:rPr>
          <w:rFonts w:ascii="Calibri" w:eastAsia="SimHei"/>
          <w:b/>
          <w:bCs/>
          <w:color w:val="2C3E6B"/>
          <w:sz w:val="28"/>
          <w:szCs w:val="28"/>
        </w:rPr>
        <w:t xml:space="preserve">5.4 Database: SQLite (via rusqlite)</w:t>
      </w:r>
      <w:bookmarkEnd w:id="100021"/>
    </w:p>
    <w:p>
      <w:pPr>
        <w:spacing w:after="160" w:line="312"/>
      </w:pPr>
      <w:r>
        <w:rPr>
          <w:rFonts w:ascii="Calibri" w:eastAsia="SimSun"/>
          <w:color w:val="000000"/>
          <w:sz w:val="22"/>
          <w:szCs w:val="22"/>
        </w:rPr>
        <w:t xml:space="preserve">All persistent data is stored in a local SQLite database managed by the Rust backend through the rusqlite crate. SQLite is the ideal choice for a desktop application: it requires no server process, operates as a single file on disk (making backup and portability trivial), supports full-text search for conversation and character search, and handles concurrent reads efficiently. The database schema is managed through migrations, ensuring clean upgrades between application versions.</w:t>
      </w:r>
    </w:p>
    <w:p>
      <w:pPr>
        <w:pStyle w:val="Heading2"/>
        <w:spacing w:after="240" w:before="480"/>
      </w:pPr>
      <w:bookmarkStart w:id="100022" w:name="_Toc100022"/>
      <w:r>
        <w:rPr>
          <w:rFonts w:ascii="Calibri" w:eastAsia="SimHei"/>
          <w:b/>
          <w:bCs/>
          <w:color w:val="2C3E6B"/>
          <w:sz w:val="28"/>
          <w:szCs w:val="28"/>
        </w:rPr>
        <w:t xml:space="preserve">5.5 UI Component Library: Custom + Radix Primitives</w:t>
      </w:r>
      <w:bookmarkEnd w:id="100022"/>
    </w:p>
    <w:p>
      <w:pPr>
        <w:spacing w:after="160" w:line="312"/>
      </w:pPr>
      <w:r>
        <w:rPr>
          <w:rFonts w:ascii="Calibri" w:eastAsia="SimSun"/>
          <w:color w:val="000000"/>
          <w:sz w:val="22"/>
          <w:szCs w:val="22"/>
        </w:rPr>
        <w:t xml:space="preserve">Rather than adopting an off-the-shelf component library that would impose its own visual language, Persona uses Radix UI primitives (unstyled, accessible headless components) as a foundation, with custom styling applied on top to achieve the GNOME aesthetic. This approach provides the accessibility guarantees of Radix (keyboard navigation, ARIA attributes, focus management) while maintaining full control over the visual output. Custom components are documented in a shared design system package to ensure consistency.</w:t>
      </w:r>
    </w:p>
    <w:p>
      <w:pPr>
        <w:pStyle w:val="Heading2"/>
        <w:spacing w:after="240" w:before="480"/>
      </w:pPr>
      <w:bookmarkStart w:id="100023" w:name="_Toc100023"/>
      <w:r>
        <w:rPr>
          <w:rFonts w:ascii="Calibri" w:eastAsia="SimHei"/>
          <w:b/>
          <w:bCs/>
          <w:color w:val="2C3E6B"/>
          <w:sz w:val="28"/>
          <w:szCs w:val="28"/>
        </w:rPr>
        <w:t xml:space="preserve">5.6 Technology Summary</w:t>
      </w:r>
      <w:bookmarkEnd w:id="10002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color="auto" w:val="clear"/>
            <w:tcMar>
              <w:top w:type="dxa" w:w="60"/>
              <w:left w:type="dxa" w:w="120"/>
              <w:bottom w:type="dxa" w:w="60"/>
              <w:right w:type="dxa" w:w="120"/>
            </w:tcMar>
          </w:tcPr>
          <w:p>
            <w:r>
              <w:rPr>
                <w:rFonts w:ascii="Calibri" w:eastAsia="SimSun"/>
                <w:b/>
                <w:bCs/>
                <w:color w:val="FFFFFF"/>
                <w:sz w:val="20"/>
                <w:szCs w:val="20"/>
              </w:rPr>
              <w:t xml:space="preserve">Layer</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Technology</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Version</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Purpose</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Shell</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Tauri</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2.x</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Cross-platform desktop runtime</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Backend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Rust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1.75+</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API proxy, DB, filesystem, keychain</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Frontend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React</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18.x</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Component-based UI</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Language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TypeScript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5.x</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Type-safe frontend development</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State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Zustand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4.x</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Lightweight state management</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Database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SQLite (rusqlite)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0.31+</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Local persistent storage</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Components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Radix UI + Custom</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Latest</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Accessible, styled UI primitives</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Styling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Tailwind CSS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3.x</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Utility-first CSS with design tokens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Streaming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SSE (reqwest)</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0.11+</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Real-time AI response streaming</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Encryption</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AES-256-GCM (ring)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0.17+</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Optional data encryption at rest</w:t>
            </w:r>
          </w:p>
        </w:tc>
      </w:tr>
    </w:tbl>
    <w:p>
      <w:pPr>
        <w:pStyle w:val="Heading1"/>
        <w:spacing w:after="300" w:before="600"/>
      </w:pPr>
      <w:bookmarkStart w:id="100024" w:name="_Toc100024"/>
      <w:r>
        <w:rPr>
          <w:rFonts w:ascii="Calibri" w:eastAsia="SimHei"/>
          <w:b/>
          <w:bCs/>
          <w:color w:val="1B2A4A"/>
          <w:sz w:val="32"/>
          <w:szCs w:val="32"/>
        </w:rPr>
        <w:t xml:space="preserve">6. System Architecture</w:t>
      </w:r>
      <w:bookmarkEnd w:id="100024"/>
    </w:p>
    <w:p>
      <w:pPr>
        <w:spacing w:after="160" w:line="312"/>
      </w:pPr>
      <w:r>
        <w:rPr>
          <w:rFonts w:ascii="Calibri" w:eastAsia="SimSun"/>
          <w:color w:val="000000"/>
          <w:sz w:val="22"/>
          <w:szCs w:val="22"/>
        </w:rPr>
        <w:t xml:space="preserve">Persona's architecture follows a clear separation of concerns between the Tauri Rust backend and the React frontend, communicating through a typed IPC bridge. This separation ensures security (credentials never enter the web context), performance (heavy operations run natively in Rust), and maintainability (each layer can be tested and evolved independently).</w:t>
      </w:r>
    </w:p>
    <w:p>
      <w:pPr>
        <w:pStyle w:val="Heading2"/>
        <w:spacing w:after="240" w:before="480"/>
      </w:pPr>
      <w:bookmarkStart w:id="100025" w:name="_Toc100025"/>
      <w:r>
        <w:rPr>
          <w:rFonts w:ascii="Calibri" w:eastAsia="SimHei"/>
          <w:b/>
          <w:bCs/>
          <w:color w:val="2C3E6B"/>
          <w:sz w:val="28"/>
          <w:szCs w:val="28"/>
        </w:rPr>
        <w:t xml:space="preserve">6.1 High-Level Architecture</w:t>
      </w:r>
      <w:bookmarkEnd w:id="100025"/>
    </w:p>
    <w:p>
      <w:pPr>
        <w:spacing w:after="160" w:line="312"/>
      </w:pPr>
      <w:r>
        <w:rPr>
          <w:rFonts w:ascii="Calibri" w:eastAsia="SimSun"/>
          <w:color w:val="000000"/>
          <w:sz w:val="22"/>
          <w:szCs w:val="22"/>
        </w:rPr>
        <w:t xml:space="preserve">The application is organized into four major layers. The Presentation Layer consists of React components that render the GNOME-inspired UI and handle user interactions. The State Layer (Zustand stores) manages application state, including active conversations, loaded characters, and UI preferences. The Service Layer (Tauri IPC commands) bridges the frontend and backend, handling data persistence, API communication, and file operations. The Data Layer (Rust modules) manages SQLite access, HTTP client configuration, filesystem operations, and OS keychain integration.</w:t>
      </w:r>
    </w:p>
    <w:p>
      <w:pPr>
        <w:spacing w:after="160" w:line="312"/>
      </w:pPr>
      <w:r>
        <w:rPr>
          <w:rFonts w:ascii="Calibri" w:eastAsia="SimSun"/>
          <w:color w:val="000000"/>
          <w:sz w:val="22"/>
          <w:szCs w:val="22"/>
        </w:rPr>
        <w:t xml:space="preserve">When a user sends a message, the flow proceeds as follows: the React component dispatches to the Zustand store, which calls a Tauri invoke command with the message payload and character context. The Rust backend constructs the full prompt (combining system prompt, character card, lorebook entries, conversation history, and user message), sends it to the configured AI provider via HTTP with SSE streaming, and forwards each token chunk back to the frontend through a Tauri event. The Zustand store appends each chunk to the active message, and React re-renders the chat bubble with the growing response. This architecture ensures the UI never blocks during generation.</w:t>
      </w:r>
    </w:p>
    <w:p>
      <w:pPr>
        <w:pStyle w:val="Heading2"/>
        <w:spacing w:after="240" w:before="480"/>
      </w:pPr>
      <w:bookmarkStart w:id="100026" w:name="_Toc100026"/>
      <w:r>
        <w:rPr>
          <w:rFonts w:ascii="Calibri" w:eastAsia="SimHei"/>
          <w:b/>
          <w:bCs/>
          <w:color w:val="2C3E6B"/>
          <w:sz w:val="28"/>
          <w:szCs w:val="28"/>
        </w:rPr>
        <w:t xml:space="preserve">6.2 Module Architecture</w:t>
      </w:r>
      <w:bookmarkEnd w:id="10002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color="auto" w:val="clear"/>
            <w:tcMar>
              <w:top w:type="dxa" w:w="60"/>
              <w:left w:type="dxa" w:w="120"/>
              <w:bottom w:type="dxa" w:w="60"/>
              <w:right w:type="dxa" w:w="120"/>
            </w:tcMar>
          </w:tcPr>
          <w:p>
            <w:r>
              <w:rPr>
                <w:rFonts w:ascii="Calibri" w:eastAsia="SimSun"/>
                <w:b/>
                <w:bCs/>
                <w:color w:val="FFFFFF"/>
                <w:sz w:val="20"/>
                <w:szCs w:val="20"/>
              </w:rPr>
              <w:t xml:space="preserve">Module</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Layer</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Responsibility</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chat-engine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Rust Backend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Prompt assembly, context window management, token counting, message dispatch</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provider-adapter</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Rust Backend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OpenAI-compatible API communication, SSE parsing, retry logic, error handling</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card-service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Rust Backend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Character card CRUD, import/export (PNG V2, JSON), validation, migration</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db-service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Rust Backend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SQLite operations, migrations, FTS5 search, backup/restore</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crypto-service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Rust Backend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AES-256-GCM encryption for optional vault mode, key derivation</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file-service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Rust Backend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Image handling, log management, export bundling, config files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ChatView</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React Frontend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Conversation display, message input, streaming render, branch navigation</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CharacterManager</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React Frontend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Character list, card editor, import wizard, avatar management</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SettingsPanel</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React Frontend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Provider configuration, prompt presets, theme selection, keyboard shortcuts</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LorebookEditor</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React Frontend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World info entries, keyword triggers, recursive depth, activation rules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ConversationStore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Zustand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Active conversation state, message history, branch pointers, generation status</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CharacterStore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Zustand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Loaded characters, search filters, selected card, edit state</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SettingsStore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Zustand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All user preferences, provider configs, UI settings, persisted to DB</w:t>
            </w:r>
          </w:p>
        </w:tc>
      </w:tr>
    </w:tbl>
    <w:p>
      <w:pPr>
        <w:pStyle w:val="Heading2"/>
        <w:spacing w:after="240" w:before="480"/>
      </w:pPr>
      <w:bookmarkStart w:id="100027" w:name="_Toc100027"/>
      <w:r>
        <w:rPr>
          <w:rFonts w:ascii="Calibri" w:eastAsia="SimHei"/>
          <w:b/>
          <w:bCs/>
          <w:color w:val="2C3E6B"/>
          <w:sz w:val="28"/>
          <w:szCs w:val="28"/>
        </w:rPr>
        <w:t xml:space="preserve">6.3 Context Window Management</w:t>
      </w:r>
      <w:bookmarkEnd w:id="100027"/>
    </w:p>
    <w:p>
      <w:pPr>
        <w:spacing w:after="160" w:line="312"/>
      </w:pPr>
      <w:r>
        <w:rPr>
          <w:rFonts w:ascii="Calibri" w:eastAsia="SimSun"/>
          <w:color w:val="000000"/>
          <w:sz w:val="22"/>
          <w:szCs w:val="22"/>
        </w:rPr>
        <w:t xml:space="preserve">One of the most critical backend responsibilities is context window management. AI models have finite context windows (ranging from 4K tokens for older models to 128K+ for modern ones), and Persona must ensure that the assembled prompt fits within the selected model's limit while preserving the most relevant conversation context. The chat-engine module implements a multi-strategy context manager that combines character card data, lorebook entries, and conversation history into a prioritized token budget.</w:t>
      </w:r>
    </w:p>
    <w:p>
      <w:pPr>
        <w:spacing w:after="160" w:line="312"/>
      </w:pPr>
      <w:r>
        <w:rPr>
          <w:rFonts w:ascii="Calibri" w:eastAsia="SimSun"/>
          <w:color w:val="000000"/>
          <w:sz w:val="22"/>
          <w:szCs w:val="22"/>
        </w:rPr>
        <w:t xml:space="preserve">The context assembly process works in layers. First, the system prompt and character card data (name, personality, scenario, mes_example) are marked as sticky, meaning they always occupy their portion of the context. Next, activated lorebook entries (matched by keyword scanning of the recent conversation) are inserted. Finally, conversation history fills the remaining budget, with older messages being truncated first. Users can configure the strategy: chronological (simplest), importance-weighted (scoring messages by keyword matches and character references), or rolling summary (older messages are condensed by an AI call). The token budget is tracked in real-time with a visual indicator in the chat UI showing approximate context utilization.</w:t>
      </w:r>
    </w:p>
    <w:p>
      <w:pPr>
        <w:pStyle w:val="Heading1"/>
        <w:spacing w:after="300" w:before="600"/>
      </w:pPr>
      <w:bookmarkStart w:id="100028" w:name="_Toc100028"/>
      <w:r>
        <w:rPr>
          <w:rFonts w:ascii="Calibri" w:eastAsia="SimHei"/>
          <w:b/>
          <w:bCs/>
          <w:color w:val="1B2A4A"/>
          <w:sz w:val="32"/>
          <w:szCs w:val="32"/>
        </w:rPr>
        <w:t xml:space="preserve">7. Character Card System</w:t>
      </w:r>
      <w:bookmarkEnd w:id="100028"/>
    </w:p>
    <w:p>
      <w:pPr>
        <w:spacing w:after="160" w:line="312"/>
      </w:pPr>
      <w:r>
        <w:rPr>
          <w:rFonts w:ascii="Calibri" w:eastAsia="SimSun"/>
          <w:color w:val="000000"/>
          <w:sz w:val="22"/>
          <w:szCs w:val="22"/>
        </w:rPr>
        <w:t xml:space="preserve">The character card is the atomic unit of Persona's data model, encoding everything the AI needs to portray a character consistently. Persona adopts the CharacterCardV2 specification established by the SillyTavern community, ensuring maximum interoperability with the existing ecosystem of character cards, while extending it with additional fields that support the GNOME-style UI and advanced features.</w:t>
      </w:r>
    </w:p>
    <w:p>
      <w:pPr>
        <w:pStyle w:val="Heading2"/>
        <w:spacing w:after="240" w:before="480"/>
      </w:pPr>
      <w:bookmarkStart w:id="100029" w:name="_Toc100029"/>
      <w:r>
        <w:rPr>
          <w:rFonts w:ascii="Calibri" w:eastAsia="SimHei"/>
          <w:b/>
          <w:bCs/>
          <w:color w:val="2C3E6B"/>
          <w:sz w:val="28"/>
          <w:szCs w:val="28"/>
        </w:rPr>
        <w:t xml:space="preserve">7.1 Card Format Specification</w:t>
      </w:r>
      <w:bookmarkEnd w:id="100029"/>
    </w:p>
    <w:p>
      <w:pPr>
        <w:spacing w:after="160" w:line="312"/>
      </w:pPr>
      <w:r>
        <w:rPr>
          <w:rFonts w:ascii="Calibri" w:eastAsia="SimSun"/>
          <w:color w:val="000000"/>
          <w:sz w:val="22"/>
          <w:szCs w:val="22"/>
        </w:rPr>
        <w:t xml:space="preserve">Character cards are stored as PNG images with embedded JSON metadata (following the tEXt chunk convention) for visual portability, or as standalone JSON files for programmatic access. The V2 specification defines a structured data model with nested objects for different aspects of a character's definition. Each card contains the following primary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color="auto" w:val="clear"/>
            <w:tcMar>
              <w:top w:type="dxa" w:w="60"/>
              <w:left w:type="dxa" w:w="120"/>
              <w:bottom w:type="dxa" w:w="60"/>
              <w:right w:type="dxa" w:w="120"/>
            </w:tcMar>
          </w:tcPr>
          <w:p>
            <w:r>
              <w:rPr>
                <w:rFonts w:ascii="Calibri" w:eastAsia="SimSun"/>
                <w:b/>
                <w:bCs/>
                <w:color w:val="FFFFFF"/>
                <w:sz w:val="20"/>
                <w:szCs w:val="20"/>
              </w:rPr>
              <w:t xml:space="preserve">Field</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Type</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Required</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Description</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name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Character display name, used in chat headers and mentions</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description</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Core personality and background, always included in context</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personality</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Summary of personality traits, appended to description</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scenario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Starting scenario / setting for new conversations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first_mes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Character's opening message when starting a new chat</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mes_example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Sample dialogue demonstrating character's speech patterns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creator_notes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Notes from the card creator for users</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system_prompt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Custom system prompt override for this character</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post_history_instructions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Instructions injected after conversation history</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alternate_greetings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Additional first messages the user can swap to</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tags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Searchable tags for character categorization</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creator</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Card author attribution</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character_version</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Card format version for compatibility tracking</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extensions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object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Namespace for custom extensions and app-specific data</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extensions.tavern</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object</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SillyTavern-specific extensions (lorebook, regex, etc.)</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extensions.persona</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object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Persona-specific extensions (accent color, layout hints)</w:t>
            </w:r>
          </w:p>
        </w:tc>
      </w:tr>
    </w:tbl>
    <w:p>
      <w:pPr>
        <w:pStyle w:val="Heading2"/>
        <w:spacing w:after="240" w:before="480"/>
      </w:pPr>
      <w:bookmarkStart w:id="100030" w:name="_Toc100030"/>
      <w:r>
        <w:rPr>
          <w:rFonts w:ascii="Calibri" w:eastAsia="SimHei"/>
          <w:b/>
          <w:bCs/>
          <w:color w:val="2C3E6B"/>
          <w:sz w:val="28"/>
          <w:szCs w:val="28"/>
        </w:rPr>
        <w:t xml:space="preserve">7.2 Lorebook System</w:t>
      </w:r>
      <w:bookmarkEnd w:id="100030"/>
    </w:p>
    <w:p>
      <w:pPr>
        <w:spacing w:after="160" w:line="312"/>
      </w:pPr>
      <w:r>
        <w:rPr>
          <w:rFonts w:ascii="Calibri" w:eastAsia="SimSun"/>
          <w:color w:val="000000"/>
          <w:sz w:val="22"/>
          <w:szCs w:val="22"/>
        </w:rPr>
        <w:t xml:space="preserve">The lorebook (also known as World Info) is a critical extension that enables rich world-building within the character card framework. A lorebook is a collection of entries, each containing a set of keywords, activation conditions, and content text. When the keywords appear in the recent conversation, the entry's content is automatically injected into the AI's context, providing relevant background information without cluttering the permanent character description.</w:t>
      </w:r>
    </w:p>
    <w:p>
      <w:pPr>
        <w:spacing w:after="160" w:line="312"/>
      </w:pPr>
      <w:r>
        <w:rPr>
          <w:rFonts w:ascii="Calibri" w:eastAsia="SimSun"/>
          <w:color w:val="000000"/>
          <w:sz w:val="22"/>
          <w:szCs w:val="22"/>
        </w:rPr>
        <w:t xml:space="preserve">Each lorebook entry specifies: key terms (comma-separated keywords that trigger activation), secondary terms (additional keywords that must co-occur with primary terms), content (the text injected into context when activated), insertion position (before the character description, after it, or at a specific depth in the conversation), activation state (always active, only when character is speaking, or only when user mentions the keyword), and recursion depth (whether activated entries can trigger other entries, up to a configurable depth limit). This system enables sophisticated world-building where mentioning a location name automatically brings in its description, inhabitants, and connected plot threads.</w:t>
      </w:r>
    </w:p>
    <w:p>
      <w:pPr>
        <w:pStyle w:val="Heading2"/>
        <w:spacing w:after="240" w:before="480"/>
      </w:pPr>
      <w:bookmarkStart w:id="100031" w:name="_Toc100031"/>
      <w:r>
        <w:rPr>
          <w:rFonts w:ascii="Calibri" w:eastAsia="SimHei"/>
          <w:b/>
          <w:bCs/>
          <w:color w:val="2C3E6B"/>
          <w:sz w:val="28"/>
          <w:szCs w:val="28"/>
        </w:rPr>
        <w:t xml:space="preserve">7.3 Card Import/Export</w:t>
      </w:r>
      <w:bookmarkEnd w:id="100031"/>
    </w:p>
    <w:p>
      <w:pPr>
        <w:spacing w:after="160" w:line="312"/>
      </w:pPr>
      <w:r>
        <w:rPr>
          <w:rFonts w:ascii="Calibri" w:eastAsia="SimSun"/>
          <w:color w:val="000000"/>
          <w:sz w:val="22"/>
          <w:szCs w:val="22"/>
        </w:rPr>
        <w:t xml:space="preserve">Persona supports importing character cards from multiple sources. PNG cards with embedded V2 metadata can be dragged and dropped onto the application window or loaded through a file picker. JSON card files are also supported, with automatic detection of V1 and V2 formats and migration to V2 when needed. Cards from SillyTavern, CharacterAI (via community export tools), and other compatible platforms are recognized and their data mapped to Persona's internal schema.</w:t>
      </w:r>
    </w:p>
    <w:p>
      <w:pPr>
        <w:spacing w:after="160" w:line="312"/>
      </w:pPr>
      <w:r>
        <w:rPr>
          <w:rFonts w:ascii="Calibri" w:eastAsia="SimSun"/>
          <w:color w:val="000000"/>
          <w:sz w:val="22"/>
          <w:szCs w:val="22"/>
        </w:rPr>
        <w:t xml:space="preserve">Export functionality allows users to save cards as PNG (with the character's avatar image and embedded metadata) or JSON formats. The PNG format is ideal for sharing on image boards and social media, while JSON is preferred for programmatic access and version control. Persona also supports batch import and export for users managing large character libraries.</w:t>
      </w:r>
    </w:p>
    <w:p>
      <w:pPr>
        <w:pStyle w:val="Heading2"/>
        <w:spacing w:after="240" w:before="480"/>
      </w:pPr>
      <w:bookmarkStart w:id="100032" w:name="_Toc100032"/>
      <w:r>
        <w:rPr>
          <w:rFonts w:ascii="Calibri" w:eastAsia="SimHei"/>
          <w:b/>
          <w:bCs/>
          <w:color w:val="2C3E6B"/>
          <w:sz w:val="28"/>
          <w:szCs w:val="28"/>
        </w:rPr>
        <w:t xml:space="preserve">7.4 Character Creation Wizard</w:t>
      </w:r>
      <w:bookmarkEnd w:id="100032"/>
    </w:p>
    <w:p>
      <w:pPr>
        <w:spacing w:after="160" w:line="312"/>
      </w:pPr>
      <w:r>
        <w:rPr>
          <w:rFonts w:ascii="Calibri" w:eastAsia="SimSun"/>
          <w:color w:val="000000"/>
          <w:sz w:val="22"/>
          <w:szCs w:val="22"/>
        </w:rPr>
        <w:t xml:space="preserve">Creating a new character in Persona follows a guided, multi-step wizard that breaks the card definition into digestible sections. Step 1 covers identity (name, avatar upload, and a short tagline). Step 2 focuses on personality (description, personality traits, and behavioral patterns). Step 3 addresses the scenario (starting situation, world context, and first message). Step 4 handles advanced settings (sample dialogues, system prompt overrides, and lorebook initialization). Each step provides contextual guidance text explaining what information to include and how it affects the AI's behavior, making the creation process accessible to newcomers while still offering full depth for experienced users.</w:t>
      </w:r>
    </w:p>
    <w:p>
      <w:pPr>
        <w:pStyle w:val="Heading1"/>
        <w:spacing w:after="300" w:before="600"/>
      </w:pPr>
      <w:bookmarkStart w:id="100033" w:name="_Toc100033"/>
      <w:r>
        <w:rPr>
          <w:rFonts w:ascii="Calibri" w:eastAsia="SimHei"/>
          <w:b/>
          <w:bCs/>
          <w:color w:val="1B2A4A"/>
          <w:sz w:val="32"/>
          <w:szCs w:val="32"/>
        </w:rPr>
        <w:t xml:space="preserve">8. AI Provider Integration</w:t>
      </w:r>
      <w:bookmarkEnd w:id="100033"/>
    </w:p>
    <w:p>
      <w:pPr>
        <w:spacing w:after="160" w:line="312"/>
      </w:pPr>
      <w:r>
        <w:rPr>
          <w:rFonts w:ascii="Calibri" w:eastAsia="SimSun"/>
          <w:color w:val="000000"/>
          <w:sz w:val="22"/>
          <w:szCs w:val="22"/>
        </w:rPr>
        <w:t xml:space="preserve">Persona's provider integration layer is designed around the OpenAI Chat Completions API format, which has become the de facto standard for large language model APIs. By targeting this single interface specification, Persona achieves compatibility with dozens of providers without requiring provider-specific adapters for each one.</w:t>
      </w:r>
    </w:p>
    <w:p>
      <w:pPr>
        <w:pStyle w:val="Heading2"/>
        <w:spacing w:after="240" w:before="480"/>
      </w:pPr>
      <w:bookmarkStart w:id="100034" w:name="_Toc100034"/>
      <w:r>
        <w:rPr>
          <w:rFonts w:ascii="Calibri" w:eastAsia="SimHei"/>
          <w:b/>
          <w:bCs/>
          <w:color w:val="2C3E6B"/>
          <w:sz w:val="28"/>
          <w:szCs w:val="28"/>
        </w:rPr>
        <w:t xml:space="preserve">8.1 OpenAI-Compatible API</w:t>
      </w:r>
      <w:bookmarkEnd w:id="100034"/>
    </w:p>
    <w:p>
      <w:pPr>
        <w:spacing w:after="160" w:line="312"/>
      </w:pPr>
      <w:r>
        <w:rPr>
          <w:rFonts w:ascii="Calibri" w:eastAsia="SimSun"/>
          <w:color w:val="000000"/>
          <w:sz w:val="22"/>
          <w:szCs w:val="22"/>
        </w:rPr>
        <w:t xml:space="preserve">The provider adapter module communicates with AI backends using the OpenAI Chat Completions API format (POST /v1/chat/completions). This endpoint accepts a messages array with role/content pairs, model selection, and generation parameters (temperature, top_p, max_tokens, frequency_penalty, presence_penalty, stop sequences). The response is received via server-sent events (SSE) for streaming, or as a complete JSON payload for non-streaming requests.</w:t>
      </w:r>
    </w:p>
    <w:p>
      <w:pPr>
        <w:spacing w:after="160" w:line="312"/>
      </w:pPr>
      <w:r>
        <w:rPr>
          <w:rFonts w:ascii="Calibri" w:eastAsia="SimSun"/>
          <w:color w:val="000000"/>
          <w:sz w:val="22"/>
          <w:szCs w:val="22"/>
        </w:rPr>
        <w:t xml:space="preserve">The adapter handles the full lifecycle of an AI request: constructing the messages array from the assembled prompt context, sending the HTTP request with appropriate headers (Authorization: Bearer &lt;key&gt;, Content-Type: application/json), parsing the SSE stream chunk by chunk to extract generated tokens, detecting the [DONE] signal, and handling errors (rate limits, context overflow, authentication failures) with user-friendly error messages and automatic retry for transient failures.</w:t>
      </w:r>
    </w:p>
    <w:p>
      <w:pPr>
        <w:pStyle w:val="Heading2"/>
        <w:spacing w:after="240" w:before="480"/>
      </w:pPr>
      <w:bookmarkStart w:id="100035" w:name="_Toc100035"/>
      <w:r>
        <w:rPr>
          <w:rFonts w:ascii="Calibri" w:eastAsia="SimHei"/>
          <w:b/>
          <w:bCs/>
          <w:color w:val="2C3E6B"/>
          <w:sz w:val="28"/>
          <w:szCs w:val="28"/>
        </w:rPr>
        <w:t xml:space="preserve">8.2 Supported Provider Types</w:t>
      </w:r>
      <w:bookmarkEnd w:id="10003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color="auto" w:val="clear"/>
            <w:tcMar>
              <w:top w:type="dxa" w:w="60"/>
              <w:left w:type="dxa" w:w="120"/>
              <w:bottom w:type="dxa" w:w="60"/>
              <w:right w:type="dxa" w:w="120"/>
            </w:tcMar>
          </w:tcPr>
          <w:p>
            <w:r>
              <w:rPr>
                <w:rFonts w:ascii="Calibri" w:eastAsia="SimSun"/>
                <w:b/>
                <w:bCs/>
                <w:color w:val="FFFFFF"/>
                <w:sz w:val="20"/>
                <w:szCs w:val="20"/>
              </w:rPr>
              <w:t xml:space="preserve">Provider Category</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Examples</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Configuration</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Notes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Commercial Cloud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OpenAI, Anthropic (via proxy), Groq, Together AI, OpenRouter</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API key + base URL</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Most common, high quality, usage-based pricing</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OpenAI Proxies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OneAPI, LiteLLM, OpenRouter</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API key + proxy URL + model mapping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Aggregators that unify multiple backends behind one endpoint</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Local Inference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Ollama, LM Studio, text-generation-webui, koboldcpp</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Local URL (e.g., http://localhost:11434)</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Full privacy, no cost, requires local GPU/CPU resources</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Custom Endpoints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Self-hosted vLLM, TGI, TabbyAPI</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Base URL + optional auth</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Enterprise or advanced user deployments</w:t>
            </w:r>
          </w:p>
        </w:tc>
      </w:tr>
    </w:tbl>
    <w:p>
      <w:pPr>
        <w:pStyle w:val="Heading2"/>
        <w:spacing w:after="240" w:before="480"/>
      </w:pPr>
      <w:bookmarkStart w:id="100036" w:name="_Toc100036"/>
      <w:r>
        <w:rPr>
          <w:rFonts w:ascii="Calibri" w:eastAsia="SimHei"/>
          <w:b/>
          <w:bCs/>
          <w:color w:val="2C3E6B"/>
          <w:sz w:val="28"/>
          <w:szCs w:val="28"/>
        </w:rPr>
        <w:t xml:space="preserve">8.3 Provider Configuration</w:t>
      </w:r>
      <w:bookmarkEnd w:id="100036"/>
    </w:p>
    <w:p>
      <w:pPr>
        <w:spacing w:after="160" w:line="312"/>
      </w:pPr>
      <w:r>
        <w:rPr>
          <w:rFonts w:ascii="Calibri" w:eastAsia="SimSun"/>
          <w:color w:val="000000"/>
          <w:sz w:val="22"/>
          <w:szCs w:val="22"/>
        </w:rPr>
        <w:t xml:space="preserve">Each provider is configured with a name, base URL, API key, and default model selection. Multiple providers can be configured simultaneously, and individual characters or conversations can override the default provider. The configuration screen provides built-in presets for popular providers (pre-filling the correct base URL and common model names) while also supporting fully custom endpoints. API keys are stored in the operating system's keychain (Windows Credential Manager, macOS Keychain) through Tauri's keychain plugin, never in the SQLite database or configuration files.</w:t>
      </w:r>
    </w:p>
    <w:p>
      <w:pPr>
        <w:spacing w:after="160" w:line="312"/>
      </w:pPr>
      <w:r>
        <w:rPr>
          <w:rFonts w:ascii="Calibri" w:eastAsia="SimSun"/>
          <w:color w:val="000000"/>
          <w:sz w:val="22"/>
          <w:szCs w:val="22"/>
        </w:rPr>
        <w:t xml:space="preserve">Provider-level settings include default generation parameters (temperature, top_p, max_tokens, context length), timeout configuration, and retry policies. Users can create named parameter presets (e.g., "Creative Writing" with temperature 0.9, "Precise Q&amp;A" with temperature 0.3) and assign them at the character or conversation level, allowing fine-tuned control over AI behavior without repeatedly adjusting individual parameters.</w:t>
      </w:r>
    </w:p>
    <w:p>
      <w:pPr>
        <w:pStyle w:val="Heading2"/>
        <w:spacing w:after="240" w:before="480"/>
      </w:pPr>
      <w:bookmarkStart w:id="100037" w:name="_Toc100037"/>
      <w:r>
        <w:rPr>
          <w:rFonts w:ascii="Calibri" w:eastAsia="SimHei"/>
          <w:b/>
          <w:bCs/>
          <w:color w:val="2C3E6B"/>
          <w:sz w:val="28"/>
          <w:szCs w:val="28"/>
        </w:rPr>
        <w:t xml:space="preserve">8.4 Streaming Architecture</w:t>
      </w:r>
      <w:bookmarkEnd w:id="100037"/>
    </w:p>
    <w:p>
      <w:pPr>
        <w:spacing w:after="160" w:line="312"/>
      </w:pPr>
      <w:r>
        <w:rPr>
          <w:rFonts w:ascii="Calibri" w:eastAsia="SimSun"/>
          <w:color w:val="000000"/>
          <w:sz w:val="22"/>
          <w:szCs w:val="22"/>
        </w:rPr>
        <w:t xml:space="preserve">Streaming is the default response mode for all providers. The Rust backend establishes an SSE connection and emits Tauri events for each received token chunk. The frontend subscribes to these events and updates the active message in the Zustand store, which triggers a React re-render of the chat bubble. This results in a smooth, typewriter-style text appearance that provides immediate feedback and allows users to start reading the response before generation completes.</w:t>
      </w:r>
    </w:p>
    <w:p>
      <w:pPr>
        <w:spacing w:after="160" w:line="312"/>
      </w:pPr>
      <w:r>
        <w:rPr>
          <w:rFonts w:ascii="Calibri" w:eastAsia="SimSun"/>
          <w:color w:val="000000"/>
          <w:sz w:val="22"/>
          <w:szCs w:val="22"/>
        </w:rPr>
        <w:t xml:space="preserve">The streaming implementation includes a cancellation mechanism: users can stop generation at any point by clicking a stop button or pressing Escape. The Rust backend closes the SSE connection and marks the message as partial. Partial messages are fully functional in the conversation history; they can be regenerated, edited, or branched from just like complete messages. Additionally, the backend implements a token counter that estimates total generated tokens for cost tracking and context management.</w:t>
      </w:r>
    </w:p>
    <w:p>
      <w:pPr>
        <w:pStyle w:val="Heading1"/>
        <w:spacing w:after="300" w:before="600"/>
      </w:pPr>
      <w:bookmarkStart w:id="100038" w:name="_Toc100038"/>
      <w:r>
        <w:rPr>
          <w:rFonts w:ascii="Calibri" w:eastAsia="SimHei"/>
          <w:b/>
          <w:bCs/>
          <w:color w:val="1B2A4A"/>
          <w:sz w:val="32"/>
          <w:szCs w:val="32"/>
        </w:rPr>
        <w:t xml:space="preserve">9. UI/UX Design</w:t>
      </w:r>
      <w:bookmarkEnd w:id="100038"/>
    </w:p>
    <w:p>
      <w:pPr>
        <w:spacing w:after="160" w:line="312"/>
      </w:pPr>
      <w:r>
        <w:rPr>
          <w:rFonts w:ascii="Calibri" w:eastAsia="SimSun"/>
          <w:color w:val="000000"/>
          <w:sz w:val="22"/>
          <w:szCs w:val="22"/>
        </w:rPr>
        <w:t xml:space="preserve">Persona's UI design applies GNOME's Human Interface Guidelines to create a desktop roleplay experience that is both powerful and approachable. Every design decision prioritizes content visibility, interaction clarity, and sustained creative comfort during long roleplay sessions.</w:t>
      </w:r>
    </w:p>
    <w:p>
      <w:pPr>
        <w:pStyle w:val="Heading2"/>
        <w:spacing w:after="240" w:before="480"/>
      </w:pPr>
      <w:bookmarkStart w:id="100039" w:name="_Toc100039"/>
      <w:r>
        <w:rPr>
          <w:rFonts w:ascii="Calibri" w:eastAsia="SimHei"/>
          <w:b/>
          <w:bCs/>
          <w:color w:val="2C3E6B"/>
          <w:sz w:val="28"/>
          <w:szCs w:val="28"/>
        </w:rPr>
        <w:t xml:space="preserve">9.1 Primary Views</w:t>
      </w:r>
      <w:bookmarkEnd w:id="100039"/>
    </w:p>
    <w:p>
      <w:pPr>
        <w:spacing w:after="160" w:line="312"/>
      </w:pPr>
      <w:r>
        <w:rPr>
          <w:rFonts w:ascii="Calibri" w:eastAsia="SimSun"/>
          <w:color w:val="000000"/>
          <w:sz w:val="22"/>
          <w:szCs w:val="22"/>
        </w:rPr>
        <w:t xml:space="preserve">The application is organized into three primary views, accessible through the header bar view switcher. The Chat View is the default and dominant view, where active conversations take place. The Characters View provides character management, card editing, and import/export. The Settings View handles provider configuration, application preferences, and advanced customization. Each view is a distinct top-level route with its own layout, but they share the header bar and sidebar for consistent navigation.</w:t>
      </w:r>
    </w:p>
    <w:p>
      <w:pPr>
        <w:pStyle w:val="Heading2"/>
        <w:spacing w:after="240" w:before="480"/>
      </w:pPr>
      <w:bookmarkStart w:id="100040" w:name="_Toc100040"/>
      <w:r>
        <w:rPr>
          <w:rFonts w:ascii="Calibri" w:eastAsia="SimHei"/>
          <w:b/>
          <w:bCs/>
          <w:color w:val="2C3E6B"/>
          <w:sz w:val="28"/>
          <w:szCs w:val="28"/>
        </w:rPr>
        <w:t xml:space="preserve">9.2 Chat View Layout</w:t>
      </w:r>
      <w:bookmarkEnd w:id="100040"/>
    </w:p>
    <w:p>
      <w:pPr>
        <w:spacing w:after="160" w:line="312"/>
      </w:pPr>
      <w:r>
        <w:rPr>
          <w:rFonts w:ascii="Calibri" w:eastAsia="SimSun"/>
          <w:color w:val="000000"/>
          <w:sz w:val="22"/>
          <w:szCs w:val="22"/>
        </w:rPr>
        <w:t xml:space="preserve">The Chat View is the most complex and most-used view, and its layout reflects this priority. The view is divided into three horizontal zones. The header bar at the top contains the application name and view switcher on the left, the active character name and model indicator in the center, and action buttons (new chat, search, sidebar toggle) on the right. The main content area fills the remaining space with the conversation display, where messages scroll vertically with the newest at the bottom. The input area at the bottom provides a multi-line text input with send/stop buttons, a token counter, and a context utilization bar.</w:t>
      </w:r>
    </w:p>
    <w:p>
      <w:pPr>
        <w:spacing w:after="160" w:line="312"/>
      </w:pPr>
      <w:r>
        <w:rPr>
          <w:rFonts w:ascii="Calibri" w:eastAsia="SimSun"/>
          <w:color w:val="000000"/>
          <w:sz w:val="22"/>
          <w:szCs w:val="22"/>
        </w:rPr>
        <w:t xml:space="preserve">The conversation display renders messages as styled cards. Character messages appear left-aligned with the character's avatar, name, and a subtle background tint matching the character's accent color. User messages appear right-aligned with a distinct background. Each message card includes hover-revealed actions: edit (to modify previous user messages and branch the conversation), regenerate (to request an alternative AI response), delete (to remove a message and all subsequent ones), and copy. Branch indicators appear when a message has multiple sibling responses, shown as a small branch navigation widget (previous/next with "1/3" counter) that allows users to explore alternative conversation paths.</w:t>
      </w:r>
    </w:p>
    <w:p>
      <w:pPr>
        <w:pStyle w:val="Heading2"/>
        <w:spacing w:after="240" w:before="480"/>
      </w:pPr>
      <w:bookmarkStart w:id="100041" w:name="_Toc100041"/>
      <w:r>
        <w:rPr>
          <w:rFonts w:ascii="Calibri" w:eastAsia="SimHei"/>
          <w:b/>
          <w:bCs/>
          <w:color w:val="2C3E6B"/>
          <w:sz w:val="28"/>
          <w:szCs w:val="28"/>
        </w:rPr>
        <w:t xml:space="preserve">9.3 Characters View</w:t>
      </w:r>
      <w:bookmarkEnd w:id="100041"/>
    </w:p>
    <w:p>
      <w:pPr>
        <w:spacing w:after="160" w:line="312"/>
      </w:pPr>
      <w:r>
        <w:rPr>
          <w:rFonts w:ascii="Calibri" w:eastAsia="SimSun"/>
          <w:color w:val="000000"/>
          <w:sz w:val="22"/>
          <w:szCs w:val="22"/>
        </w:rPr>
        <w:t xml:space="preserve">The Characters View presents the user's character library as a responsive grid of character cards. Each card displays the character's avatar, name, creator, tags, and a brief description excerpt. Cards use the GNOME card pattern with rounded corners, subtle elevation shadow, and hover-activated action buttons (start chat, edit, export, delete). The grid adapts from three columns on wide screens to two on medium and one on narrow windows.</w:t>
      </w:r>
    </w:p>
    <w:p>
      <w:pPr>
        <w:spacing w:after="160" w:line="312"/>
      </w:pPr>
      <w:r>
        <w:rPr>
          <w:rFonts w:ascii="Calibri" w:eastAsia="SimSun"/>
          <w:color w:val="000000"/>
          <w:sz w:val="22"/>
          <w:szCs w:val="22"/>
        </w:rPr>
        <w:t xml:space="preserve">Above the grid, a search bar with tag filters allows quick character discovery. The search uses SQLite FTS5 for instant full-text matching across names, descriptions, and tags. An "Import Character" button opens a file picker or drag-and-drop zone accepting PNG and JSON card files. A "Create New" button launches the character creation wizard. When a character is selected for editing, a sliding panel emerges from the right side of the screen, overlaying the grid, with a tabbed card editor (Identity, Personality, Scenario, Advanced, Lorebook).</w:t>
      </w:r>
    </w:p>
    <w:p>
      <w:pPr>
        <w:pStyle w:val="Heading2"/>
        <w:spacing w:after="240" w:before="480"/>
      </w:pPr>
      <w:bookmarkStart w:id="100042" w:name="_Toc100042"/>
      <w:r>
        <w:rPr>
          <w:rFonts w:ascii="Calibri" w:eastAsia="SimHei"/>
          <w:b/>
          <w:bCs/>
          <w:color w:val="2C3E6B"/>
          <w:sz w:val="28"/>
          <w:szCs w:val="28"/>
        </w:rPr>
        <w:t xml:space="preserve">9.4 Settings View</w:t>
      </w:r>
      <w:bookmarkEnd w:id="100042"/>
    </w:p>
    <w:p>
      <w:pPr>
        <w:spacing w:after="160" w:line="312"/>
      </w:pPr>
      <w:r>
        <w:rPr>
          <w:rFonts w:ascii="Calibri" w:eastAsia="SimSun"/>
          <w:color w:val="000000"/>
          <w:sz w:val="22"/>
          <w:szCs w:val="22"/>
        </w:rPr>
        <w:t xml:space="preserve">The Settings View uses a GNOME-style sidebar list of setting categories with the corresponding configuration panel on the right. Categories include: AI Providers (add/edit/remove provider configurations and test connectivity), Generation Defaults (temperature, top_p, max tokens, context length, stop sequences), Prompt Presets (create/edit/delete named parameter profiles), Appearance (light/dark/system theme, accent color, font size, message density), Keyboard Shortcuts (view and customize all shortcuts), Data Management (export/import all data, backup/restore, clear history), and About (version, licenses, links).</w:t>
      </w:r>
    </w:p>
    <w:p>
      <w:pPr>
        <w:spacing w:after="160" w:line="312"/>
      </w:pPr>
      <w:r>
        <w:rPr>
          <w:rFonts w:ascii="Calibri" w:eastAsia="SimSun"/>
          <w:color w:val="000000"/>
          <w:sz w:val="22"/>
          <w:szCs w:val="22"/>
        </w:rPr>
        <w:t xml:space="preserve">The AI Providers section is particularly important, as it is where users configure their API access. Each provider card shows the provider name, base URL, configured models, and a connectivity status indicator (green dot for reachable, red for error). A "Test Connection" button sends a minimal completion request to verify the API key and endpoint are working. The provider editor includes preset URLs for popular services, with custom URL support for any OpenAI-compatible endpoint.</w:t>
      </w:r>
    </w:p>
    <w:p>
      <w:pPr>
        <w:pStyle w:val="Heading2"/>
        <w:spacing w:after="240" w:before="480"/>
      </w:pPr>
      <w:bookmarkStart w:id="100043" w:name="_Toc100043"/>
      <w:r>
        <w:rPr>
          <w:rFonts w:ascii="Calibri" w:eastAsia="SimHei"/>
          <w:b/>
          <w:bCs/>
          <w:color w:val="2C3E6B"/>
          <w:sz w:val="28"/>
          <w:szCs w:val="28"/>
        </w:rPr>
        <w:t xml:space="preserve">9.5 Keyboard Navigation</w:t>
      </w:r>
      <w:bookmarkEnd w:id="100043"/>
    </w:p>
    <w:p>
      <w:pPr>
        <w:spacing w:after="160" w:line="312"/>
      </w:pPr>
      <w:r>
        <w:rPr>
          <w:rFonts w:ascii="Calibri" w:eastAsia="SimSun"/>
          <w:color w:val="000000"/>
          <w:sz w:val="22"/>
          <w:szCs w:val="22"/>
        </w:rPr>
        <w:t xml:space="preserve">Following GNOME accessibility standards, every action in Persona can be performed via keyboard. The primary shortcuts include: Ctrl+N for new chat, Ctrl+Shift+N for new character, Ctrl+B to toggle sidebar, Ctrl+F to search, Ctrl+, to open settings, Escape to cancel generation or close overlays, and Ctrl+Enter to send a message (Enter inserts a newline by default, configurable). Arrow keys navigate conversation branches and sidebar items. All shortcuts are documented in the Keyboard Shortcuts settings panel and can be customized.</w:t>
      </w:r>
    </w:p>
    <w:p>
      <w:pPr>
        <w:pStyle w:val="Heading1"/>
        <w:spacing w:after="300" w:before="600"/>
      </w:pPr>
      <w:bookmarkStart w:id="100044" w:name="_Toc100044"/>
      <w:r>
        <w:rPr>
          <w:rFonts w:ascii="Calibri" w:eastAsia="SimHei"/>
          <w:b/>
          <w:bCs/>
          <w:color w:val="1B2A4A"/>
          <w:sz w:val="32"/>
          <w:szCs w:val="32"/>
        </w:rPr>
        <w:t xml:space="preserve">10. Feature Specifications</w:t>
      </w:r>
      <w:bookmarkEnd w:id="100044"/>
    </w:p>
    <w:p>
      <w:pPr>
        <w:spacing w:after="160" w:line="312"/>
      </w:pPr>
      <w:r>
        <w:rPr>
          <w:rFonts w:ascii="Calibri" w:eastAsia="SimSun"/>
          <w:color w:val="000000"/>
          <w:sz w:val="22"/>
          <w:szCs w:val="22"/>
        </w:rPr>
        <w:t xml:space="preserve">This section details the functional requirements for each major feature area, organized by priority tier. Tier 1 features are required for the minimum viable product, Tier 2 features are planned for the first follow-up release, and Tier 3 features are longer-term enhancements.</w:t>
      </w:r>
    </w:p>
    <w:p>
      <w:pPr>
        <w:pStyle w:val="Heading2"/>
        <w:spacing w:after="240" w:before="480"/>
      </w:pPr>
      <w:bookmarkStart w:id="100045" w:name="_Toc100045"/>
      <w:r>
        <w:rPr>
          <w:rFonts w:ascii="Calibri" w:eastAsia="SimHei"/>
          <w:b/>
          <w:bCs/>
          <w:color w:val="2C3E6B"/>
          <w:sz w:val="28"/>
          <w:szCs w:val="28"/>
        </w:rPr>
        <w:t xml:space="preserve">10.1 Conversation Management (Tier 1)</w:t>
      </w:r>
      <w:bookmarkEnd w:id="100045"/>
    </w:p>
    <w:p>
      <w:pPr>
        <w:spacing w:after="160" w:line="312"/>
      </w:pPr>
      <w:r>
        <w:rPr>
          <w:rFonts w:ascii="Calibri" w:eastAsia="SimSun"/>
          <w:color w:val="000000"/>
          <w:sz w:val="22"/>
          <w:szCs w:val="22"/>
        </w:rPr>
        <w:t xml:space="preserve">The conversation system is the heart of the application. Each conversation is associated with a character card and maintains its own message history, context state, and generation parameters. Conversations can be created from scratch (starting with the character's first_mes), resumed from history, or forked from any point in an existing conversation. The message list supports infinite scroll for very long conversations, with lazy loading of older messages to maintain performance.</w:t>
      </w:r>
    </w:p>
    <w:p>
      <w:pPr>
        <w:spacing w:after="160" w:line="312"/>
      </w:pPr>
      <w:r>
        <w:rPr>
          <w:rFonts w:ascii="Calibri" w:eastAsia="SimSun"/>
          <w:color w:val="000000"/>
          <w:sz w:val="22"/>
          <w:szCs w:val="22"/>
        </w:rPr>
        <w:t xml:space="preserve">Message editing allows users to modify any previous user message, which automatically creates a new branch at that point while preserving the original branch. Branch navigation lets users switch between alternative conversation paths using the branch indicator widget on each forked message. The entire branch tree is stored efficiently in SQLite using a parent-child message relationship, enabling instant navigation between branches without re-fetching data. Deletion of a message removes it and all descendants from the active branch, with a confirmation dialog for safety.</w:t>
      </w:r>
    </w:p>
    <w:p>
      <w:pPr>
        <w:pStyle w:val="Heading2"/>
        <w:spacing w:after="240" w:before="480"/>
      </w:pPr>
      <w:bookmarkStart w:id="100046" w:name="_Toc100046"/>
      <w:r>
        <w:rPr>
          <w:rFonts w:ascii="Calibri" w:eastAsia="SimHei"/>
          <w:b/>
          <w:bCs/>
          <w:color w:val="2C3E6B"/>
          <w:sz w:val="28"/>
          <w:szCs w:val="28"/>
        </w:rPr>
        <w:t xml:space="preserve">10.2 Character Management (Tier 1)</w:t>
      </w:r>
      <w:bookmarkEnd w:id="100046"/>
    </w:p>
    <w:p>
      <w:pPr>
        <w:spacing w:after="160" w:line="312"/>
      </w:pPr>
      <w:r>
        <w:rPr>
          <w:rFonts w:ascii="Calibri" w:eastAsia="SimSun"/>
          <w:color w:val="000000"/>
          <w:sz w:val="22"/>
          <w:szCs w:val="22"/>
        </w:rPr>
        <w:t xml:space="preserve">The character management system provides full CRUD operations for character cards, plus import/export functionality. Characters are displayed in a searchable, tag-filterable grid. The card editor validates all fields in real-time, warns about potential prompt injection risks in user-provided cards, and provides a live preview of how the character's data will be assembled into the AI prompt. Avatar images are stored as base64 data within the card for portability, with a thumbnail cache for fast grid rendering.</w:t>
      </w:r>
    </w:p>
    <w:p>
      <w:pPr>
        <w:pStyle w:val="Heading2"/>
        <w:spacing w:after="240" w:before="480"/>
      </w:pPr>
      <w:bookmarkStart w:id="100047" w:name="_Toc100047"/>
      <w:r>
        <w:rPr>
          <w:rFonts w:ascii="Calibri" w:eastAsia="SimHei"/>
          <w:b/>
          <w:bCs/>
          <w:color w:val="2C3E6B"/>
          <w:sz w:val="28"/>
          <w:szCs w:val="28"/>
        </w:rPr>
        <w:t xml:space="preserve">10.3 Group Chat (Tier 2)</w:t>
      </w:r>
      <w:bookmarkEnd w:id="100047"/>
    </w:p>
    <w:p>
      <w:pPr>
        <w:spacing w:after="160" w:line="312"/>
      </w:pPr>
      <w:r>
        <w:rPr>
          <w:rFonts w:ascii="Calibri" w:eastAsia="SimSun"/>
          <w:color w:val="000000"/>
          <w:sz w:val="22"/>
          <w:szCs w:val="22"/>
        </w:rPr>
        <w:t xml:space="preserve">Group chat allows multiple characters to participate in a single conversation. In a group chat, each message is attributed to a specific character, and the AI generates responses from the appropriate character's perspective. The system prompt for group chats includes all participating characters' descriptions and a turn-order mechanism. Users can manually trigger a specific character to speak, or the system can auto-rotate based on conversation flow. This feature is essential for multi-character roleplay scenarios and is a significant differentiator over single-character chat platforms.</w:t>
      </w:r>
    </w:p>
    <w:p>
      <w:pPr>
        <w:pStyle w:val="Heading2"/>
        <w:spacing w:after="240" w:before="480"/>
      </w:pPr>
      <w:bookmarkStart w:id="100048" w:name="_Toc100048"/>
      <w:r>
        <w:rPr>
          <w:rFonts w:ascii="Calibri" w:eastAsia="SimHei"/>
          <w:b/>
          <w:bCs/>
          <w:color w:val="2C3E6B"/>
          <w:sz w:val="28"/>
          <w:szCs w:val="28"/>
        </w:rPr>
        <w:t xml:space="preserve">10.4 Lorebook Management (Tier 2)</w:t>
      </w:r>
      <w:bookmarkEnd w:id="100048"/>
    </w:p>
    <w:p>
      <w:pPr>
        <w:spacing w:after="160" w:line="312"/>
      </w:pPr>
      <w:r>
        <w:rPr>
          <w:rFonts w:ascii="Calibri" w:eastAsia="SimSun"/>
          <w:color w:val="000000"/>
          <w:sz w:val="22"/>
          <w:szCs w:val="22"/>
        </w:rPr>
        <w:t xml:space="preserve">The lorebook editor provides a structured interface for managing world-building entries within a character card. Entries are displayed in a sortable, filterable list with inline editing. The editor highlights keyword matches in real-time as the user types, showing which entries would activate given the current conversation context. Recursive activation is visualized as a dependency tree, helping users understand the chain of lorebook entries that will be injected into the AI's context. Import and export of lorebooks as standalone JSON files enables sharing world-building data across different character cards.</w:t>
      </w:r>
    </w:p>
    <w:p>
      <w:pPr>
        <w:pStyle w:val="Heading2"/>
        <w:spacing w:after="240" w:before="480"/>
      </w:pPr>
      <w:bookmarkStart w:id="100049" w:name="_Toc100049"/>
      <w:r>
        <w:rPr>
          <w:rFonts w:ascii="Calibri" w:eastAsia="SimHei"/>
          <w:b/>
          <w:bCs/>
          <w:color w:val="2C3E6B"/>
          <w:sz w:val="28"/>
          <w:szCs w:val="28"/>
        </w:rPr>
        <w:t xml:space="preserve">10.5 Regex Scripting (Tier 2)</w:t>
      </w:r>
      <w:bookmarkEnd w:id="100049"/>
    </w:p>
    <w:p>
      <w:pPr>
        <w:spacing w:after="160" w:line="312"/>
      </w:pPr>
      <w:r>
        <w:rPr>
          <w:rFonts w:ascii="Calibri" w:eastAsia="SimSun"/>
          <w:color w:val="000000"/>
          <w:sz w:val="22"/>
          <w:szCs w:val="22"/>
        </w:rPr>
        <w:t xml:space="preserve">For advanced users, Persona supports regex-based find-and-replace scripts that can modify AI responses before display. This feature, borrowed from SillyTavern's ecosystem, allows users to clean up repetitive AI outputs, format text in specific ways (e.g., adding markdown styling), or implement custom post-processing logic. Scripts are defined per-character with a test panel that shows before/after results on sample text, ensuring they work correctly before being applied to live conversations.</w:t>
      </w:r>
    </w:p>
    <w:p>
      <w:pPr>
        <w:pStyle w:val="Heading2"/>
        <w:spacing w:after="240" w:before="480"/>
      </w:pPr>
      <w:bookmarkStart w:id="100050" w:name="_Toc100050"/>
      <w:r>
        <w:rPr>
          <w:rFonts w:ascii="Calibri" w:eastAsia="SimHei"/>
          <w:b/>
          <w:bCs/>
          <w:color w:val="2C3E6B"/>
          <w:sz w:val="28"/>
          <w:szCs w:val="28"/>
        </w:rPr>
        <w:t xml:space="preserve">10.6 Conversation Search (Tier 2)</w:t>
      </w:r>
      <w:bookmarkEnd w:id="100050"/>
    </w:p>
    <w:p>
      <w:pPr>
        <w:spacing w:after="160" w:line="312"/>
      </w:pPr>
      <w:r>
        <w:rPr>
          <w:rFonts w:ascii="Calibri" w:eastAsia="SimSun"/>
          <w:color w:val="000000"/>
          <w:sz w:val="22"/>
          <w:szCs w:val="22"/>
        </w:rPr>
        <w:t xml:space="preserve">Full-text search across all conversations using SQLite FTS5, allowing users to find specific exchanges by keyword, character name, or date range. Search results are displayed in context (with surrounding messages for orientation) and clicking a result navigates directly to that point in the conversation. This feature is critical for users who maintain long-running roleplay campaigns and need to reference past events.</w:t>
      </w:r>
    </w:p>
    <w:p>
      <w:pPr>
        <w:pStyle w:val="Heading2"/>
        <w:spacing w:after="240" w:before="480"/>
      </w:pPr>
      <w:bookmarkStart w:id="100051" w:name="_Toc100051"/>
      <w:r>
        <w:rPr>
          <w:rFonts w:ascii="Calibri" w:eastAsia="SimHei"/>
          <w:b/>
          <w:bCs/>
          <w:color w:val="2C3E6B"/>
          <w:sz w:val="28"/>
          <w:szCs w:val="28"/>
        </w:rPr>
        <w:t xml:space="preserve">10.7 Prompt Presets (Tier 1)</w:t>
      </w:r>
      <w:bookmarkEnd w:id="100051"/>
    </w:p>
    <w:p>
      <w:pPr>
        <w:spacing w:after="160" w:line="312"/>
      </w:pPr>
      <w:r>
        <w:rPr>
          <w:rFonts w:ascii="Calibri" w:eastAsia="SimSun"/>
          <w:color w:val="000000"/>
          <w:sz w:val="22"/>
          <w:szCs w:val="22"/>
        </w:rPr>
        <w:t xml:space="preserve">Prompt presets allow users to define and save complete generation parameter profiles. Each preset includes a name, system prompt template, temperature, top_p, max_tokens, frequency_penalty, presence_penalty, and stop sequences. Presets can be assigned at the character level (so a specific character always uses a particular preset) or overridden at the conversation level. A built-in set of starter presets (Creative, Balanced, Precise) provides sensible defaults for new users.</w:t>
      </w:r>
    </w:p>
    <w:p>
      <w:pPr>
        <w:pStyle w:val="Heading2"/>
        <w:spacing w:after="240" w:before="480"/>
      </w:pPr>
      <w:bookmarkStart w:id="100052" w:name="_Toc100052"/>
      <w:r>
        <w:rPr>
          <w:rFonts w:ascii="Calibri" w:eastAsia="SimHei"/>
          <w:b/>
          <w:bCs/>
          <w:color w:val="2C3E6B"/>
          <w:sz w:val="28"/>
          <w:szCs w:val="28"/>
        </w:rPr>
        <w:t xml:space="preserve">10.8 Vault Mode (Tier 3)</w:t>
      </w:r>
      <w:bookmarkEnd w:id="100052"/>
    </w:p>
    <w:p>
      <w:pPr>
        <w:spacing w:after="160" w:line="312"/>
      </w:pPr>
      <w:r>
        <w:rPr>
          <w:rFonts w:ascii="Calibri" w:eastAsia="SimSun"/>
          <w:color w:val="000000"/>
          <w:sz w:val="22"/>
          <w:szCs w:val="22"/>
        </w:rPr>
        <w:t xml:space="preserve">Vault mode is an optional security feature that encrypts the SQLite database and all character card files using AES-256-GCM encryption with a user-provided passphrase. When vault mode is enabled, the application requires the passphrase on startup to decrypt the database. All data is encrypted at rest, and the passphrase is never stored on disk (it is held in memory only during the session). This feature addresses the needs of users who share their computers or require an additional layer of privacy for their creative content.</w:t>
      </w:r>
    </w:p>
    <w:p>
      <w:pPr>
        <w:pStyle w:val="Heading1"/>
        <w:spacing w:after="300" w:before="600"/>
      </w:pPr>
      <w:bookmarkStart w:id="100053" w:name="_Toc100053"/>
      <w:r>
        <w:rPr>
          <w:rFonts w:ascii="Calibri" w:eastAsia="SimHei"/>
          <w:b/>
          <w:bCs/>
          <w:color w:val="1B2A4A"/>
          <w:sz w:val="32"/>
          <w:szCs w:val="32"/>
        </w:rPr>
        <w:t xml:space="preserve">11. Data Model &amp; Storage</w:t>
      </w:r>
      <w:bookmarkEnd w:id="100053"/>
    </w:p>
    <w:p>
      <w:pPr>
        <w:spacing w:after="160" w:line="312"/>
      </w:pPr>
      <w:r>
        <w:rPr>
          <w:rFonts w:ascii="Calibri" w:eastAsia="SimSun"/>
          <w:color w:val="000000"/>
          <w:sz w:val="22"/>
          <w:szCs w:val="22"/>
        </w:rPr>
        <w:t xml:space="preserve">Persona's data model is designed for efficient local storage and fast query performance. SQLite was chosen for its reliability, zero-configuration deployment, and excellent performance characteristics for single-user desktop applications. The schema supports the full feature set including branching conversations, lorebooks, and provider configurations.</w:t>
      </w:r>
    </w:p>
    <w:p>
      <w:pPr>
        <w:pStyle w:val="Heading2"/>
        <w:spacing w:after="240" w:before="480"/>
      </w:pPr>
      <w:bookmarkStart w:id="100054" w:name="_Toc100054"/>
      <w:r>
        <w:rPr>
          <w:rFonts w:ascii="Calibri" w:eastAsia="SimHei"/>
          <w:b/>
          <w:bCs/>
          <w:color w:val="2C3E6B"/>
          <w:sz w:val="28"/>
          <w:szCs w:val="28"/>
        </w:rPr>
        <w:t xml:space="preserve">11.1 Core Schema</w:t>
      </w:r>
      <w:bookmarkEnd w:id="10005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color="auto" w:val="clear"/>
            <w:tcMar>
              <w:top w:type="dxa" w:w="60"/>
              <w:left w:type="dxa" w:w="120"/>
              <w:bottom w:type="dxa" w:w="60"/>
              <w:right w:type="dxa" w:w="120"/>
            </w:tcMar>
          </w:tcPr>
          <w:p>
            <w:r>
              <w:rPr>
                <w:rFonts w:ascii="Calibri" w:eastAsia="SimSun"/>
                <w:b/>
                <w:bCs/>
                <w:color w:val="FFFFFF"/>
                <w:sz w:val="20"/>
                <w:szCs w:val="20"/>
              </w:rPr>
              <w:t xml:space="preserve">Table</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Primary Key</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Key Columns</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Relationships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characters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id (UUID)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name, description, personality, scenario, first_mes, mes_example, system_prompt, avatar_url, tags, extensions, created_at, updated_at</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1:N conversations, 1:N lorebook_entries, 1:N regex_scripts</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conversations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id (UUID)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character_id, title, created_at, updated_at, is_group, group_members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N:1 characters, 1:N messages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messages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id (UUID)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conversation_id, parent_id (branch tree), role (user/assistant/system), content, token_count, model_used, provider_id, created_at, branch_index</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N:1 conversations, self-referencing (parent_id)</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lorebook_entries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id (UUID)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character_id, keywords, secondary_keywords, content, insertion_position, activation_mode, recursion_depth, enabled, comment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N:1 characters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providers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id (UUID)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name, base_url, api_key_ref (keychain), default_model, default_params (JSON), created_at</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Referenced by conversations and characters</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presets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id (UUID)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name, system_prompt, temperature, top_p, max_tokens, frequency_penalty, presence_penalty, stop_sequences (JSON)</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Referenced by conversations and characters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settings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key (TEXT)</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value (JSON)</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Global key-value store for app preferences</w:t>
            </w:r>
          </w:p>
        </w:tc>
      </w:tr>
    </w:tbl>
    <w:p>
      <w:pPr>
        <w:pStyle w:val="Heading2"/>
        <w:spacing w:after="240" w:before="480"/>
      </w:pPr>
      <w:bookmarkStart w:id="100055" w:name="_Toc100055"/>
      <w:r>
        <w:rPr>
          <w:rFonts w:ascii="Calibri" w:eastAsia="SimHei"/>
          <w:b/>
          <w:bCs/>
          <w:color w:val="2C3E6B"/>
          <w:sz w:val="28"/>
          <w:szCs w:val="28"/>
        </w:rPr>
        <w:t xml:space="preserve">11.2 Branch Storage Model</w:t>
      </w:r>
      <w:bookmarkEnd w:id="100055"/>
    </w:p>
    <w:p>
      <w:pPr>
        <w:spacing w:after="160" w:line="312"/>
      </w:pPr>
      <w:r>
        <w:rPr>
          <w:rFonts w:ascii="Calibri" w:eastAsia="SimSun"/>
          <w:color w:val="000000"/>
          <w:sz w:val="22"/>
          <w:szCs w:val="22"/>
        </w:rPr>
        <w:t xml:space="preserve">Conversation branching uses an adjacency list model where each message references its parent message via a parent_id column. The first message in a conversation has a null parent_id. When a user edits a message or regenerates a response, the new message is created with the same parent_id as the original, creating a sibling branch. The branch_index column orders siblings chronologically. This model allows efficient traversal of any branch path by following the parent chain from any message to the root, while also supporting quick access to all siblings of a given message for branch navigation.</w:t>
      </w:r>
    </w:p>
    <w:p>
      <w:pPr>
        <w:spacing w:after="160" w:line="312"/>
      </w:pPr>
      <w:r>
        <w:rPr>
          <w:rFonts w:ascii="Calibri" w:eastAsia="SimSun"/>
          <w:color w:val="000000"/>
          <w:sz w:val="22"/>
          <w:szCs w:val="22"/>
        </w:rPr>
        <w:t xml:space="preserve">The active branch of a conversation is tracked by storing a pointer to the last message in each conversation's current branch. When the user switches branches, the pointer updates to the new branch tip, and the message list is reconstructed by walking the parent chain from the tip to the root. This approach avoids duplicating message data across branches and ensures that storage grows linearly with the number of messages, not exponentially with branching depth.</w:t>
      </w:r>
    </w:p>
    <w:p>
      <w:pPr>
        <w:pStyle w:val="Heading2"/>
        <w:spacing w:after="240" w:before="480"/>
      </w:pPr>
      <w:bookmarkStart w:id="100056" w:name="_Toc100056"/>
      <w:r>
        <w:rPr>
          <w:rFonts w:ascii="Calibri" w:eastAsia="SimHei"/>
          <w:b/>
          <w:bCs/>
          <w:color w:val="2C3E6B"/>
          <w:sz w:val="28"/>
          <w:szCs w:val="28"/>
        </w:rPr>
        <w:t xml:space="preserve">11.3 Backup &amp; Portability</w:t>
      </w:r>
      <w:bookmarkEnd w:id="100056"/>
    </w:p>
    <w:p>
      <w:pPr>
        <w:spacing w:after="160" w:line="312"/>
      </w:pPr>
      <w:r>
        <w:rPr>
          <w:rFonts w:ascii="Calibri" w:eastAsia="SimSun"/>
          <w:color w:val="000000"/>
          <w:sz w:val="22"/>
          <w:szCs w:val="22"/>
        </w:rPr>
        <w:t xml:space="preserve">The entire application data is stored in a single directory containing the SQLite database file, a thumbnails cache directory, and a configuration file. This makes backup trivial: copying the directory creates a complete backup. The application includes a built-in backup/restore feature that exports the database as a portable SQL dump (for maximum compatibility) or a direct file copy (for fastest restore). Export to a ZIP archive bundles the database, configuration, and all avatar images into a single file that can be transferred between machines.</w:t>
      </w:r>
    </w:p>
    <w:p>
      <w:pPr>
        <w:pStyle w:val="Heading1"/>
        <w:spacing w:after="300" w:before="600"/>
      </w:pPr>
      <w:bookmarkStart w:id="100057" w:name="_Toc100057"/>
      <w:r>
        <w:rPr>
          <w:rFonts w:ascii="Calibri" w:eastAsia="SimHei"/>
          <w:b/>
          <w:bCs/>
          <w:color w:val="1B2A4A"/>
          <w:sz w:val="32"/>
          <w:szCs w:val="32"/>
        </w:rPr>
        <w:t xml:space="preserve">12. Security &amp; Privacy</w:t>
      </w:r>
      <w:bookmarkEnd w:id="100057"/>
    </w:p>
    <w:p>
      <w:pPr>
        <w:spacing w:after="160" w:line="312"/>
      </w:pPr>
      <w:r>
        <w:rPr>
          <w:rFonts w:ascii="Calibri" w:eastAsia="SimSun"/>
          <w:color w:val="000000"/>
          <w:sz w:val="22"/>
          <w:szCs w:val="22"/>
        </w:rPr>
        <w:t xml:space="preserve">Persona's security model is built on the principle of local-first data sovereignty: by default, no data leaves the user's machine unless the user explicitly configures an AI provider endpoint. This fundamentally differentiates Persona from cloud-based platforms where conversations are stored on remote servers and subject to provider content policies, data mining, or potential breaches.</w:t>
      </w:r>
    </w:p>
    <w:p>
      <w:pPr>
        <w:pStyle w:val="Heading2"/>
        <w:spacing w:after="240" w:before="480"/>
      </w:pPr>
      <w:bookmarkStart w:id="100058" w:name="_Toc100058"/>
      <w:r>
        <w:rPr>
          <w:rFonts w:ascii="Calibri" w:eastAsia="SimHei"/>
          <w:b/>
          <w:bCs/>
          <w:color w:val="2C3E6B"/>
          <w:sz w:val="28"/>
          <w:szCs w:val="28"/>
        </w:rPr>
        <w:t xml:space="preserve">12.1 API Key Security</w:t>
      </w:r>
      <w:bookmarkEnd w:id="100058"/>
    </w:p>
    <w:p>
      <w:pPr>
        <w:spacing w:after="160" w:line="312"/>
      </w:pPr>
      <w:r>
        <w:rPr>
          <w:rFonts w:ascii="Calibri" w:eastAsia="SimSun"/>
          <w:color w:val="000000"/>
          <w:sz w:val="22"/>
          <w:szCs w:val="22"/>
        </w:rPr>
        <w:t xml:space="preserve">API keys are the most sensitive credential in the application, and their handling follows industry best practices. Keys are stored exclusively in the operating system's native credential store: Windows Credential Manager on Windows, and Keychain on macOS. They are never written to the SQLite database, configuration files, or logs. The Rust backend accesses keys through the keyring crate, which provides a cross-platform abstraction over the OS keychain APIs. Keys are loaded into memory only when needed for an API request and are zeroed from memory after use.</w:t>
      </w:r>
    </w:p>
    <w:p>
      <w:pPr>
        <w:pStyle w:val="Heading2"/>
        <w:spacing w:after="240" w:before="480"/>
      </w:pPr>
      <w:bookmarkStart w:id="100059" w:name="_Toc100059"/>
      <w:r>
        <w:rPr>
          <w:rFonts w:ascii="Calibri" w:eastAsia="SimHei"/>
          <w:b/>
          <w:bCs/>
          <w:color w:val="2C3E6B"/>
          <w:sz w:val="28"/>
          <w:szCs w:val="28"/>
        </w:rPr>
        <w:t xml:space="preserve">12.2 Network Security</w:t>
      </w:r>
      <w:bookmarkEnd w:id="100059"/>
    </w:p>
    <w:p>
      <w:pPr>
        <w:spacing w:after="160" w:line="312"/>
      </w:pPr>
      <w:r>
        <w:rPr>
          <w:rFonts w:ascii="Calibri" w:eastAsia="SimSun"/>
          <w:color w:val="000000"/>
          <w:sz w:val="22"/>
          <w:szCs w:val="22"/>
        </w:rPr>
        <w:t xml:space="preserve">All outbound HTTP requests use HTTPS by default, with certificate validation enabled. Users can optionally disable certificate validation for self-signed local endpoints (e.g., local Ollama instances), but this requires an explicit opt-in with a security warning. The application does not make any network requests beyond the user-configured AI provider endpoints. There is no telemetry, analytics, crash reporting, or update checking unless the user explicitly enables these features. The Rust HTTP client (reqwest) enforces connection timeouts and request limits to prevent resource exhaustion.</w:t>
      </w:r>
    </w:p>
    <w:p>
      <w:pPr>
        <w:pStyle w:val="Heading2"/>
        <w:spacing w:after="240" w:before="480"/>
      </w:pPr>
      <w:bookmarkStart w:id="100060" w:name="_Toc100060"/>
      <w:r>
        <w:rPr>
          <w:rFonts w:ascii="Calibri" w:eastAsia="SimHei"/>
          <w:b/>
          <w:bCs/>
          <w:color w:val="2C3E6B"/>
          <w:sz w:val="28"/>
          <w:szCs w:val="28"/>
        </w:rPr>
        <w:t xml:space="preserve">12.3 Content Security</w:t>
      </w:r>
      <w:bookmarkEnd w:id="100060"/>
    </w:p>
    <w:p>
      <w:pPr>
        <w:spacing w:after="160" w:line="312"/>
      </w:pPr>
      <w:r>
        <w:rPr>
          <w:rFonts w:ascii="Calibri" w:eastAsia="SimSun"/>
          <w:color w:val="000000"/>
          <w:sz w:val="22"/>
          <w:szCs w:val="22"/>
        </w:rPr>
        <w:t xml:space="preserve">Persona does not implement content filtering or moderation. The application is designed as a creative tool, and users have full control over what they create and how they interact with AI characters. This aligns with the local-first philosophy: since all processing happens either locally or through user-chosen providers, Persona does not have the capability or authority to moderate content. Users are responsible for ensuring their use of the application complies with their chosen AI provider's terms of service.</w:t>
      </w:r>
    </w:p>
    <w:p>
      <w:pPr>
        <w:spacing w:after="160" w:line="312"/>
      </w:pPr>
      <w:r>
        <w:rPr>
          <w:rFonts w:ascii="Calibri" w:eastAsia="SimSun"/>
          <w:color w:val="000000"/>
          <w:sz w:val="22"/>
          <w:szCs w:val="22"/>
        </w:rPr>
        <w:t xml:space="preserve">For users who require additional privacy, Vault Mode (Tier 3 feature) provides AES-256-GCM encryption of the database and character files at rest. When enabled, a passphrase is required on application startup, and all data is decrypted on-the-fly as needed. The encryption key is derived from the passphrase using Argon2id, a memory-hard key derivation function that resists brute-force attacks. Even if an attacker gains physical access to the user's machine, the encrypted data cannot be read without the passphrase.</w:t>
      </w:r>
    </w:p>
    <w:p>
      <w:pPr>
        <w:pStyle w:val="Heading2"/>
        <w:spacing w:after="240" w:before="480"/>
      </w:pPr>
      <w:bookmarkStart w:id="100061" w:name="_Toc100061"/>
      <w:r>
        <w:rPr>
          <w:rFonts w:ascii="Calibri" w:eastAsia="SimHei"/>
          <w:b/>
          <w:bCs/>
          <w:color w:val="2C3E6B"/>
          <w:sz w:val="28"/>
          <w:szCs w:val="28"/>
        </w:rPr>
        <w:t xml:space="preserve">12.4 Input Sanitization</w:t>
      </w:r>
      <w:bookmarkEnd w:id="100061"/>
    </w:p>
    <w:p>
      <w:pPr>
        <w:spacing w:after="160" w:line="312"/>
      </w:pPr>
      <w:r>
        <w:rPr>
          <w:rFonts w:ascii="Calibri" w:eastAsia="SimSun"/>
          <w:color w:val="000000"/>
          <w:sz w:val="22"/>
          <w:szCs w:val="22"/>
        </w:rPr>
        <w:t xml:space="preserve">Imported character cards and conversation data undergo sanitization to prevent common attack vectors. JSON parsing uses strict schema validation to reject malformed or oversized payloads. PNG card extraction validates tEXt chunk sizes and rejects cards exceeding reasonable limits (e.g., 10 MB character card, 1 MB individual field). Regex scripts are validated for ReDoS (Regular Expression Denial of Service) patterns before being applied. These measures protect users from malicious cards that could be distributed through community sharing channels.</w:t>
      </w:r>
    </w:p>
    <w:p>
      <w:pPr>
        <w:pStyle w:val="Heading1"/>
        <w:spacing w:after="300" w:before="600"/>
      </w:pPr>
      <w:bookmarkStart w:id="100062" w:name="_Toc100062"/>
      <w:r>
        <w:rPr>
          <w:rFonts w:ascii="Calibri" w:eastAsia="SimHei"/>
          <w:b/>
          <w:bCs/>
          <w:color w:val="1B2A4A"/>
          <w:sz w:val="32"/>
          <w:szCs w:val="32"/>
        </w:rPr>
        <w:t xml:space="preserve">13. Development Roadmap</w:t>
      </w:r>
      <w:bookmarkEnd w:id="100062"/>
    </w:p>
    <w:p>
      <w:pPr>
        <w:spacing w:after="160" w:line="312"/>
      </w:pPr>
      <w:r>
        <w:rPr>
          <w:rFonts w:ascii="Calibri" w:eastAsia="SimSun"/>
          <w:color w:val="000000"/>
          <w:sz w:val="22"/>
          <w:szCs w:val="22"/>
        </w:rPr>
        <w:t xml:space="preserve">The development of Persona follows a phased approach, with each phase delivering a functional milestone that can be tested and refined before the next phase begins. This iterative strategy ensures that the core experience is solid before advanced features are layered on top.</w:t>
      </w:r>
    </w:p>
    <w:p>
      <w:pPr>
        <w:pStyle w:val="Heading2"/>
        <w:spacing w:after="240" w:before="480"/>
      </w:pPr>
      <w:bookmarkStart w:id="100063" w:name="_Toc100063"/>
      <w:r>
        <w:rPr>
          <w:rFonts w:ascii="Calibri" w:eastAsia="SimHei"/>
          <w:b/>
          <w:bCs/>
          <w:color w:val="2C3E6B"/>
          <w:sz w:val="28"/>
          <w:szCs w:val="28"/>
        </w:rPr>
        <w:t xml:space="preserve">13.1 Phase 1: Foundation (Months 1-3)</w:t>
      </w:r>
      <w:bookmarkEnd w:id="100063"/>
    </w:p>
    <w:p>
      <w:pPr>
        <w:spacing w:after="160" w:line="312"/>
      </w:pPr>
      <w:r>
        <w:rPr>
          <w:rFonts w:ascii="Calibri" w:eastAsia="SimSun"/>
          <w:color w:val="000000"/>
          <w:sz w:val="22"/>
          <w:szCs w:val="22"/>
        </w:rPr>
        <w:t xml:space="preserve">Phase 1 focuses on establishing the technical foundation and delivering the minimum viable product. This includes setting up the Tauri project structure with the Rust backend and React frontend, implementing the SQLite database schema and migration system, building the core IPC bridge between frontend and backend, and creating the basic UI shell with header bar, sidebar, and view routing. The essential chat functionality is implemented in this phase: connecting to a single OpenAI-compatible provider with streaming, rendering messages in the Chat View, and supporting basic character card creation and editing.</w:t>
      </w:r>
    </w:p>
    <w:p>
      <w:pPr>
        <w:spacing w:after="160" w:line="312"/>
      </w:pPr>
      <w:r>
        <w:rPr>
          <w:rFonts w:ascii="Calibri" w:eastAsia="SimSun"/>
          <w:color w:val="000000"/>
          <w:sz w:val="22"/>
          <w:szCs w:val="22"/>
        </w:rPr>
        <w:t xml:space="preserve">Deliverables: Functional application that can connect to an AI provider, stream responses, display a conversation, and create/edit a basic character card. The GNOME visual style is applied to all UI elements, and the application runs on both Windows and macOS with consistent behavior.</w:t>
      </w:r>
    </w:p>
    <w:p>
      <w:pPr>
        <w:pStyle w:val="Heading2"/>
        <w:spacing w:after="240" w:before="480"/>
      </w:pPr>
      <w:bookmarkStart w:id="100064" w:name="_Toc100064"/>
      <w:r>
        <w:rPr>
          <w:rFonts w:ascii="Calibri" w:eastAsia="SimHei"/>
          <w:b/>
          <w:bCs/>
          <w:color w:val="2C3E6B"/>
          <w:sz w:val="28"/>
          <w:szCs w:val="28"/>
        </w:rPr>
        <w:t xml:space="preserve">13.2 Phase 2: Core Features (Months 4-6)</w:t>
      </w:r>
      <w:bookmarkEnd w:id="100064"/>
    </w:p>
    <w:p>
      <w:pPr>
        <w:spacing w:after="160" w:line="312"/>
      </w:pPr>
      <w:r>
        <w:rPr>
          <w:rFonts w:ascii="Calibri" w:eastAsia="SimSun"/>
          <w:color w:val="000000"/>
          <w:sz w:val="22"/>
          <w:szCs w:val="22"/>
        </w:rPr>
        <w:t xml:space="preserve">Phase 2 expands the feature set to match the Tier 1 specifications. This includes implementing conversation branching with the parent-child message model, adding multiple provider support with provider presets, building the prompt preset system, implementing full CharacterCardV2 import/export (PNG and JSON), adding the lorebook editor with keyword matching and recursion, and implementing conversation search with FTS5. The character grid view and card editor receive polish and refinement based on Phase 1 testing feedback.</w:t>
      </w:r>
    </w:p>
    <w:p>
      <w:pPr>
        <w:spacing w:after="160" w:line="312"/>
      </w:pPr>
      <w:r>
        <w:rPr>
          <w:rFonts w:ascii="Calibri" w:eastAsia="SimSun"/>
          <w:color w:val="000000"/>
          <w:sz w:val="22"/>
          <w:szCs w:val="22"/>
        </w:rPr>
        <w:t xml:space="preserve">Deliverables: Feature-complete application with branching conversations, lorebook support, provider switching, card import/export, and conversation search. Ready for closed beta testing with a small group of users.</w:t>
      </w:r>
    </w:p>
    <w:p>
      <w:pPr>
        <w:pStyle w:val="Heading2"/>
        <w:spacing w:after="240" w:before="480"/>
      </w:pPr>
      <w:bookmarkStart w:id="100065" w:name="_Toc100065"/>
      <w:r>
        <w:rPr>
          <w:rFonts w:ascii="Calibri" w:eastAsia="SimHei"/>
          <w:b/>
          <w:bCs/>
          <w:color w:val="2C3E6B"/>
          <w:sz w:val="28"/>
          <w:szCs w:val="28"/>
        </w:rPr>
        <w:t xml:space="preserve">13.3 Phase 3: Advanced Features (Months 7-9)</w:t>
      </w:r>
      <w:bookmarkEnd w:id="100065"/>
    </w:p>
    <w:p>
      <w:pPr>
        <w:spacing w:after="160" w:line="312"/>
      </w:pPr>
      <w:r>
        <w:rPr>
          <w:rFonts w:ascii="Calibri" w:eastAsia="SimSun"/>
          <w:color w:val="000000"/>
          <w:sz w:val="22"/>
          <w:szCs w:val="22"/>
        </w:rPr>
        <w:t xml:space="preserve">Phase 3 implements Tier 2 features that elevate Persona from a functional tool to a comprehensive roleplay platform. This includes group chat with multi-character conversations, regex scripting for response post-processing, advanced context management strategies (importance-weighted and rolling summary), batch import/export for character libraries, and the character creation wizard with guided steps. Performance optimization and memory profiling are conducted to ensure smooth operation with large conversation histories and character libraries.</w:t>
      </w:r>
    </w:p>
    <w:p>
      <w:pPr>
        <w:spacing w:after="160" w:line="312"/>
      </w:pPr>
      <w:r>
        <w:rPr>
          <w:rFonts w:ascii="Calibri" w:eastAsia="SimSun"/>
          <w:color w:val="000000"/>
          <w:sz w:val="22"/>
          <w:szCs w:val="22"/>
        </w:rPr>
        <w:t xml:space="preserve">Deliverables: Full-featured application ready for public release. All Tier 1 and Tier 2 features are implemented, tested, and documented. The application is published to GitHub with build artifacts for Windows (.msi) and macOS (.dmg).</w:t>
      </w:r>
    </w:p>
    <w:p>
      <w:pPr>
        <w:pStyle w:val="Heading2"/>
        <w:spacing w:after="240" w:before="480"/>
      </w:pPr>
      <w:bookmarkStart w:id="100066" w:name="_Toc100066"/>
      <w:r>
        <w:rPr>
          <w:rFonts w:ascii="Calibri" w:eastAsia="SimHei"/>
          <w:b/>
          <w:bCs/>
          <w:color w:val="2C3E6B"/>
          <w:sz w:val="28"/>
          <w:szCs w:val="28"/>
        </w:rPr>
        <w:t xml:space="preserve">13.4 Phase 4: Polish &amp; Community (Months 10-12)</w:t>
      </w:r>
      <w:bookmarkEnd w:id="100066"/>
    </w:p>
    <w:p>
      <w:pPr>
        <w:spacing w:after="160" w:line="312"/>
      </w:pPr>
      <w:r>
        <w:rPr>
          <w:rFonts w:ascii="Calibri" w:eastAsia="SimSun"/>
          <w:color w:val="000000"/>
          <w:sz w:val="22"/>
          <w:szCs w:val="22"/>
        </w:rPr>
        <w:t xml:space="preserve">Phase 4 focuses on Vault Mode encryption, accessibility audit and screen reader support, internationalization (i18n) infrastructure with initial translations, plugin system for community extensions, and Linux packaging (Flatpak, AppImage) to complete the cross-platform offering. Community feedback from the public release drives bug fixes and UX refinements. Documentation for card creators and plugin developers is published alongside the application.</w:t>
      </w:r>
    </w:p>
    <w:p>
      <w:pPr>
        <w:spacing w:after="160" w:line="312"/>
      </w:pPr>
      <w:r>
        <w:rPr>
          <w:rFonts w:ascii="Calibri" w:eastAsia="SimSun"/>
          <w:color w:val="000000"/>
          <w:sz w:val="22"/>
          <w:szCs w:val="22"/>
        </w:rPr>
        <w:t xml:space="preserve">Deliverables: Mature, stable application with security features, accessibility compliance, internationalization support, and an extensible plugin architecture. The foundation for a community-driven ecosystem is established.</w:t>
      </w:r>
    </w:p>
    <w:p>
      <w:pPr>
        <w:pStyle w:val="Heading2"/>
        <w:spacing w:after="240" w:before="480"/>
      </w:pPr>
      <w:bookmarkStart w:id="100067" w:name="_Toc100067"/>
      <w:r>
        <w:rPr>
          <w:rFonts w:ascii="Calibri" w:eastAsia="SimHei"/>
          <w:b/>
          <w:bCs/>
          <w:color w:val="2C3E6B"/>
          <w:sz w:val="28"/>
          <w:szCs w:val="28"/>
        </w:rPr>
        <w:t xml:space="preserve">13.5 Roadmap Summary</w:t>
      </w:r>
      <w:bookmarkEnd w:id="10006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color="auto" w:val="clear"/>
            <w:tcMar>
              <w:top w:type="dxa" w:w="60"/>
              <w:left w:type="dxa" w:w="120"/>
              <w:bottom w:type="dxa" w:w="60"/>
              <w:right w:type="dxa" w:w="120"/>
            </w:tcMar>
          </w:tcPr>
          <w:p>
            <w:r>
              <w:rPr>
                <w:rFonts w:ascii="Calibri" w:eastAsia="SimSun"/>
                <w:b/>
                <w:bCs/>
                <w:color w:val="FFFFFF"/>
                <w:sz w:val="20"/>
                <w:szCs w:val="20"/>
              </w:rPr>
              <w:t xml:space="preserve">Phase</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Timeline</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Focus</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Key Deliverables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1 - Foundation</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Months 1-3</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Core infrastructure, basic chat</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MVP with single provider, basic cards, streaming</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2 - Core Features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Months 4-6</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Tier 1 feature completeness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Branching, lorebooks, multi-provider, presets, search</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3 - Advanced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Months 7-9</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Tier 2 features, performance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Group chat, regex, wizard, context strategies, beta</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4 - Polish</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Months 10-12</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Security, accessibility, community</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Vault mode, a11y, i18n, plugins, Linux, public release</w:t>
            </w:r>
          </w:p>
        </w:tc>
      </w:tr>
    </w:tbl>
    <w:p>
      <w:pPr>
        <w:pStyle w:val="Heading1"/>
        <w:spacing w:after="300" w:before="600"/>
      </w:pPr>
      <w:bookmarkStart w:id="100068" w:name="_Toc100068"/>
      <w:r>
        <w:rPr>
          <w:rFonts w:ascii="Calibri" w:eastAsia="SimHei"/>
          <w:b/>
          <w:bCs/>
          <w:color w:val="1B2A4A"/>
          <w:sz w:val="32"/>
          <w:szCs w:val="32"/>
        </w:rPr>
        <w:t xml:space="preserve">14. Appendix A: Character Card JSON Schema</w:t>
      </w:r>
      <w:bookmarkEnd w:id="100068"/>
    </w:p>
    <w:p>
      <w:pPr>
        <w:spacing w:after="160" w:line="312"/>
      </w:pPr>
      <w:r>
        <w:rPr>
          <w:rFonts w:ascii="Calibri" w:eastAsia="SimSun"/>
          <w:color w:val="000000"/>
          <w:sz w:val="22"/>
          <w:szCs w:val="22"/>
        </w:rPr>
        <w:t xml:space="preserve">The following schema defines the CharacterCardV2 format used by Persona, extended with the Persona-specific extensions namespace. This schema is compatible with the SillyTavern CharacterCardV2 specification, ensuring interoperability with the existing character card ecosystem.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color="auto" w:val="clear"/>
            <w:tcMar>
              <w:top w:type="dxa" w:w="60"/>
              <w:left w:type="dxa" w:w="120"/>
              <w:bottom w:type="dxa" w:w="60"/>
              <w:right w:type="dxa" w:w="120"/>
            </w:tcMar>
          </w:tcPr>
          <w:p>
            <w:r>
              <w:rPr>
                <w:rFonts w:ascii="Calibri" w:eastAsia="SimSun"/>
                <w:b/>
                <w:bCs/>
                <w:color w:val="FFFFFF"/>
                <w:sz w:val="20"/>
                <w:szCs w:val="20"/>
              </w:rPr>
              <w:t xml:space="preserve">Path</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Type</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Default</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Description</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spec</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"chara_card_v2"</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Schema version identifier</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spec_version</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"2.0"</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Schema version number</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data.name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required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Character display name</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data.description</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required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Core personality and background text</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data.personality</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Personality trait summary</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data.scenario</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Starting scenario / setting</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data.first_mes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Character's opening message</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data.mes_example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Sample dialogue in &lt;START&gt; format</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data.creator_notes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Notes from card creator</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data.system_prompt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Custom system prompt override</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data.post_history_instructions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Instructions after history</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data.alternate_greetings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Additional first messages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data.tags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Searchable category tags</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data.creator</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Author attribution</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data.character_version</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"1.0"</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Card format version</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data.extensions.tavern.char_name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Normalized character name</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data.extensions.tavern.world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Associated world/lorebook name</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data.extensions.tavern.depth_prompt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object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null</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Depth-inserted prompt {prompt, depth}</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data.extensions.persona.accent_color</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"#4ECDC4"</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UI accent color for character theme</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data.extensions.persona.layout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"default"</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Layout hint: default, compact, wide</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data.extensions.persona.avatar_frame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string</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"circle"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Avatar shape: circle, rounded, square</w:t>
            </w:r>
          </w:p>
        </w:tc>
      </w:tr>
    </w:tbl>
    <w:p>
      <w:pPr>
        <w:pStyle w:val="Heading1"/>
        <w:spacing w:after="300" w:before="600"/>
      </w:pPr>
      <w:bookmarkStart w:id="100069" w:name="_Toc100069"/>
      <w:r>
        <w:rPr>
          <w:rFonts w:ascii="Calibri" w:eastAsia="SimHei"/>
          <w:b/>
          <w:bCs/>
          <w:color w:val="1B2A4A"/>
          <w:sz w:val="32"/>
          <w:szCs w:val="32"/>
        </w:rPr>
        <w:t xml:space="preserve">15. Appendix B: API Compatibility Matrix</w:t>
      </w:r>
      <w:bookmarkEnd w:id="100069"/>
    </w:p>
    <w:p>
      <w:pPr>
        <w:spacing w:after="160" w:line="312"/>
      </w:pPr>
      <w:r>
        <w:rPr>
          <w:rFonts w:ascii="Calibri" w:eastAsia="SimSun"/>
          <w:color w:val="000000"/>
          <w:sz w:val="22"/>
          <w:szCs w:val="22"/>
        </w:rPr>
        <w:t xml:space="preserve">The following matrix documents the tested compatibility of Persona's OpenAI-compatible provider adapter with popular AI backends. Compatibility is verified against the OpenAI Chat Completions API specification, with notes on any provider-specific quirks or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2A4A" w:color="auto" w:val="clear"/>
            <w:tcMar>
              <w:top w:type="dxa" w:w="60"/>
              <w:left w:type="dxa" w:w="120"/>
              <w:bottom w:type="dxa" w:w="60"/>
              <w:right w:type="dxa" w:w="120"/>
            </w:tcMar>
          </w:tcPr>
          <w:p>
            <w:r>
              <w:rPr>
                <w:rFonts w:ascii="Calibri" w:eastAsia="SimSun"/>
                <w:b/>
                <w:bCs/>
                <w:color w:val="FFFFFF"/>
                <w:sz w:val="20"/>
                <w:szCs w:val="20"/>
              </w:rPr>
              <w:t xml:space="preserve">Provider</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Base URL</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Streaming</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Tested</w:t>
            </w:r>
          </w:p>
        </w:tc>
        <w:tc>
          <w:tcPr>
            <w:shd w:fill="1B2A4A" w:color="auto" w:val="clear"/>
            <w:tcMar>
              <w:top w:type="dxa" w:w="60"/>
              <w:left w:type="dxa" w:w="120"/>
              <w:bottom w:type="dxa" w:w="60"/>
              <w:right w:type="dxa" w:w="120"/>
            </w:tcMar>
          </w:tcPr>
          <w:p>
            <w:r>
              <w:rPr>
                <w:rFonts w:ascii="Calibri" w:eastAsia="SimSun"/>
                <w:b/>
                <w:bCs/>
                <w:color w:val="FFFFFF"/>
                <w:sz w:val="20"/>
                <w:szCs w:val="20"/>
              </w:rPr>
              <w:t xml:space="preserve">Notes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OpenAI</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https://api.openai.com/v1</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SSE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Full compatibility, reference implementation</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Anthropic (via proxy)</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Varies by proxy</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SSE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Requires OpenAI-compatible proxy (e.g., LiteLLM)</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Groq</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https://api.groq.com/openai/v1</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SSE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Full compatibility, very fast inference</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Together AI</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https://api.together.xyz/v1</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SSE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Full compatibility, open model access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OpenRouter</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https://openrouter.ai/api/v1</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SSE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Full compatibility, model routing</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Ollama</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http://localhost:11434/v1</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SSE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Full compatibility for local models</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LM Studio</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http://localhost:1234/v1</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SSE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Yes</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Full compatibility for local models</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text-generation-webui</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http://localhost:5000/v1</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SSE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Planned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Requires OpenAI extension enabled</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koboldcpp</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http://localhost:5001/v1</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SSE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Planned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Requires KoboldAI API mode</w:t>
            </w:r>
          </w:p>
        </w:tc>
      </w:tr>
      <w:tr>
        <w:trPr>
          <w:cantSplit/>
        </w:trPr>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vLLM</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Custom URL</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SSE</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Planned</w:t>
            </w:r>
          </w:p>
        </w:tc>
        <w:tc>
          <w:tcPr>
            <w:shd w:fill="FFFFFF" w:color="auto" w:val="clear"/>
            <w:tcMar>
              <w:top w:type="dxa" w:w="60"/>
              <w:left w:type="dxa" w:w="120"/>
              <w:bottom w:type="dxa" w:w="60"/>
              <w:right w:type="dxa" w:w="120"/>
            </w:tcMar>
          </w:tcPr>
          <w:p>
            <w:pPr>
              <w:spacing w:line="280"/>
            </w:pPr>
            <w:r>
              <w:rPr>
                <w:rFonts w:ascii="Calibri" w:eastAsia="SimSun"/>
                <w:color w:val="000000"/>
                <w:sz w:val="20"/>
                <w:szCs w:val="20"/>
              </w:rPr>
              <w:t xml:space="preserve">Full OpenAI compatibility expected</w:t>
            </w:r>
          </w:p>
        </w:tc>
      </w:tr>
      <w:tr>
        <w:trPr>
          <w:cantSplit/>
        </w:trPr>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OneAPI</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Custom URL</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SSE</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Planned</w:t>
            </w:r>
          </w:p>
        </w:tc>
        <w:tc>
          <w:tcPr>
            <w:shd w:fill="F0F2F8" w:color="auto" w:val="clear"/>
            <w:tcMar>
              <w:top w:type="dxa" w:w="60"/>
              <w:left w:type="dxa" w:w="120"/>
              <w:bottom w:type="dxa" w:w="60"/>
              <w:right w:type="dxa" w:w="120"/>
            </w:tcMar>
          </w:tcPr>
          <w:p>
            <w:pPr>
              <w:spacing w:line="280"/>
            </w:pPr>
            <w:r>
              <w:rPr>
                <w:rFonts w:ascii="Calibri" w:eastAsia="SimSun"/>
                <w:color w:val="000000"/>
                <w:sz w:val="20"/>
                <w:szCs w:val="20"/>
              </w:rPr>
              <w:t xml:space="preserve">Aggregator, depends on backend models</w:t>
            </w:r>
          </w:p>
        </w:tc>
      </w:tr>
    </w:tbl>
    <w:sectPr>
      <w:headerReference w:type="default" r:id="rId8"/>
      <w:footerReference w:type="default" r:id="rId9"/>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999999"/>
        <w:sz w:val="16"/>
        <w:szCs w:val="16"/>
      </w:rPr>
      <w:t xml:space="preserve">Persona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600"/>
      <w:outlineLvl w:val="0"/>
    </w:pPr>
    <w:rPr>
      <w:rFonts w:ascii="Calibri" w:eastAsia="SimHei"/>
      <w:b/>
      <w:bCs/>
      <w:color w:val="1B2A4A"/>
      <w:sz w:val="32"/>
      <w:szCs w:val="32"/>
    </w:rPr>
  </w:style>
  <w:style w:type="paragraph" w:styleId="Heading2">
    <w:name w:val="Heading 2"/>
    <w:basedOn w:val="Normal"/>
    <w:next w:val="Normal"/>
    <w:qFormat/>
    <w:pPr>
      <w:spacing w:after="240" w:before="480"/>
      <w:outlineLvl w:val="1"/>
    </w:pPr>
    <w:rPr>
      <w:rFonts w:ascii="Calibri" w:eastAsia="SimHei"/>
      <w:b/>
      <w:bCs/>
      <w:color w:val="2C3E6B"/>
      <w:sz w:val="28"/>
      <w:szCs w:val="28"/>
    </w:rPr>
  </w:style>
  <w:style w:type="paragraph" w:styleId="Heading3">
    <w:name w:val="Heading 3"/>
    <w:basedOn w:val="Normal"/>
    <w:next w:val="Normal"/>
    <w:qFormat/>
    <w:pPr>
      <w:spacing w:after="180" w:before="360"/>
      <w:outlineLvl w:val="2"/>
    </w:pPr>
    <w:rPr>
      <w:rFonts w:ascii="Calibri" w:eastAsia="SimHei"/>
      <w:b/>
      <w:bCs/>
      <w:color w:val="5A6FA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2026-04-28T06:11:57.704Z</dcterms:created>
  <dcterms:modified xsi:type="dcterms:W3CDTF">2026-04-28T06:11:57.704Z</dcterms:modified>
</cp:coreProperties>
</file>

<file path=docProps/custom.xml><?xml version="1.0" encoding="utf-8"?>
<Properties xmlns="http://schemas.openxmlformats.org/officeDocument/2006/custom-properties" xmlns:vt="http://schemas.openxmlformats.org/officeDocument/2006/docPropsVTypes"/>
</file>