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s9inndqr22p5" w:id="0"/>
      <w:bookmarkEnd w:id="0"/>
      <w:r w:rsidDel="00000000" w:rsidR="00000000" w:rsidRPr="00000000">
        <w:rPr>
          <w:rtl w:val="0"/>
        </w:rPr>
        <w:t xml:space="preserve">Book - Dr. Dale Bredesen’s </w:t>
      </w:r>
      <w:r w:rsidDel="00000000" w:rsidR="00000000" w:rsidRPr="00000000">
        <w:rPr>
          <w:i w:val="1"/>
          <w:rtl w:val="0"/>
        </w:rPr>
        <w:t xml:space="preserve">The End of Alzheimer’s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Dr. Dale Bredesen’s </w:t>
      </w:r>
      <w:r w:rsidDel="00000000" w:rsidR="00000000" w:rsidRPr="00000000">
        <w:rPr>
          <w:i w:val="1"/>
          <w:rtl w:val="0"/>
        </w:rPr>
        <w:t xml:space="preserve">The End of Alzheimer’s</w:t>
      </w:r>
      <w:r w:rsidDel="00000000" w:rsidR="00000000" w:rsidRPr="00000000">
        <w:rPr>
          <w:rtl w:val="0"/>
        </w:rPr>
        <w:t xml:space="preserve"> presents a groundbreaking approach to preventing and reversing cognitive decline associated with Alzheimer’s disease (AD). Based on decades of research, the book outlines a personalized protocol combining functional medicine, lifestyle changes, and dietary interventions. Here is a comprehensive summary of the book's key scientific facts and principles: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y8n0wcg02u93" w:id="1"/>
      <w:bookmarkEnd w:id="1"/>
      <w:r w:rsidDel="00000000" w:rsidR="00000000" w:rsidRPr="00000000">
        <w:rPr>
          <w:b w:val="1"/>
          <w:color w:val="000000"/>
          <w:sz w:val="26"/>
          <w:szCs w:val="26"/>
          <w:rtl w:val="0"/>
        </w:rPr>
        <w:t xml:space="preserve">1. The Alzheimer’s Epidemic</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Alzheimer’s disease affects millions globally and is the leading cause of cognitive decline in older adults.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Bredesen argues that AD is not a single disease but a complex syndrome caused by multiple factors, including metabolic imbalances, inflammation, and genetic predispositions.</w:t>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rtl w:val="0"/>
        </w:rPr>
        <w:t xml:space="preserve">Current pharmaceutical approaches to AD fail because they target symptoms rather than the underlying causes.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uhaj7z04u7o" w:id="2"/>
      <w:bookmarkEnd w:id="2"/>
      <w:r w:rsidDel="00000000" w:rsidR="00000000" w:rsidRPr="00000000">
        <w:rPr>
          <w:b w:val="1"/>
          <w:color w:val="000000"/>
          <w:sz w:val="26"/>
          <w:szCs w:val="26"/>
          <w:rtl w:val="0"/>
        </w:rPr>
        <w:t xml:space="preserve">2. The Root Causes of Alzheimer’s Disease</w:t>
      </w:r>
    </w:p>
    <w:p w:rsidR="00000000" w:rsidDel="00000000" w:rsidP="00000000" w:rsidRDefault="00000000" w:rsidRPr="00000000" w14:paraId="0000000C">
      <w:pPr>
        <w:spacing w:after="240" w:before="240" w:lineRule="auto"/>
        <w:rPr/>
      </w:pPr>
      <w:r w:rsidDel="00000000" w:rsidR="00000000" w:rsidRPr="00000000">
        <w:rPr>
          <w:rtl w:val="0"/>
        </w:rPr>
        <w:t xml:space="preserve">Bredesen identifies three main subtypes of Alzheimer’s, each with unique triggers and pathology:</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Inflammatory (Type 1):</w:t>
      </w:r>
      <w:r w:rsidDel="00000000" w:rsidR="00000000" w:rsidRPr="00000000">
        <w:rPr>
          <w:rtl w:val="0"/>
        </w:rPr>
        <w:t xml:space="preserve"> Caused by chronic inflammation from infections, poor diet, or toxins.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Atrophic (Type 2):</w:t>
      </w:r>
      <w:r w:rsidDel="00000000" w:rsidR="00000000" w:rsidRPr="00000000">
        <w:rPr>
          <w:rtl w:val="0"/>
        </w:rPr>
        <w:t xml:space="preserve"> Results from deficiencies in brain-supportive factors, such as hormones, nutrients, and synaptic growth factors.</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Toxic (Type 3):</w:t>
      </w:r>
      <w:r w:rsidDel="00000000" w:rsidR="00000000" w:rsidRPr="00000000">
        <w:rPr>
          <w:rtl w:val="0"/>
        </w:rPr>
        <w:t xml:space="preserve"> Triggered by exposure to toxins like heavy metals, biotoxins (e.g., mold), and environmental chemicals.</w:t>
      </w:r>
    </w:p>
    <w:p w:rsidR="00000000" w:rsidDel="00000000" w:rsidP="00000000" w:rsidRDefault="00000000" w:rsidRPr="00000000" w14:paraId="00000010">
      <w:pPr>
        <w:spacing w:after="240" w:before="240" w:lineRule="auto"/>
        <w:rPr/>
      </w:pPr>
      <w:r w:rsidDel="00000000" w:rsidR="00000000" w:rsidRPr="00000000">
        <w:rPr>
          <w:rtl w:val="0"/>
        </w:rPr>
        <w:t xml:space="preserve">Contributing factors include:</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Insulin resistance and hyperglycemia.</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Chronic inflammation driven by infections or gut dysbiosis.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Nutritional deficiencies, such as B vitamins, omega-3s, and magnesium.</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Hormonal imbalances, especially estrogen, testosterone, and cortisol.</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Toxin accumulation, such as mercury and pesticides.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Genetic predisposition, particularly the </w:t>
      </w:r>
      <w:r w:rsidDel="00000000" w:rsidR="00000000" w:rsidRPr="00000000">
        <w:rPr>
          <w:i w:val="1"/>
          <w:rtl w:val="0"/>
        </w:rPr>
        <w:t xml:space="preserve">APOE4</w:t>
      </w:r>
      <w:r w:rsidDel="00000000" w:rsidR="00000000" w:rsidRPr="00000000">
        <w:rPr>
          <w:rtl w:val="0"/>
        </w:rPr>
        <w:t xml:space="preserve"> gene.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nfpsnso08ejy" w:id="3"/>
      <w:bookmarkEnd w:id="3"/>
      <w:r w:rsidDel="00000000" w:rsidR="00000000" w:rsidRPr="00000000">
        <w:rPr>
          <w:b w:val="1"/>
          <w:color w:val="000000"/>
          <w:sz w:val="26"/>
          <w:szCs w:val="26"/>
          <w:rtl w:val="0"/>
        </w:rPr>
        <w:t xml:space="preserve">3. The ReCODE Protocol: A Multifaceted Treatment Approach</w:t>
      </w:r>
    </w:p>
    <w:p w:rsidR="00000000" w:rsidDel="00000000" w:rsidP="00000000" w:rsidRDefault="00000000" w:rsidRPr="00000000" w14:paraId="00000019">
      <w:pPr>
        <w:spacing w:after="240" w:before="240" w:lineRule="auto"/>
        <w:rPr/>
      </w:pPr>
      <w:r w:rsidDel="00000000" w:rsidR="00000000" w:rsidRPr="00000000">
        <w:rPr>
          <w:rtl w:val="0"/>
        </w:rPr>
        <w:t xml:space="preserve">Bredesen’s </w:t>
      </w:r>
      <w:r w:rsidDel="00000000" w:rsidR="00000000" w:rsidRPr="00000000">
        <w:rPr>
          <w:i w:val="1"/>
          <w:rtl w:val="0"/>
        </w:rPr>
        <w:t xml:space="preserve">ReCODE</w:t>
      </w:r>
      <w:r w:rsidDel="00000000" w:rsidR="00000000" w:rsidRPr="00000000">
        <w:rPr>
          <w:rtl w:val="0"/>
        </w:rPr>
        <w:t xml:space="preserve"> (Reversal of Cognitive Decline) Protocol targets underlying imbalances to restore brain health. It is personalized to address specific deficiencies and imbalances.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42ps9159kw63" w:id="4"/>
      <w:bookmarkEnd w:id="4"/>
      <w:r w:rsidDel="00000000" w:rsidR="00000000" w:rsidRPr="00000000">
        <w:rPr>
          <w:b w:val="1"/>
          <w:color w:val="000000"/>
          <w:sz w:val="22"/>
          <w:szCs w:val="22"/>
          <w:rtl w:val="0"/>
        </w:rPr>
        <w:t xml:space="preserve">Key Components: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Diet and Nutrition:</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Adopt a </w:t>
      </w:r>
      <w:r w:rsidDel="00000000" w:rsidR="00000000" w:rsidRPr="00000000">
        <w:rPr>
          <w:i w:val="1"/>
          <w:rtl w:val="0"/>
        </w:rPr>
        <w:t xml:space="preserve">Ketoflex 12/3</w:t>
      </w:r>
      <w:r w:rsidDel="00000000" w:rsidR="00000000" w:rsidRPr="00000000">
        <w:rPr>
          <w:rtl w:val="0"/>
        </w:rPr>
        <w:t xml:space="preserve"> diet:</w:t>
      </w:r>
    </w:p>
    <w:p w:rsidR="00000000" w:rsidDel="00000000" w:rsidP="00000000" w:rsidRDefault="00000000" w:rsidRPr="00000000" w14:paraId="0000001D">
      <w:pPr>
        <w:numPr>
          <w:ilvl w:val="2"/>
          <w:numId w:val="5"/>
        </w:numPr>
        <w:spacing w:after="0" w:afterAutospacing="0" w:before="0" w:beforeAutospacing="0" w:lineRule="auto"/>
        <w:ind w:left="2160" w:hanging="360"/>
      </w:pPr>
      <w:r w:rsidDel="00000000" w:rsidR="00000000" w:rsidRPr="00000000">
        <w:rPr>
          <w:rtl w:val="0"/>
        </w:rPr>
        <w:t xml:space="preserve">Mildly ketogenic: Emphasizes healthy fats (avocados, nuts, olive oil) while limiting carbs.</w:t>
      </w:r>
    </w:p>
    <w:p w:rsidR="00000000" w:rsidDel="00000000" w:rsidP="00000000" w:rsidRDefault="00000000" w:rsidRPr="00000000" w14:paraId="0000001E">
      <w:pPr>
        <w:numPr>
          <w:ilvl w:val="2"/>
          <w:numId w:val="5"/>
        </w:numPr>
        <w:spacing w:after="0" w:afterAutospacing="0" w:before="0" w:beforeAutospacing="0" w:lineRule="auto"/>
        <w:ind w:left="2160" w:hanging="360"/>
      </w:pPr>
      <w:r w:rsidDel="00000000" w:rsidR="00000000" w:rsidRPr="00000000">
        <w:rPr>
          <w:rtl w:val="0"/>
        </w:rPr>
        <w:t xml:space="preserve">Anti-inflammatory: Avoids processed foods, gluten, and dairy.</w:t>
      </w:r>
    </w:p>
    <w:p w:rsidR="00000000" w:rsidDel="00000000" w:rsidP="00000000" w:rsidRDefault="00000000" w:rsidRPr="00000000" w14:paraId="0000001F">
      <w:pPr>
        <w:numPr>
          <w:ilvl w:val="2"/>
          <w:numId w:val="5"/>
        </w:numPr>
        <w:spacing w:after="0" w:afterAutospacing="0" w:before="0" w:beforeAutospacing="0" w:lineRule="auto"/>
        <w:ind w:left="2160" w:hanging="360"/>
      </w:pPr>
      <w:r w:rsidDel="00000000" w:rsidR="00000000" w:rsidRPr="00000000">
        <w:rPr>
          <w:rtl w:val="0"/>
        </w:rPr>
        <w:t xml:space="preserve">Nutrient-dense: Includes leafy greens, cruciferous vegetables, and wild-caught fish.</w:t>
      </w:r>
    </w:p>
    <w:p w:rsidR="00000000" w:rsidDel="00000000" w:rsidP="00000000" w:rsidRDefault="00000000" w:rsidRPr="00000000" w14:paraId="00000020">
      <w:pPr>
        <w:numPr>
          <w:ilvl w:val="2"/>
          <w:numId w:val="5"/>
        </w:numPr>
        <w:spacing w:after="0" w:afterAutospacing="0" w:before="0" w:beforeAutospacing="0" w:lineRule="auto"/>
        <w:ind w:left="2160" w:hanging="360"/>
      </w:pPr>
      <w:r w:rsidDel="00000000" w:rsidR="00000000" w:rsidRPr="00000000">
        <w:rPr>
          <w:rtl w:val="0"/>
        </w:rPr>
        <w:t xml:space="preserve">Encourages a daily 12-hour fasting window and at least 3 hours of fasting before bedtime.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Focus on maintaining stable blood sugar and avoiding spikes.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Gut Health:</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Address gut dysbiosis by eliminating harmful microbes and supporting beneficial bacteria with pre- and probiotics.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Test for leaky gut and correct it using functional medicine approaches.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Reduce Inflammation:</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Identify sources of chronic inflammation, such as infections (e.g., </w:t>
      </w:r>
      <w:r w:rsidDel="00000000" w:rsidR="00000000" w:rsidRPr="00000000">
        <w:rPr>
          <w:i w:val="1"/>
          <w:rtl w:val="0"/>
        </w:rPr>
        <w:t xml:space="preserve">Herpes simplex virus</w:t>
      </w:r>
      <w:r w:rsidDel="00000000" w:rsidR="00000000" w:rsidRPr="00000000">
        <w:rPr>
          <w:rtl w:val="0"/>
        </w:rPr>
        <w:t xml:space="preserve">, Lyme disease) or poor diet.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Use anti-inflammatory foods and supplements (e.g., curcumin, omega-3s).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Hormone Optimization:</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Balance hormone levels, particularly estrogen, testosterone, thyroid hormones, and cortisol, as they impact brain function and repair mechanisms.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Detoxification:</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Remove heavy metals and environmental toxins using chelation, sauna therapy, or dietary approaches.</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Identify and address mold exposure or other biotoxins.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Cognitive Support:</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Provide nutrients that enhance brain function, including B vitamins, vitamin D, magnesium, and choline.</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Support mitochondrial function with supplements like CoQ10 and alpha-lipoic acid.</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Sleep and Stress Management:</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Optimize sleep by addressing sleep apnea, maintaining a regular schedule, and avoiding stimulants.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Reduce stress using mindfulness, meditation, yoga, or other relaxation techniques.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Exercise:</w:t>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rtl w:val="0"/>
        </w:rPr>
        <w:t xml:space="preserve">Incorporate both aerobic and resistance training to enhance blood flow and stimulate neurogenesis.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sp47r8jbxrw" w:id="5"/>
      <w:bookmarkEnd w:id="5"/>
      <w:r w:rsidDel="00000000" w:rsidR="00000000" w:rsidRPr="00000000">
        <w:rPr>
          <w:b w:val="1"/>
          <w:color w:val="000000"/>
          <w:sz w:val="26"/>
          <w:szCs w:val="26"/>
          <w:rtl w:val="0"/>
        </w:rPr>
        <w:t xml:space="preserve">4. The Science of Neuroplasticity and Cognitive Recovery</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Bredesen highlights the brain’s ability to form new connections (neuroplasticity) and repair damage when given the right conditions.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rtl w:val="0"/>
        </w:rPr>
        <w:t xml:space="preserve">Synaptic density and neuronal health are modifiable with lifestyle and nutritional changes, even in patients already experiencing mild cognitive impairment (MCI).</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j4sa8d1z4j56" w:id="6"/>
      <w:bookmarkEnd w:id="6"/>
      <w:r w:rsidDel="00000000" w:rsidR="00000000" w:rsidRPr="00000000">
        <w:rPr>
          <w:b w:val="1"/>
          <w:color w:val="000000"/>
          <w:sz w:val="26"/>
          <w:szCs w:val="26"/>
          <w:rtl w:val="0"/>
        </w:rPr>
        <w:t xml:space="preserve">5. Supporting Evidence</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Case studies included in the book show reversal of cognitive decline in patients adhering to the ReCODE Protocol.</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Bredesen cites research connecting inflammation, metabolic dysfunction, and toxin exposure to cognitive decline.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mb1i0xkfiby" w:id="7"/>
      <w:bookmarkEnd w:id="7"/>
      <w:r w:rsidDel="00000000" w:rsidR="00000000" w:rsidRPr="00000000">
        <w:rPr>
          <w:b w:val="1"/>
          <w:color w:val="000000"/>
          <w:sz w:val="26"/>
          <w:szCs w:val="26"/>
          <w:rtl w:val="0"/>
        </w:rPr>
        <w:t xml:space="preserve">6. Criticisms and Challenges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The protocol’s complexity and personalization require significant effort and regular testing.</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Critics argue that some aspects of the protocol lack large-scale clinical trial validation.</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tl w:val="0"/>
        </w:rPr>
        <w:t xml:space="preserve">The multifactorial approach makes isolating the effects of individual interventions challenging.</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7nc7gzze2525" w:id="8"/>
      <w:bookmarkEnd w:id="8"/>
      <w:r w:rsidDel="00000000" w:rsidR="00000000" w:rsidRPr="00000000">
        <w:rPr>
          <w:b w:val="1"/>
          <w:color w:val="000000"/>
          <w:sz w:val="26"/>
          <w:szCs w:val="26"/>
          <w:rtl w:val="0"/>
        </w:rPr>
        <w:t xml:space="preserve">7. Prevention Strategies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Start early, especially for individuals with a family history of AD or the </w:t>
      </w:r>
      <w:r w:rsidDel="00000000" w:rsidR="00000000" w:rsidRPr="00000000">
        <w:rPr>
          <w:i w:val="1"/>
          <w:rtl w:val="0"/>
        </w:rPr>
        <w:t xml:space="preserve">APOE4</w:t>
      </w:r>
      <w:r w:rsidDel="00000000" w:rsidR="00000000" w:rsidRPr="00000000">
        <w:rPr>
          <w:rtl w:val="0"/>
        </w:rPr>
        <w:t xml:space="preserve"> gene.</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Regularly monitor biomarkers such as insulin resistance, homocysteine, and vitamin levels to maintain optimal brain health.</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o1vzfri1fwsm"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48">
      <w:pPr>
        <w:spacing w:after="240" w:before="240" w:lineRule="auto"/>
        <w:rPr/>
      </w:pPr>
      <w:r w:rsidDel="00000000" w:rsidR="00000000" w:rsidRPr="00000000">
        <w:rPr>
          <w:rtl w:val="0"/>
        </w:rPr>
        <w:t xml:space="preserve">Dr. Bredesen’s </w:t>
      </w:r>
      <w:r w:rsidDel="00000000" w:rsidR="00000000" w:rsidRPr="00000000">
        <w:rPr>
          <w:i w:val="1"/>
          <w:rtl w:val="0"/>
        </w:rPr>
        <w:t xml:space="preserve">The End of Alzheimer’s</w:t>
      </w:r>
      <w:r w:rsidDel="00000000" w:rsidR="00000000" w:rsidRPr="00000000">
        <w:rPr>
          <w:rtl w:val="0"/>
        </w:rPr>
        <w:t xml:space="preserve"> challenges the traditional view of AD as an irreversible condition. His holistic approach focuses on identifying and addressing root causes, offering hope for both prevention and reversal of cognitive decline. While the protocol demands commitment, it provides a science-backed roadmap to restoring brain function.</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Optimal macronutrient balance is no more than 15gm of digestible carbs per meal, 45 per day.  Beyond those parameters, the body becomes insulin resistant and accelerates brain damage to the point of Alzheimer’s with long-term poor eating habits. A condition now known as Type III diabetes.  Optimal Protein intake is ½ body weight in grams (if weigh 100lbs , then eat 50gm protein per day).</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