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EDE8" w14:textId="64B12068" w:rsidR="00A742E6" w:rsidRPr="00A742E6" w:rsidRDefault="006645FE" w:rsidP="00A742E6">
      <w:pPr>
        <w:pStyle w:val="Head"/>
        <w:spacing w:line="480" w:lineRule="auto"/>
        <w:rPr>
          <w:bCs w:val="0"/>
          <w:sz w:val="36"/>
          <w:szCs w:val="36"/>
        </w:rPr>
      </w:pPr>
      <w:r>
        <w:rPr>
          <w:sz w:val="36"/>
          <w:szCs w:val="36"/>
        </w:rPr>
        <w:t xml:space="preserve">GWAS </w:t>
      </w:r>
      <w:r w:rsidR="00FA12ED">
        <w:rPr>
          <w:sz w:val="36"/>
          <w:szCs w:val="36"/>
        </w:rPr>
        <w:t>diversity</w:t>
      </w:r>
      <w:r>
        <w:rPr>
          <w:sz w:val="36"/>
          <w:szCs w:val="36"/>
        </w:rPr>
        <w:t xml:space="preserve"> </w:t>
      </w:r>
      <w:r w:rsidR="00FA12ED">
        <w:rPr>
          <w:sz w:val="36"/>
          <w:szCs w:val="36"/>
        </w:rPr>
        <w:t>by</w:t>
      </w:r>
      <w:r>
        <w:rPr>
          <w:sz w:val="36"/>
          <w:szCs w:val="36"/>
        </w:rPr>
        <w:t xml:space="preserve"> disease requires real-time monitoring</w:t>
      </w:r>
    </w:p>
    <w:p w14:paraId="7D81D5D6" w14:textId="77777777" w:rsidR="00A742E6" w:rsidRPr="00A742E6" w:rsidRDefault="00A742E6" w:rsidP="00522772">
      <w:pPr>
        <w:pStyle w:val="Authors"/>
        <w:spacing w:before="0" w:after="0" w:line="360" w:lineRule="auto"/>
        <w:rPr>
          <w:sz w:val="25"/>
          <w:szCs w:val="25"/>
        </w:rPr>
      </w:pPr>
      <w:bookmarkStart w:id="0" w:name="_Hlk529783090"/>
      <w:r w:rsidRPr="00A742E6">
        <w:rPr>
          <w:sz w:val="25"/>
          <w:szCs w:val="25"/>
        </w:rPr>
        <w:t>Melinda C. Mills</w:t>
      </w:r>
      <w:r w:rsidRPr="00A742E6">
        <w:rPr>
          <w:sz w:val="25"/>
          <w:szCs w:val="25"/>
          <w:vertAlign w:val="superscript"/>
        </w:rPr>
        <w:t>*</w:t>
      </w:r>
      <w:r w:rsidRPr="00A742E6">
        <w:rPr>
          <w:sz w:val="25"/>
          <w:szCs w:val="25"/>
        </w:rPr>
        <w:t xml:space="preserve"> (ORCID: 0000-0003-1704-0001) </w:t>
      </w:r>
    </w:p>
    <w:p w14:paraId="78F57CFB" w14:textId="77777777" w:rsidR="00A742E6" w:rsidRPr="00A742E6" w:rsidRDefault="00A742E6" w:rsidP="00522772">
      <w:pPr>
        <w:pStyle w:val="Authors"/>
        <w:spacing w:before="0" w:after="0" w:line="360" w:lineRule="auto"/>
        <w:rPr>
          <w:sz w:val="25"/>
          <w:szCs w:val="25"/>
        </w:rPr>
      </w:pPr>
      <w:r w:rsidRPr="00A742E6">
        <w:rPr>
          <w:sz w:val="25"/>
          <w:szCs w:val="25"/>
        </w:rPr>
        <w:t>Charles Rahal (ORCID: 0000-0002-1764-2697)</w:t>
      </w:r>
    </w:p>
    <w:bookmarkEnd w:id="0"/>
    <w:p w14:paraId="53DBA762" w14:textId="3D663E47" w:rsidR="00441C3D" w:rsidRDefault="00441C3D" w:rsidP="00A742E6">
      <w:pPr>
        <w:spacing w:line="276" w:lineRule="auto"/>
        <w:jc w:val="both"/>
        <w:rPr>
          <w:sz w:val="24"/>
          <w:szCs w:val="24"/>
        </w:rPr>
      </w:pPr>
    </w:p>
    <w:p w14:paraId="2CB13784" w14:textId="3560B25F" w:rsidR="00522772" w:rsidRDefault="00522772" w:rsidP="00A742E6">
      <w:pPr>
        <w:spacing w:line="276" w:lineRule="auto"/>
        <w:jc w:val="both"/>
        <w:rPr>
          <w:sz w:val="24"/>
          <w:szCs w:val="24"/>
        </w:rPr>
      </w:pPr>
    </w:p>
    <w:p w14:paraId="21C17CDB" w14:textId="082B6A90" w:rsidR="00AA61B6" w:rsidRDefault="00C64CD6" w:rsidP="00C64CD6">
      <w:pPr>
        <w:spacing w:line="276" w:lineRule="auto"/>
        <w:jc w:val="both"/>
        <w:rPr>
          <w:sz w:val="24"/>
          <w:szCs w:val="24"/>
        </w:rPr>
      </w:pPr>
      <w:r w:rsidRPr="00C64CD6">
        <w:rPr>
          <w:b/>
          <w:sz w:val="24"/>
          <w:szCs w:val="24"/>
        </w:rPr>
        <w:t>To the Editor</w:t>
      </w:r>
      <w:r>
        <w:rPr>
          <w:sz w:val="24"/>
          <w:szCs w:val="24"/>
        </w:rPr>
        <w:t xml:space="preserve"> – Genome-Wide Association Studies (GWAS) are the primary tool for </w:t>
      </w:r>
      <w:r w:rsidR="009034CC">
        <w:rPr>
          <w:sz w:val="24"/>
          <w:szCs w:val="24"/>
        </w:rPr>
        <w:t xml:space="preserve">the </w:t>
      </w:r>
      <w:r>
        <w:rPr>
          <w:sz w:val="24"/>
          <w:szCs w:val="24"/>
        </w:rPr>
        <w:t>discovery</w:t>
      </w:r>
      <w:r w:rsidR="009034CC">
        <w:rPr>
          <w:sz w:val="24"/>
          <w:szCs w:val="24"/>
        </w:rPr>
        <w:t xml:space="preserve"> of genetic variants</w:t>
      </w:r>
      <w:r>
        <w:rPr>
          <w:sz w:val="24"/>
          <w:szCs w:val="24"/>
        </w:rPr>
        <w:t xml:space="preserve">, with over 4,000 studies published across 3,500 diseases or traits (1). </w:t>
      </w:r>
      <w:r w:rsidR="009034CC">
        <w:rPr>
          <w:sz w:val="24"/>
          <w:szCs w:val="24"/>
        </w:rPr>
        <w:t xml:space="preserve">Although there has been a rapid expansion in cohort size, phenotyping and number of identified variants, </w:t>
      </w:r>
      <w:r w:rsidR="002206ED">
        <w:rPr>
          <w:sz w:val="24"/>
          <w:szCs w:val="24"/>
        </w:rPr>
        <w:t>GWAS</w:t>
      </w:r>
      <w:r w:rsidR="009034CC">
        <w:rPr>
          <w:sz w:val="24"/>
          <w:szCs w:val="24"/>
        </w:rPr>
        <w:t xml:space="preserve"> </w:t>
      </w:r>
      <w:r w:rsidR="00AA61B6">
        <w:rPr>
          <w:sz w:val="24"/>
          <w:szCs w:val="24"/>
        </w:rPr>
        <w:t>remain</w:t>
      </w:r>
      <w:r w:rsidR="009034CC">
        <w:rPr>
          <w:sz w:val="24"/>
          <w:szCs w:val="24"/>
        </w:rPr>
        <w:t xml:space="preserve"> predominantly based on European-ancestry samples</w:t>
      </w:r>
      <w:r w:rsidR="00AA61B6">
        <w:rPr>
          <w:sz w:val="24"/>
          <w:szCs w:val="24"/>
        </w:rPr>
        <w:t xml:space="preserve">, </w:t>
      </w:r>
      <w:r w:rsidR="0003589C">
        <w:rPr>
          <w:sz w:val="24"/>
          <w:szCs w:val="24"/>
        </w:rPr>
        <w:t xml:space="preserve">ranging between </w:t>
      </w:r>
      <w:r w:rsidR="004C2B63">
        <w:rPr>
          <w:sz w:val="24"/>
          <w:szCs w:val="24"/>
        </w:rPr>
        <w:t xml:space="preserve">96% (2007) </w:t>
      </w:r>
      <w:r w:rsidR="00734B6A">
        <w:rPr>
          <w:sz w:val="24"/>
          <w:szCs w:val="24"/>
        </w:rPr>
        <w:t>with a decrease of</w:t>
      </w:r>
      <w:r w:rsidR="004C2B63">
        <w:rPr>
          <w:sz w:val="24"/>
          <w:szCs w:val="24"/>
        </w:rPr>
        <w:t xml:space="preserve"> </w:t>
      </w:r>
      <w:r w:rsidR="0003589C">
        <w:rPr>
          <w:sz w:val="24"/>
          <w:szCs w:val="24"/>
        </w:rPr>
        <w:t>72% (</w:t>
      </w:r>
      <w:r w:rsidR="004C2B63">
        <w:rPr>
          <w:sz w:val="24"/>
          <w:szCs w:val="24"/>
        </w:rPr>
        <w:t>2012)</w:t>
      </w:r>
      <w:r w:rsidR="00734B6A">
        <w:rPr>
          <w:sz w:val="24"/>
          <w:szCs w:val="24"/>
        </w:rPr>
        <w:t xml:space="preserve"> and</w:t>
      </w:r>
      <w:r w:rsidR="004C2B63">
        <w:rPr>
          <w:sz w:val="24"/>
          <w:szCs w:val="24"/>
        </w:rPr>
        <w:t xml:space="preserve"> </w:t>
      </w:r>
      <w:r w:rsidR="00734B6A">
        <w:rPr>
          <w:sz w:val="24"/>
          <w:szCs w:val="24"/>
        </w:rPr>
        <w:t xml:space="preserve">subsequent increase to </w:t>
      </w:r>
      <w:r w:rsidR="004C2B63">
        <w:rPr>
          <w:sz w:val="24"/>
          <w:szCs w:val="24"/>
        </w:rPr>
        <w:t>88% (2017)</w:t>
      </w:r>
      <w:r w:rsidR="00AA61B6">
        <w:rPr>
          <w:sz w:val="24"/>
          <w:szCs w:val="24"/>
        </w:rPr>
        <w:t>. Geographic diversity is also limited with</w:t>
      </w:r>
      <w:r w:rsidR="002206ED">
        <w:rPr>
          <w:sz w:val="24"/>
          <w:szCs w:val="24"/>
        </w:rPr>
        <w:t xml:space="preserve"> 72% of </w:t>
      </w:r>
      <w:r w:rsidR="00AA61B6">
        <w:rPr>
          <w:sz w:val="24"/>
          <w:szCs w:val="24"/>
        </w:rPr>
        <w:t>discoveries from samples</w:t>
      </w:r>
      <w:r w:rsidR="002206ED">
        <w:rPr>
          <w:sz w:val="24"/>
          <w:szCs w:val="24"/>
        </w:rPr>
        <w:t xml:space="preserve"> emanating from </w:t>
      </w:r>
      <w:r w:rsidR="004C2B63">
        <w:rPr>
          <w:sz w:val="24"/>
          <w:szCs w:val="24"/>
        </w:rPr>
        <w:t xml:space="preserve">just </w:t>
      </w:r>
      <w:r w:rsidR="002206ED">
        <w:rPr>
          <w:sz w:val="24"/>
          <w:szCs w:val="24"/>
        </w:rPr>
        <w:t xml:space="preserve">3 countries (US, UK, Iceland) (1). </w:t>
      </w:r>
    </w:p>
    <w:p w14:paraId="1AB78D57" w14:textId="77777777" w:rsidR="00AA61B6" w:rsidRDefault="00AA61B6" w:rsidP="00C64CD6">
      <w:pPr>
        <w:spacing w:line="276" w:lineRule="auto"/>
        <w:jc w:val="both"/>
        <w:rPr>
          <w:sz w:val="24"/>
          <w:szCs w:val="24"/>
        </w:rPr>
      </w:pPr>
    </w:p>
    <w:p w14:paraId="35677E1D" w14:textId="76D396B4" w:rsidR="0003589C" w:rsidRDefault="00AA61B6" w:rsidP="00C64CD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transferability of GWAS results to other populations depends on many factors (i.e., allele frequencies, linkage disequilibrium, genetic architecture</w:t>
      </w:r>
      <w:r w:rsidR="00734B6A">
        <w:rPr>
          <w:sz w:val="24"/>
          <w:szCs w:val="24"/>
        </w:rPr>
        <w:t>, epitasis, gene-environment interaction</w:t>
      </w:r>
      <w:r>
        <w:rPr>
          <w:sz w:val="24"/>
          <w:szCs w:val="24"/>
        </w:rPr>
        <w:t>)</w:t>
      </w:r>
      <w:r w:rsidR="00734B6A">
        <w:rPr>
          <w:sz w:val="24"/>
          <w:szCs w:val="24"/>
        </w:rPr>
        <w:t xml:space="preserve"> (2)</w:t>
      </w:r>
      <w:r>
        <w:rPr>
          <w:sz w:val="24"/>
          <w:szCs w:val="24"/>
        </w:rPr>
        <w:t>, with single-ancestry GWASs having limited portability (</w:t>
      </w:r>
      <w:r w:rsidR="00734B6A">
        <w:rPr>
          <w:sz w:val="24"/>
          <w:szCs w:val="24"/>
        </w:rPr>
        <w:t>3</w:t>
      </w:r>
      <w:r>
        <w:rPr>
          <w:sz w:val="24"/>
          <w:szCs w:val="24"/>
        </w:rPr>
        <w:t xml:space="preserve">). </w:t>
      </w:r>
      <w:r w:rsidR="00734B6A">
        <w:rPr>
          <w:sz w:val="24"/>
          <w:szCs w:val="24"/>
        </w:rPr>
        <w:t>P</w:t>
      </w:r>
      <w:r w:rsidR="008A4DB0">
        <w:rPr>
          <w:sz w:val="24"/>
          <w:szCs w:val="24"/>
        </w:rPr>
        <w:t xml:space="preserve">olygenic risk scores (PRS) for complex traits are also </w:t>
      </w:r>
      <w:r w:rsidR="00734B6A">
        <w:rPr>
          <w:sz w:val="24"/>
          <w:szCs w:val="24"/>
        </w:rPr>
        <w:t xml:space="preserve">influenced by the heterogeneity of </w:t>
      </w:r>
      <w:r w:rsidR="008A4DB0">
        <w:rPr>
          <w:sz w:val="24"/>
          <w:szCs w:val="24"/>
        </w:rPr>
        <w:t xml:space="preserve">environmental factors, </w:t>
      </w:r>
      <w:r w:rsidR="00734B6A">
        <w:rPr>
          <w:sz w:val="24"/>
          <w:szCs w:val="24"/>
        </w:rPr>
        <w:t xml:space="preserve">such as </w:t>
      </w:r>
      <w:r w:rsidR="008A4DB0">
        <w:rPr>
          <w:sz w:val="24"/>
          <w:szCs w:val="24"/>
        </w:rPr>
        <w:t xml:space="preserve">historical </w:t>
      </w:r>
      <w:r w:rsidR="00734B6A">
        <w:rPr>
          <w:sz w:val="24"/>
          <w:szCs w:val="24"/>
        </w:rPr>
        <w:t>period</w:t>
      </w:r>
      <w:r w:rsidR="008A4DB0">
        <w:rPr>
          <w:sz w:val="24"/>
          <w:szCs w:val="24"/>
        </w:rPr>
        <w:t xml:space="preserve"> and </w:t>
      </w:r>
      <w:r w:rsidR="00734B6A">
        <w:rPr>
          <w:sz w:val="24"/>
          <w:szCs w:val="24"/>
        </w:rPr>
        <w:t>country of origin</w:t>
      </w:r>
      <w:r w:rsidR="008A4DB0">
        <w:rPr>
          <w:sz w:val="24"/>
          <w:szCs w:val="24"/>
        </w:rPr>
        <w:t xml:space="preserve"> (</w:t>
      </w:r>
      <w:r w:rsidR="00734B6A">
        <w:rPr>
          <w:sz w:val="24"/>
          <w:szCs w:val="24"/>
        </w:rPr>
        <w:t>4</w:t>
      </w:r>
      <w:r w:rsidR="008A4DB0">
        <w:rPr>
          <w:sz w:val="24"/>
          <w:szCs w:val="24"/>
        </w:rPr>
        <w:t xml:space="preserve">). </w:t>
      </w:r>
      <w:r w:rsidR="0003589C">
        <w:rPr>
          <w:sz w:val="24"/>
          <w:szCs w:val="24"/>
        </w:rPr>
        <w:t>With the move towards clinical applications of polygenic risk scores (PRS) derived from GWAS (</w:t>
      </w:r>
      <w:r w:rsidR="00734B6A">
        <w:rPr>
          <w:sz w:val="24"/>
          <w:szCs w:val="24"/>
        </w:rPr>
        <w:t>5</w:t>
      </w:r>
      <w:r w:rsidR="0003589C">
        <w:rPr>
          <w:sz w:val="24"/>
          <w:szCs w:val="24"/>
        </w:rPr>
        <w:t xml:space="preserve">), </w:t>
      </w:r>
      <w:r w:rsidR="00734B6A">
        <w:rPr>
          <w:sz w:val="24"/>
          <w:szCs w:val="24"/>
        </w:rPr>
        <w:t xml:space="preserve">application of PRS from </w:t>
      </w:r>
      <w:r w:rsidR="006A3790">
        <w:rPr>
          <w:sz w:val="24"/>
          <w:szCs w:val="24"/>
        </w:rPr>
        <w:t xml:space="preserve">the majority of </w:t>
      </w:r>
      <w:r w:rsidR="00734B6A">
        <w:rPr>
          <w:sz w:val="24"/>
          <w:szCs w:val="24"/>
        </w:rPr>
        <w:t>GWAS</w:t>
      </w:r>
      <w:r w:rsidR="0003589C">
        <w:rPr>
          <w:sz w:val="24"/>
          <w:szCs w:val="24"/>
        </w:rPr>
        <w:t xml:space="preserve"> would systematically provide greater </w:t>
      </w:r>
      <w:r w:rsidR="00734B6A">
        <w:rPr>
          <w:sz w:val="24"/>
          <w:szCs w:val="24"/>
        </w:rPr>
        <w:t xml:space="preserve">health </w:t>
      </w:r>
      <w:r w:rsidR="0003589C">
        <w:rPr>
          <w:sz w:val="24"/>
          <w:szCs w:val="24"/>
        </w:rPr>
        <w:t>improvement for European-ancestry populations</w:t>
      </w:r>
      <w:r w:rsidR="006A3790">
        <w:rPr>
          <w:sz w:val="24"/>
          <w:szCs w:val="24"/>
        </w:rPr>
        <w:t xml:space="preserve">, </w:t>
      </w:r>
      <w:r w:rsidR="00982719">
        <w:rPr>
          <w:sz w:val="24"/>
          <w:szCs w:val="24"/>
        </w:rPr>
        <w:t xml:space="preserve">thereby </w:t>
      </w:r>
      <w:r w:rsidR="006A3790">
        <w:rPr>
          <w:sz w:val="24"/>
          <w:szCs w:val="24"/>
        </w:rPr>
        <w:t xml:space="preserve">exacerbating health </w:t>
      </w:r>
      <w:r w:rsidR="00797081">
        <w:rPr>
          <w:sz w:val="24"/>
          <w:szCs w:val="24"/>
        </w:rPr>
        <w:t>inequalities</w:t>
      </w:r>
      <w:r w:rsidR="0003589C">
        <w:rPr>
          <w:sz w:val="24"/>
          <w:szCs w:val="24"/>
        </w:rPr>
        <w:t xml:space="preserve"> (</w:t>
      </w:r>
      <w:r w:rsidR="00734B6A">
        <w:rPr>
          <w:sz w:val="24"/>
          <w:szCs w:val="24"/>
        </w:rPr>
        <w:t>6</w:t>
      </w:r>
      <w:r w:rsidR="0003589C">
        <w:rPr>
          <w:sz w:val="24"/>
          <w:szCs w:val="24"/>
        </w:rPr>
        <w:t xml:space="preserve">). </w:t>
      </w:r>
    </w:p>
    <w:p w14:paraId="53598BB7" w14:textId="77777777" w:rsidR="0003589C" w:rsidRDefault="0003589C" w:rsidP="00C64CD6">
      <w:pPr>
        <w:spacing w:line="276" w:lineRule="auto"/>
        <w:jc w:val="both"/>
        <w:rPr>
          <w:sz w:val="24"/>
          <w:szCs w:val="24"/>
        </w:rPr>
      </w:pPr>
    </w:p>
    <w:p w14:paraId="0C6A2F8F" w14:textId="003D856F" w:rsidR="006D1BB2" w:rsidRDefault="006D1BB2" w:rsidP="00C64CD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Meta-analyzes in GWAS often fail to identify variants that differ in frequency amongst populations with PRS</w:t>
      </w:r>
      <w:r w:rsidR="00B53BF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either under- or overestimating risk in understudied populations (2). A study that applied a PRS for schizophrenia based on a European-ancestry sample found a 10-fold higher risk in African and African-American populations, showing this lack of portability (7). Neglecting genetic differences can </w:t>
      </w:r>
      <w:r w:rsidR="006A3790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have serious consequences for drug safety. A failure to account for </w:t>
      </w:r>
      <w:r w:rsidR="006A3790">
        <w:rPr>
          <w:sz w:val="24"/>
          <w:szCs w:val="24"/>
        </w:rPr>
        <w:t xml:space="preserve">G6PD </w:t>
      </w:r>
      <w:r>
        <w:rPr>
          <w:sz w:val="24"/>
          <w:szCs w:val="24"/>
        </w:rPr>
        <w:t xml:space="preserve">deficiency-causing </w:t>
      </w:r>
      <w:r w:rsidR="006A3790">
        <w:rPr>
          <w:sz w:val="24"/>
          <w:szCs w:val="24"/>
        </w:rPr>
        <w:t xml:space="preserve">mutations in sub-Saharan Africa led to the withdrawal of an effective antimalarial drug combination, with the drug being safe in G6PD non-enzymatically deficient individuals (2,8). </w:t>
      </w:r>
    </w:p>
    <w:p w14:paraId="14AA4347" w14:textId="65774386" w:rsidR="006A3790" w:rsidRDefault="006A3790" w:rsidP="00C64CD6">
      <w:pPr>
        <w:spacing w:line="276" w:lineRule="auto"/>
        <w:jc w:val="both"/>
        <w:rPr>
          <w:sz w:val="24"/>
          <w:szCs w:val="24"/>
        </w:rPr>
      </w:pPr>
    </w:p>
    <w:p w14:paraId="2B6656A4" w14:textId="50AF3130" w:rsidR="006A3790" w:rsidRDefault="006A3790" w:rsidP="00C64CD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SOMETHING ABOUT DIFFERENCE BETWEEN DISCOVERY AND REPLICATION</w:t>
      </w:r>
    </w:p>
    <w:p w14:paraId="16B3CBFB" w14:textId="558D452C" w:rsidR="006A3790" w:rsidRDefault="007E644B" w:rsidP="00C64CD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incidence of disease also differs across populations. Cystic fibrosis, for instance has a high prevalence in Europe (1 in 2000/3000 births) compared to being rare in African Americans (1 in 17,000 births) (2). Whilst the most common causal allele in European population </w:t>
      </w:r>
      <w:r>
        <w:rPr>
          <w:sz w:val="24"/>
          <w:szCs w:val="24"/>
        </w:rPr>
        <w:sym w:font="Symbol" w:char="F044"/>
      </w:r>
      <w:r>
        <w:rPr>
          <w:sz w:val="24"/>
          <w:szCs w:val="24"/>
        </w:rPr>
        <w:t xml:space="preserve">F508 accounts for more than 70% of the cases, it is only 29% for African diaspora populations (2,9). </w:t>
      </w:r>
      <w:r w:rsidR="00232A4C">
        <w:rPr>
          <w:sz w:val="24"/>
          <w:szCs w:val="24"/>
        </w:rPr>
        <w:t>A description of the current gaps in GWAS by disease and ancestry group is therefore also urgently needed</w:t>
      </w:r>
      <w:r w:rsidR="001B7226">
        <w:rPr>
          <w:sz w:val="24"/>
          <w:szCs w:val="24"/>
        </w:rPr>
        <w:t xml:space="preserve"> to cover this vast uncharted territory. </w:t>
      </w:r>
      <w:r w:rsidR="00232A4C">
        <w:rPr>
          <w:sz w:val="24"/>
          <w:szCs w:val="24"/>
        </w:rPr>
        <w:t xml:space="preserve"> </w:t>
      </w:r>
    </w:p>
    <w:p w14:paraId="40A6F998" w14:textId="77777777" w:rsidR="00232A4C" w:rsidRDefault="00232A4C" w:rsidP="00C64CD6">
      <w:pPr>
        <w:spacing w:line="276" w:lineRule="auto"/>
        <w:jc w:val="both"/>
        <w:rPr>
          <w:sz w:val="24"/>
          <w:szCs w:val="24"/>
        </w:rPr>
      </w:pPr>
    </w:p>
    <w:p w14:paraId="6D03C34D" w14:textId="2527016F" w:rsidR="002206ED" w:rsidRDefault="0003589C" w:rsidP="002206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need for prioritization of greater diversity in genetic studies </w:t>
      </w:r>
      <w:r w:rsidR="006A3790">
        <w:rPr>
          <w:sz w:val="24"/>
          <w:szCs w:val="24"/>
        </w:rPr>
        <w:t xml:space="preserve">across a broader number of diseases </w:t>
      </w:r>
      <w:r>
        <w:rPr>
          <w:sz w:val="24"/>
          <w:szCs w:val="24"/>
        </w:rPr>
        <w:t xml:space="preserve">has been recognized, </w:t>
      </w:r>
      <w:r w:rsidR="006A3790">
        <w:rPr>
          <w:sz w:val="24"/>
          <w:szCs w:val="24"/>
        </w:rPr>
        <w:t xml:space="preserve">but to date not easily monitored. </w:t>
      </w:r>
      <w:r w:rsidR="002206ED">
        <w:rPr>
          <w:sz w:val="24"/>
          <w:szCs w:val="24"/>
        </w:rPr>
        <w:t xml:space="preserve">To improve the monitoring of diversity and identify gaps in areas of research, </w:t>
      </w:r>
      <w:r w:rsidR="002206ED">
        <w:rPr>
          <w:sz w:val="24"/>
          <w:szCs w:val="24"/>
        </w:rPr>
        <w:t>we developed an on-line platform called the GWAS Diversity Monitor (gwasdiversitymonitor.com) to facilitate the visualization</w:t>
      </w:r>
      <w:r w:rsidR="005E2027">
        <w:rPr>
          <w:sz w:val="24"/>
          <w:szCs w:val="24"/>
        </w:rPr>
        <w:t xml:space="preserve">, analysis and monitoring </w:t>
      </w:r>
      <w:r w:rsidR="002206ED">
        <w:rPr>
          <w:sz w:val="24"/>
          <w:szCs w:val="24"/>
        </w:rPr>
        <w:t xml:space="preserve">of GWAS Diversity. The platform integrates almost 4,000 peer-reviewed published GWA studies across XXXX unique traits and XXXX phenotypes indexed by the EMBL-EBI GWAS Catalog. It is updated daily, providing a virtual real-time monitoring of GWAS diversity. </w:t>
      </w:r>
    </w:p>
    <w:p w14:paraId="646EB5CC" w14:textId="06412EFA" w:rsidR="00AC7754" w:rsidRDefault="00AC7754" w:rsidP="002206ED">
      <w:pPr>
        <w:spacing w:line="276" w:lineRule="auto"/>
        <w:jc w:val="both"/>
        <w:rPr>
          <w:sz w:val="24"/>
          <w:szCs w:val="24"/>
        </w:rPr>
      </w:pPr>
    </w:p>
    <w:p w14:paraId="0DB3D476" w14:textId="2B6355C5" w:rsidR="00AC7754" w:rsidRDefault="00AC7754" w:rsidP="002206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STAT THAT CURRENTLY WE KNOW 10000% MORE ABOUT DISEASE X IN EUROPEANS COMPARED TO Africans, etc. </w:t>
      </w:r>
    </w:p>
    <w:p w14:paraId="42C2BD79" w14:textId="2170EA91" w:rsidR="002206ED" w:rsidRDefault="002206ED" w:rsidP="00C64CD6">
      <w:pPr>
        <w:spacing w:line="276" w:lineRule="auto"/>
        <w:jc w:val="both"/>
        <w:rPr>
          <w:sz w:val="24"/>
          <w:szCs w:val="24"/>
        </w:rPr>
      </w:pPr>
    </w:p>
    <w:p w14:paraId="4ADEB0F9" w14:textId="1802BEC6" w:rsidR="002206ED" w:rsidRDefault="002206ED" w:rsidP="002206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use the GWAS Diversity Monitor to visualize all GWA studies from 2005 to now across </w:t>
      </w:r>
      <w:proofErr w:type="gramStart"/>
      <w:r>
        <w:rPr>
          <w:sz w:val="24"/>
          <w:szCs w:val="24"/>
        </w:rPr>
        <w:t>this five figure</w:t>
      </w:r>
      <w:proofErr w:type="gramEnd"/>
      <w:r>
        <w:rPr>
          <w:sz w:val="24"/>
          <w:szCs w:val="24"/>
        </w:rPr>
        <w:t xml:space="preserve">, five widget and two-tab interactive dashboard. They can also click and hover on the graphs for additional information. In </w:t>
      </w:r>
      <w:proofErr w:type="gramStart"/>
      <w:r>
        <w:rPr>
          <w:sz w:val="24"/>
          <w:szCs w:val="24"/>
        </w:rPr>
        <w:t>addition</w:t>
      </w:r>
      <w:proofErr w:type="gramEnd"/>
      <w:r>
        <w:rPr>
          <w:sz w:val="24"/>
          <w:szCs w:val="24"/>
        </w:rPr>
        <w:t xml:space="preserve"> the GWAS Diversity Monitor is highly extendable in that it allows user to download all datasets for additional analyses. </w:t>
      </w:r>
    </w:p>
    <w:p w14:paraId="3C5D687A" w14:textId="22CD4025" w:rsidR="007E644B" w:rsidRDefault="007E644B" w:rsidP="002206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DON’T ADD ALL OF THESE BUT SUMMARIZE SOME</w:t>
      </w:r>
    </w:p>
    <w:p w14:paraId="5C381BF1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There</w:t>
      </w:r>
      <w:proofErr w:type="gramEnd"/>
      <w:r w:rsidRPr="00FA12ED">
        <w:rPr>
          <w:sz w:val="24"/>
          <w:szCs w:val="24"/>
          <w:lang w:val="en-GB"/>
        </w:rPr>
        <w:t xml:space="preserve"> are a total of 4131 studies in the </w:t>
      </w:r>
      <w:proofErr w:type="spellStart"/>
      <w:r w:rsidRPr="00FA12ED">
        <w:rPr>
          <w:sz w:val="24"/>
          <w:szCs w:val="24"/>
          <w:lang w:val="en-GB"/>
        </w:rPr>
        <w:t>Catalog</w:t>
      </w:r>
      <w:proofErr w:type="spellEnd"/>
      <w:r w:rsidRPr="00FA12ED">
        <w:rPr>
          <w:sz w:val="24"/>
          <w:szCs w:val="24"/>
          <w:lang w:val="en-GB"/>
        </w:rPr>
        <w:t>.</w:t>
      </w:r>
    </w:p>
    <w:p w14:paraId="6F94E46F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Earliest</w:t>
      </w:r>
      <w:proofErr w:type="gramEnd"/>
      <w:r w:rsidRPr="00FA12ED">
        <w:rPr>
          <w:sz w:val="24"/>
          <w:szCs w:val="24"/>
          <w:lang w:val="en-GB"/>
        </w:rPr>
        <w:t xml:space="preserve"> study in catalogue was </w:t>
      </w:r>
      <w:proofErr w:type="spellStart"/>
      <w:r w:rsidRPr="00FA12ED">
        <w:rPr>
          <w:sz w:val="24"/>
          <w:szCs w:val="24"/>
          <w:lang w:val="en-GB"/>
        </w:rPr>
        <w:t>PubMedID</w:t>
      </w:r>
      <w:proofErr w:type="spellEnd"/>
      <w:r w:rsidRPr="00FA12ED">
        <w:rPr>
          <w:sz w:val="24"/>
          <w:szCs w:val="24"/>
          <w:lang w:val="en-GB"/>
        </w:rPr>
        <w:t xml:space="preserve"> 15761122 on 2005-03-10 by Klein RJ et al.</w:t>
      </w:r>
    </w:p>
    <w:p w14:paraId="3E0C6824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Most</w:t>
      </w:r>
      <w:proofErr w:type="gramEnd"/>
      <w:r w:rsidRPr="00FA12ED">
        <w:rPr>
          <w:sz w:val="24"/>
          <w:szCs w:val="24"/>
          <w:lang w:val="en-GB"/>
        </w:rPr>
        <w:t xml:space="preserve"> recent study in the catalogue was </w:t>
      </w:r>
      <w:proofErr w:type="spellStart"/>
      <w:r w:rsidRPr="00FA12ED">
        <w:rPr>
          <w:sz w:val="24"/>
          <w:szCs w:val="24"/>
          <w:lang w:val="en-GB"/>
        </w:rPr>
        <w:t>PubMedID</w:t>
      </w:r>
      <w:proofErr w:type="spellEnd"/>
      <w:r w:rsidRPr="00FA12ED">
        <w:rPr>
          <w:sz w:val="24"/>
          <w:szCs w:val="24"/>
          <w:lang w:val="en-GB"/>
        </w:rPr>
        <w:t xml:space="preserve"> 31295674 on 2019-07-05 by </w:t>
      </w:r>
      <w:proofErr w:type="spellStart"/>
      <w:r w:rsidRPr="00FA12ED">
        <w:rPr>
          <w:sz w:val="24"/>
          <w:szCs w:val="24"/>
          <w:lang w:val="en-GB"/>
        </w:rPr>
        <w:t>Condreay</w:t>
      </w:r>
      <w:proofErr w:type="spellEnd"/>
      <w:r w:rsidRPr="00FA12ED">
        <w:rPr>
          <w:sz w:val="24"/>
          <w:szCs w:val="24"/>
          <w:lang w:val="en-GB"/>
        </w:rPr>
        <w:t xml:space="preserve"> LD et al.</w:t>
      </w:r>
    </w:p>
    <w:p w14:paraId="7D04039E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Accession</w:t>
      </w:r>
      <w:proofErr w:type="gramEnd"/>
      <w:r w:rsidRPr="00FA12ED">
        <w:rPr>
          <w:sz w:val="24"/>
          <w:szCs w:val="24"/>
          <w:lang w:val="en-GB"/>
        </w:rPr>
        <w:t xml:space="preserve"> with biggest sample is </w:t>
      </w:r>
      <w:proofErr w:type="spellStart"/>
      <w:r w:rsidRPr="00FA12ED">
        <w:rPr>
          <w:sz w:val="24"/>
          <w:szCs w:val="24"/>
          <w:lang w:val="en-GB"/>
        </w:rPr>
        <w:t>PubMedID</w:t>
      </w:r>
      <w:proofErr w:type="spellEnd"/>
      <w:r w:rsidRPr="00FA12ED">
        <w:rPr>
          <w:sz w:val="24"/>
          <w:szCs w:val="24"/>
          <w:lang w:val="en-GB"/>
        </w:rPr>
        <w:t xml:space="preserve"> 30643256 (N=2370390) by </w:t>
      </w:r>
      <w:proofErr w:type="spellStart"/>
      <w:r w:rsidRPr="00FA12ED">
        <w:rPr>
          <w:sz w:val="24"/>
          <w:szCs w:val="24"/>
          <w:lang w:val="en-GB"/>
        </w:rPr>
        <w:t>Baselmans</w:t>
      </w:r>
      <w:proofErr w:type="spellEnd"/>
      <w:r w:rsidRPr="00FA12ED">
        <w:rPr>
          <w:sz w:val="24"/>
          <w:szCs w:val="24"/>
          <w:lang w:val="en-GB"/>
        </w:rPr>
        <w:t xml:space="preserve"> BML et al.</w:t>
      </w:r>
    </w:p>
    <w:p w14:paraId="1E0BBCBC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There</w:t>
      </w:r>
      <w:proofErr w:type="gramEnd"/>
      <w:r w:rsidRPr="00FA12ED">
        <w:rPr>
          <w:sz w:val="24"/>
          <w:szCs w:val="24"/>
          <w:lang w:val="en-GB"/>
        </w:rPr>
        <w:t xml:space="preserve"> are a total of 7407 unique study accessions.</w:t>
      </w:r>
    </w:p>
    <w:p w14:paraId="43544759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There</w:t>
      </w:r>
      <w:proofErr w:type="gramEnd"/>
      <w:r w:rsidRPr="00FA12ED">
        <w:rPr>
          <w:sz w:val="24"/>
          <w:szCs w:val="24"/>
          <w:lang w:val="en-GB"/>
        </w:rPr>
        <w:t xml:space="preserve"> are a total of 4429 unique diseases </w:t>
      </w:r>
      <w:proofErr w:type="spellStart"/>
      <w:r w:rsidRPr="00FA12ED">
        <w:rPr>
          <w:sz w:val="24"/>
          <w:szCs w:val="24"/>
          <w:lang w:val="en-GB"/>
        </w:rPr>
        <w:t>raits</w:t>
      </w:r>
      <w:proofErr w:type="spellEnd"/>
      <w:r w:rsidRPr="00FA12ED">
        <w:rPr>
          <w:sz w:val="24"/>
          <w:szCs w:val="24"/>
          <w:lang w:val="en-GB"/>
        </w:rPr>
        <w:t xml:space="preserve"> studied.</w:t>
      </w:r>
    </w:p>
    <w:p w14:paraId="1341ED03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There</w:t>
      </w:r>
      <w:proofErr w:type="gramEnd"/>
      <w:r w:rsidRPr="00FA12ED">
        <w:rPr>
          <w:sz w:val="24"/>
          <w:szCs w:val="24"/>
          <w:lang w:val="en-GB"/>
        </w:rPr>
        <w:t xml:space="preserve"> are a total of 2974 unique EBI "Mapped Traits".</w:t>
      </w:r>
    </w:p>
    <w:p w14:paraId="632E5119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</w:t>
      </w:r>
      <w:proofErr w:type="gramEnd"/>
      <w:r w:rsidRPr="00FA12ED">
        <w:rPr>
          <w:sz w:val="24"/>
          <w:szCs w:val="24"/>
          <w:lang w:val="en-GB"/>
        </w:rPr>
        <w:t xml:space="preserve"> total number of associations found is 152652.</w:t>
      </w:r>
    </w:p>
    <w:p w14:paraId="02EA1117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</w:t>
      </w:r>
      <w:proofErr w:type="gramEnd"/>
      <w:r w:rsidRPr="00FA12ED">
        <w:rPr>
          <w:sz w:val="24"/>
          <w:szCs w:val="24"/>
          <w:lang w:val="en-GB"/>
        </w:rPr>
        <w:t xml:space="preserve"> average number of associations found is 20.61.</w:t>
      </w:r>
    </w:p>
    <w:p w14:paraId="689E4D22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Mean</w:t>
      </w:r>
      <w:proofErr w:type="gramEnd"/>
      <w:r w:rsidRPr="00FA12ED">
        <w:rPr>
          <w:sz w:val="24"/>
          <w:szCs w:val="24"/>
          <w:lang w:val="en-GB"/>
        </w:rPr>
        <w:t xml:space="preserve"> P-Value for the strongest SNP risk allele is: 1.010E-6.</w:t>
      </w:r>
    </w:p>
    <w:p w14:paraId="1C0210E2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</w:t>
      </w:r>
      <w:proofErr w:type="gramEnd"/>
      <w:r w:rsidRPr="00FA12ED">
        <w:rPr>
          <w:sz w:val="24"/>
          <w:szCs w:val="24"/>
          <w:lang w:val="en-GB"/>
        </w:rPr>
        <w:t xml:space="preserve"> number of associations reaching the 5e-8 threshold: 99763.</w:t>
      </w:r>
    </w:p>
    <w:p w14:paraId="164E7E6D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The</w:t>
      </w:r>
      <w:proofErr w:type="gramEnd"/>
      <w:r w:rsidRPr="00FA12ED">
        <w:rPr>
          <w:sz w:val="24"/>
          <w:szCs w:val="24"/>
          <w:lang w:val="en-GB"/>
        </w:rPr>
        <w:t xml:space="preserve"> journal to feature the most GWAS studies is: Nat Genet.</w:t>
      </w:r>
    </w:p>
    <w:p w14:paraId="5C54EAA5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Total</w:t>
      </w:r>
      <w:proofErr w:type="gramEnd"/>
      <w:r w:rsidRPr="00FA12ED">
        <w:rPr>
          <w:sz w:val="24"/>
          <w:szCs w:val="24"/>
          <w:lang w:val="en-GB"/>
        </w:rPr>
        <w:t xml:space="preserve"> number of different journals publishing GWAS is: 529.</w:t>
      </w:r>
    </w:p>
    <w:p w14:paraId="40BAADFC" w14:textId="77777777" w:rsidR="002206ED" w:rsidRPr="00FA12ED" w:rsidRDefault="002206ED" w:rsidP="002206ED">
      <w:pPr>
        <w:spacing w:line="276" w:lineRule="auto"/>
        <w:jc w:val="both"/>
        <w:rPr>
          <w:sz w:val="24"/>
          <w:szCs w:val="24"/>
          <w:lang w:val="en-GB"/>
        </w:rPr>
      </w:pPr>
      <w:proofErr w:type="gramStart"/>
      <w:r w:rsidRPr="00FA12ED">
        <w:rPr>
          <w:sz w:val="24"/>
          <w:szCs w:val="24"/>
          <w:lang w:val="en-GB"/>
        </w:rPr>
        <w:t>  Most</w:t>
      </w:r>
      <w:proofErr w:type="gramEnd"/>
      <w:r w:rsidRPr="00FA12ED">
        <w:rPr>
          <w:sz w:val="24"/>
          <w:szCs w:val="24"/>
          <w:lang w:val="en-GB"/>
        </w:rPr>
        <w:t xml:space="preserve"> frequently studied (Non-European) "Diseases Trait": Type 2 diabetes.</w:t>
      </w:r>
    </w:p>
    <w:p w14:paraId="2226A878" w14:textId="4019BD10" w:rsidR="0091406C" w:rsidRDefault="0091406C" w:rsidP="00E95A3F">
      <w:pPr>
        <w:spacing w:line="276" w:lineRule="auto"/>
        <w:jc w:val="both"/>
        <w:rPr>
          <w:sz w:val="24"/>
          <w:szCs w:val="24"/>
        </w:rPr>
      </w:pPr>
    </w:p>
    <w:p w14:paraId="17868FA6" w14:textId="77777777" w:rsidR="006645FE" w:rsidRDefault="006645FE" w:rsidP="00E95A3F">
      <w:pPr>
        <w:spacing w:line="276" w:lineRule="auto"/>
        <w:jc w:val="both"/>
        <w:rPr>
          <w:sz w:val="24"/>
          <w:szCs w:val="24"/>
        </w:rPr>
      </w:pPr>
    </w:p>
    <w:p w14:paraId="3676F4DE" w14:textId="6BD353BD" w:rsidR="0091406C" w:rsidRDefault="006645FE" w:rsidP="00E95A3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continuous and rapid publication of GWAS, and a recognition of lack of diversity and gaps in knowledge about diseases within certain populations, the GWAS Diversity Monitor provides a user-friendly interface to visualize and monitor GWAS diversity by populations and diseases across time. </w:t>
      </w:r>
    </w:p>
    <w:p w14:paraId="2D120CB4" w14:textId="77777777" w:rsidR="0091406C" w:rsidRDefault="0091406C" w:rsidP="00E95A3F">
      <w:pPr>
        <w:spacing w:line="276" w:lineRule="auto"/>
        <w:jc w:val="both"/>
        <w:rPr>
          <w:sz w:val="24"/>
          <w:szCs w:val="24"/>
        </w:rPr>
      </w:pPr>
    </w:p>
    <w:p w14:paraId="30083907" w14:textId="77777777" w:rsidR="0091406C" w:rsidRDefault="0091406C" w:rsidP="00E95A3F">
      <w:pPr>
        <w:spacing w:line="276" w:lineRule="auto"/>
        <w:jc w:val="both"/>
        <w:rPr>
          <w:sz w:val="24"/>
          <w:szCs w:val="24"/>
        </w:rPr>
      </w:pPr>
    </w:p>
    <w:p w14:paraId="4672DFE0" w14:textId="3B7077CF" w:rsidR="0091406C" w:rsidRPr="00521196" w:rsidRDefault="006A3790" w:rsidP="00E95A3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 OUT TO ADD BACK IN</w:t>
      </w:r>
    </w:p>
    <w:p w14:paraId="32F7621F" w14:textId="25406AF4" w:rsidR="00C51652" w:rsidRDefault="00644DFB" w:rsidP="00101A41">
      <w:pPr>
        <w:spacing w:line="276" w:lineRule="auto"/>
        <w:ind w:firstLine="720"/>
        <w:jc w:val="both"/>
        <w:rPr>
          <w:sz w:val="24"/>
          <w:szCs w:val="24"/>
        </w:rPr>
      </w:pPr>
      <w:r w:rsidRPr="00521196">
        <w:rPr>
          <w:sz w:val="24"/>
          <w:szCs w:val="24"/>
        </w:rPr>
        <w:t xml:space="preserve">For that reason, we extend our former work (5) and introduce the GWAS Diversity </w:t>
      </w:r>
      <w:r w:rsidR="003548EE">
        <w:rPr>
          <w:sz w:val="24"/>
          <w:szCs w:val="24"/>
        </w:rPr>
        <w:t>M</w:t>
      </w:r>
      <w:r w:rsidR="00101A41" w:rsidRPr="00521196">
        <w:rPr>
          <w:sz w:val="24"/>
          <w:szCs w:val="24"/>
        </w:rPr>
        <w:t>onitor:</w:t>
      </w:r>
      <w:r w:rsidR="00896CAE" w:rsidRPr="00521196">
        <w:rPr>
          <w:sz w:val="24"/>
          <w:szCs w:val="24"/>
        </w:rPr>
        <w:t xml:space="preserve"> a</w:t>
      </w:r>
      <w:r w:rsidR="00CE66DD" w:rsidRPr="00521196">
        <w:rPr>
          <w:sz w:val="24"/>
          <w:szCs w:val="24"/>
        </w:rPr>
        <w:t xml:space="preserve"> five figure, five </w:t>
      </w:r>
      <w:proofErr w:type="gramStart"/>
      <w:r w:rsidR="00CE66DD" w:rsidRPr="00521196">
        <w:rPr>
          <w:sz w:val="24"/>
          <w:szCs w:val="24"/>
        </w:rPr>
        <w:t>widget</w:t>
      </w:r>
      <w:proofErr w:type="gramEnd"/>
      <w:r w:rsidR="00CE66DD" w:rsidRPr="00521196">
        <w:rPr>
          <w:sz w:val="24"/>
          <w:szCs w:val="24"/>
        </w:rPr>
        <w:t xml:space="preserve">, </w:t>
      </w:r>
      <w:r w:rsidR="00AD2DFE" w:rsidRPr="00521196">
        <w:rPr>
          <w:sz w:val="24"/>
          <w:szCs w:val="24"/>
        </w:rPr>
        <w:t>two tab</w:t>
      </w:r>
      <w:r w:rsidR="00896CAE" w:rsidRPr="00521196">
        <w:rPr>
          <w:sz w:val="24"/>
          <w:szCs w:val="24"/>
        </w:rPr>
        <w:t xml:space="preserve"> interactive dashboard with associated summary statistics </w:t>
      </w:r>
      <w:r w:rsidR="00C51652" w:rsidRPr="00521196">
        <w:rPr>
          <w:sz w:val="24"/>
          <w:szCs w:val="24"/>
        </w:rPr>
        <w:t>which utilizes the GWAS Catalog</w:t>
      </w:r>
      <w:r w:rsidR="00101A41" w:rsidRPr="00521196">
        <w:rPr>
          <w:sz w:val="24"/>
          <w:szCs w:val="24"/>
        </w:rPr>
        <w:t>. The back-end of the code</w:t>
      </w:r>
      <w:r w:rsidR="00C51652" w:rsidRPr="00521196">
        <w:rPr>
          <w:sz w:val="24"/>
          <w:szCs w:val="24"/>
        </w:rPr>
        <w:t xml:space="preserve"> </w:t>
      </w:r>
      <w:r w:rsidR="00101A41" w:rsidRPr="00521196">
        <w:rPr>
          <w:sz w:val="24"/>
          <w:szCs w:val="24"/>
        </w:rPr>
        <w:t>checks for new updates daily, refreshing the dashboard when new updates are made</w:t>
      </w:r>
      <w:r w:rsidR="00C51652" w:rsidRPr="00521196">
        <w:rPr>
          <w:sz w:val="24"/>
          <w:szCs w:val="24"/>
        </w:rPr>
        <w:t>.</w:t>
      </w:r>
      <w:r w:rsidR="00101A41" w:rsidRPr="00521196">
        <w:rPr>
          <w:sz w:val="24"/>
          <w:szCs w:val="24"/>
        </w:rPr>
        <w:t xml:space="preserve"> For more information, please see </w:t>
      </w:r>
      <w:hyperlink r:id="rId8" w:history="1">
        <w:r w:rsidR="00C51652" w:rsidRPr="00521196">
          <w:rPr>
            <w:rStyle w:val="Hyperlink"/>
            <w:color w:val="auto"/>
            <w:sz w:val="24"/>
            <w:szCs w:val="24"/>
            <w:u w:val="none"/>
          </w:rPr>
          <w:t>gwasdiversitymonitor.com</w:t>
        </w:r>
      </w:hyperlink>
      <w:r w:rsidR="00101A41" w:rsidRPr="00521196">
        <w:rPr>
          <w:sz w:val="24"/>
          <w:szCs w:val="24"/>
        </w:rPr>
        <w:t xml:space="preserve">. </w:t>
      </w:r>
    </w:p>
    <w:p w14:paraId="3353DEB2" w14:textId="33931427" w:rsidR="006645FE" w:rsidRDefault="006645FE" w:rsidP="006645FE">
      <w:pPr>
        <w:spacing w:line="276" w:lineRule="auto"/>
        <w:jc w:val="both"/>
        <w:rPr>
          <w:sz w:val="24"/>
          <w:szCs w:val="24"/>
        </w:rPr>
      </w:pPr>
    </w:p>
    <w:p w14:paraId="2C78EC91" w14:textId="164CE7B4" w:rsidR="006645FE" w:rsidRPr="00416D57" w:rsidRDefault="006645FE" w:rsidP="006645FE">
      <w:pPr>
        <w:spacing w:line="276" w:lineRule="auto"/>
        <w:jc w:val="both"/>
        <w:rPr>
          <w:b/>
          <w:sz w:val="24"/>
          <w:szCs w:val="24"/>
        </w:rPr>
      </w:pPr>
      <w:r w:rsidRPr="00416D57">
        <w:rPr>
          <w:b/>
          <w:sz w:val="24"/>
          <w:szCs w:val="24"/>
        </w:rPr>
        <w:t>Data availability</w:t>
      </w:r>
    </w:p>
    <w:p w14:paraId="35DD37C9" w14:textId="3542086D" w:rsidR="006645FE" w:rsidRDefault="00416D57" w:rsidP="006645F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GWAS Diversity Monitor uses data provided by the NHGRI-EBI Catalog </w:t>
      </w:r>
      <w:r w:rsidRPr="00416D57">
        <w:rPr>
          <w:sz w:val="24"/>
          <w:szCs w:val="24"/>
        </w:rPr>
        <w:t xml:space="preserve">(and their licensing information can be found </w:t>
      </w:r>
      <w:hyperlink r:id="rId9" w:history="1">
        <w:r w:rsidRPr="00416D57">
          <w:rPr>
            <w:rStyle w:val="Hyperlink"/>
            <w:sz w:val="24"/>
            <w:szCs w:val="24"/>
          </w:rPr>
          <w:t>here</w:t>
        </w:r>
      </w:hyperlink>
      <w:r w:rsidRPr="00416D57">
        <w:rPr>
          <w:sz w:val="24"/>
          <w:szCs w:val="24"/>
        </w:rPr>
        <w:t>).</w:t>
      </w:r>
    </w:p>
    <w:p w14:paraId="342AB412" w14:textId="654ADC25" w:rsidR="006645FE" w:rsidRDefault="006645FE" w:rsidP="006645FE">
      <w:pPr>
        <w:spacing w:line="276" w:lineRule="auto"/>
        <w:jc w:val="both"/>
        <w:rPr>
          <w:sz w:val="24"/>
          <w:szCs w:val="24"/>
        </w:rPr>
      </w:pPr>
    </w:p>
    <w:p w14:paraId="03EC6DD5" w14:textId="6A00B2A5" w:rsidR="006645FE" w:rsidRPr="00A568EB" w:rsidRDefault="006645FE" w:rsidP="006645FE">
      <w:pPr>
        <w:spacing w:line="276" w:lineRule="auto"/>
        <w:jc w:val="both"/>
        <w:rPr>
          <w:b/>
          <w:sz w:val="24"/>
          <w:szCs w:val="24"/>
        </w:rPr>
      </w:pPr>
      <w:r w:rsidRPr="00A568EB">
        <w:rPr>
          <w:b/>
          <w:sz w:val="24"/>
          <w:szCs w:val="24"/>
        </w:rPr>
        <w:t>Code availability</w:t>
      </w:r>
    </w:p>
    <w:p w14:paraId="3859C397" w14:textId="54599424" w:rsidR="00416D57" w:rsidRDefault="00416D57" w:rsidP="00CE66DD">
      <w:pPr>
        <w:spacing w:line="276" w:lineRule="auto"/>
        <w:jc w:val="both"/>
        <w:rPr>
          <w:sz w:val="24"/>
          <w:szCs w:val="24"/>
        </w:rPr>
      </w:pPr>
      <w:r w:rsidRPr="00416D57">
        <w:rPr>
          <w:sz w:val="24"/>
          <w:szCs w:val="24"/>
        </w:rPr>
        <w:t>The dashboard is written in Bokeh 1.2.0</w:t>
      </w:r>
      <w:r>
        <w:rPr>
          <w:sz w:val="24"/>
          <w:szCs w:val="24"/>
        </w:rPr>
        <w:t xml:space="preserve"> </w:t>
      </w:r>
      <w:r w:rsidRPr="00416D57">
        <w:rPr>
          <w:sz w:val="24"/>
          <w:szCs w:val="24"/>
        </w:rPr>
        <w:t>in Python</w:t>
      </w:r>
      <w:r>
        <w:rPr>
          <w:sz w:val="24"/>
          <w:szCs w:val="24"/>
        </w:rPr>
        <w:t xml:space="preserve"> and hosted on Heroku (a PaaS). </w:t>
      </w:r>
      <w:r w:rsidRPr="00416D57">
        <w:rPr>
          <w:sz w:val="24"/>
          <w:szCs w:val="24"/>
        </w:rPr>
        <w:t xml:space="preserve"> </w:t>
      </w:r>
    </w:p>
    <w:p w14:paraId="29C3A095" w14:textId="77777777" w:rsidR="00416D57" w:rsidRPr="00416D57" w:rsidRDefault="00416D57" w:rsidP="00416D57">
      <w:p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Source code is hosted on GitHub: </w:t>
      </w:r>
      <w:hyperlink r:id="rId10" w:history="1">
        <w:r w:rsidRPr="00416D57">
          <w:rPr>
            <w:rStyle w:val="Hyperlink"/>
            <w:sz w:val="24"/>
            <w:szCs w:val="24"/>
            <w:lang w:val="en-GB"/>
          </w:rPr>
          <w:t>https://github.com/crahal/GWASDiversityMonitor</w:t>
        </w:r>
      </w:hyperlink>
    </w:p>
    <w:p w14:paraId="7F2DBE82" w14:textId="581752A7" w:rsidR="00416D57" w:rsidRDefault="00416D57" w:rsidP="00CE66DD">
      <w:pPr>
        <w:spacing w:line="276" w:lineRule="auto"/>
        <w:jc w:val="both"/>
        <w:rPr>
          <w:sz w:val="24"/>
          <w:szCs w:val="24"/>
        </w:rPr>
      </w:pPr>
    </w:p>
    <w:p w14:paraId="299B934D" w14:textId="77777777" w:rsidR="00416D57" w:rsidRDefault="00416D57" w:rsidP="00CE66DD">
      <w:pPr>
        <w:spacing w:line="276" w:lineRule="auto"/>
        <w:jc w:val="both"/>
        <w:rPr>
          <w:sz w:val="24"/>
          <w:szCs w:val="24"/>
        </w:rPr>
      </w:pPr>
    </w:p>
    <w:p w14:paraId="4E1B34C8" w14:textId="0838EA7F" w:rsidR="002B4EAE" w:rsidRPr="00A568EB" w:rsidRDefault="006645FE" w:rsidP="00CE66DD">
      <w:pPr>
        <w:spacing w:line="276" w:lineRule="auto"/>
        <w:jc w:val="both"/>
        <w:rPr>
          <w:b/>
          <w:sz w:val="22"/>
          <w:szCs w:val="22"/>
        </w:rPr>
      </w:pPr>
      <w:r w:rsidRPr="00A568EB">
        <w:rPr>
          <w:b/>
          <w:sz w:val="22"/>
          <w:szCs w:val="22"/>
        </w:rPr>
        <w:t>References</w:t>
      </w:r>
    </w:p>
    <w:p w14:paraId="7FD3D066" w14:textId="63349968" w:rsidR="00C64CD6" w:rsidRDefault="00C64CD6" w:rsidP="00C64CD6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B4EAE">
        <w:rPr>
          <w:sz w:val="22"/>
          <w:szCs w:val="22"/>
        </w:rPr>
        <w:t>M</w:t>
      </w:r>
      <w:r w:rsidR="00AA61B6">
        <w:rPr>
          <w:sz w:val="22"/>
          <w:szCs w:val="22"/>
        </w:rPr>
        <w:t>C</w:t>
      </w:r>
      <w:r w:rsidRPr="002B4EAE">
        <w:rPr>
          <w:sz w:val="22"/>
          <w:szCs w:val="22"/>
        </w:rPr>
        <w:t xml:space="preserve"> Mills and C Rahal, “A </w:t>
      </w:r>
      <w:proofErr w:type="spellStart"/>
      <w:r w:rsidRPr="002B4EAE">
        <w:rPr>
          <w:sz w:val="22"/>
          <w:szCs w:val="22"/>
        </w:rPr>
        <w:t>scientometric</w:t>
      </w:r>
      <w:proofErr w:type="spellEnd"/>
      <w:r w:rsidRPr="002B4EAE">
        <w:rPr>
          <w:sz w:val="22"/>
          <w:szCs w:val="22"/>
        </w:rPr>
        <w:t xml:space="preserve"> review of genome-wide association studies”, </w:t>
      </w:r>
      <w:r w:rsidRPr="002B4EAE">
        <w:rPr>
          <w:i/>
          <w:sz w:val="22"/>
          <w:szCs w:val="22"/>
        </w:rPr>
        <w:t>Communications Biology</w:t>
      </w:r>
      <w:r w:rsidRPr="002B4EAE">
        <w:rPr>
          <w:sz w:val="22"/>
          <w:szCs w:val="22"/>
        </w:rPr>
        <w:t xml:space="preserve">, </w:t>
      </w:r>
      <w:r w:rsidRPr="002B4EAE">
        <w:rPr>
          <w:b/>
          <w:sz w:val="22"/>
          <w:szCs w:val="22"/>
        </w:rPr>
        <w:t>2</w:t>
      </w:r>
      <w:r w:rsidRPr="002B4EAE">
        <w:rPr>
          <w:sz w:val="22"/>
          <w:szCs w:val="22"/>
        </w:rPr>
        <w:t>, (2019)</w:t>
      </w:r>
    </w:p>
    <w:p w14:paraId="73EE2284" w14:textId="1DAB28FB" w:rsidR="00734B6A" w:rsidRDefault="00734B6A" w:rsidP="00C64CD6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Sirugo</w:t>
      </w:r>
      <w:proofErr w:type="spellEnd"/>
      <w:r>
        <w:rPr>
          <w:sz w:val="22"/>
          <w:szCs w:val="22"/>
        </w:rPr>
        <w:t xml:space="preserve">, G, Williams, SM &amp; SA </w:t>
      </w:r>
      <w:proofErr w:type="spellStart"/>
      <w:r>
        <w:rPr>
          <w:sz w:val="22"/>
          <w:szCs w:val="22"/>
        </w:rPr>
        <w:t>Tishkoff</w:t>
      </w:r>
      <w:proofErr w:type="spellEnd"/>
      <w:r>
        <w:rPr>
          <w:sz w:val="22"/>
          <w:szCs w:val="22"/>
        </w:rPr>
        <w:t>, “The missing diversity in human genetic studies,” Cell, 177, 26-31.</w:t>
      </w:r>
    </w:p>
    <w:p w14:paraId="7851A81F" w14:textId="5F14D16E" w:rsidR="00C64CD6" w:rsidRDefault="00AA61B6" w:rsidP="00CE66DD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 Martin et al., “Human demographic history impacts genetic risk predictions across diverse populations,” </w:t>
      </w:r>
      <w:r w:rsidRPr="00AA61B6">
        <w:rPr>
          <w:i/>
          <w:sz w:val="22"/>
          <w:szCs w:val="22"/>
        </w:rPr>
        <w:t xml:space="preserve">Am J Hum Genet. </w:t>
      </w:r>
      <w:r w:rsidRPr="00734B6A">
        <w:rPr>
          <w:b/>
          <w:sz w:val="22"/>
          <w:szCs w:val="22"/>
        </w:rPr>
        <w:t>100</w:t>
      </w:r>
      <w:r w:rsidR="00734B6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635-649, 2017. </w:t>
      </w:r>
    </w:p>
    <w:p w14:paraId="6AB49928" w14:textId="6715305B" w:rsidR="008A4DB0" w:rsidRDefault="008A4DB0" w:rsidP="00CE66DD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Tropf</w:t>
      </w:r>
      <w:proofErr w:type="spellEnd"/>
      <w:r>
        <w:rPr>
          <w:sz w:val="22"/>
          <w:szCs w:val="22"/>
        </w:rPr>
        <w:t xml:space="preserve"> et al. “Hidden heritability due to heterogeneity across seven populations,” </w:t>
      </w:r>
      <w:r w:rsidRPr="008A4DB0">
        <w:rPr>
          <w:i/>
          <w:sz w:val="22"/>
          <w:szCs w:val="22"/>
        </w:rPr>
        <w:t xml:space="preserve">Nat Hum </w:t>
      </w:r>
      <w:proofErr w:type="spellStart"/>
      <w:r w:rsidRPr="008A4DB0">
        <w:rPr>
          <w:i/>
          <w:sz w:val="22"/>
          <w:szCs w:val="22"/>
        </w:rPr>
        <w:t>Beh</w:t>
      </w:r>
      <w:proofErr w:type="spellEnd"/>
      <w:r>
        <w:rPr>
          <w:sz w:val="22"/>
          <w:szCs w:val="22"/>
        </w:rPr>
        <w:t xml:space="preserve">. </w:t>
      </w:r>
      <w:r w:rsidRPr="008A4DB0">
        <w:rPr>
          <w:b/>
          <w:sz w:val="22"/>
          <w:szCs w:val="22"/>
        </w:rPr>
        <w:t xml:space="preserve">1 </w:t>
      </w:r>
      <w:r>
        <w:rPr>
          <w:sz w:val="22"/>
          <w:szCs w:val="22"/>
        </w:rPr>
        <w:t xml:space="preserve">757-765 (2017). </w:t>
      </w:r>
    </w:p>
    <w:p w14:paraId="32ECF5AA" w14:textId="40C6AF3D" w:rsidR="00734B6A" w:rsidRPr="00734B6A" w:rsidRDefault="00734B6A" w:rsidP="00734B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Torkamani</w:t>
      </w:r>
      <w:proofErr w:type="spellEnd"/>
      <w:r>
        <w:rPr>
          <w:sz w:val="22"/>
          <w:szCs w:val="22"/>
        </w:rPr>
        <w:t xml:space="preserve">, A. et al., “The personal and clinical utility of polygenic risk scores”, </w:t>
      </w:r>
      <w:r w:rsidRPr="00734B6A">
        <w:rPr>
          <w:i/>
          <w:sz w:val="22"/>
          <w:szCs w:val="22"/>
        </w:rPr>
        <w:t>Nat Rev Gen</w:t>
      </w:r>
      <w:r>
        <w:rPr>
          <w:sz w:val="22"/>
          <w:szCs w:val="22"/>
        </w:rPr>
        <w:t xml:space="preserve">. </w:t>
      </w:r>
      <w:r w:rsidRPr="00734B6A">
        <w:rPr>
          <w:b/>
          <w:sz w:val="22"/>
          <w:szCs w:val="22"/>
        </w:rPr>
        <w:t>19</w:t>
      </w:r>
      <w:r>
        <w:rPr>
          <w:sz w:val="22"/>
          <w:szCs w:val="22"/>
        </w:rPr>
        <w:t xml:space="preserve">, 581-590 (2018). </w:t>
      </w:r>
    </w:p>
    <w:p w14:paraId="264D5572" w14:textId="2DCF5041" w:rsidR="00C64CD6" w:rsidRDefault="00AA61B6" w:rsidP="00CE66DD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 Martin et al., “Clinical use of current polygenic risk scores may exacerbate health disparities,” </w:t>
      </w:r>
      <w:r w:rsidRPr="00AA61B6">
        <w:rPr>
          <w:i/>
          <w:sz w:val="22"/>
          <w:szCs w:val="22"/>
        </w:rPr>
        <w:t>Nat Gen.</w:t>
      </w:r>
      <w:r>
        <w:rPr>
          <w:sz w:val="22"/>
          <w:szCs w:val="22"/>
        </w:rPr>
        <w:t xml:space="preserve">, </w:t>
      </w:r>
      <w:r w:rsidRPr="00734B6A">
        <w:rPr>
          <w:b/>
          <w:sz w:val="22"/>
          <w:szCs w:val="22"/>
        </w:rPr>
        <w:t>51</w:t>
      </w:r>
      <w:r>
        <w:rPr>
          <w:sz w:val="22"/>
          <w:szCs w:val="22"/>
        </w:rPr>
        <w:t xml:space="preserve">, 584-591, 2019. </w:t>
      </w:r>
    </w:p>
    <w:p w14:paraId="0546A236" w14:textId="62419BB4" w:rsidR="006D1BB2" w:rsidRDefault="006D1BB2" w:rsidP="00CE66DD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Curtis, D. “Polygenic risk score for schizophrenia is more strongly associated with ancestry than with schizophrenia,” </w:t>
      </w:r>
      <w:proofErr w:type="spellStart"/>
      <w:r w:rsidRPr="006D1BB2">
        <w:rPr>
          <w:i/>
          <w:sz w:val="22"/>
          <w:szCs w:val="22"/>
        </w:rPr>
        <w:t>Psychiatr</w:t>
      </w:r>
      <w:proofErr w:type="spellEnd"/>
      <w:r w:rsidRPr="006D1BB2">
        <w:rPr>
          <w:i/>
          <w:sz w:val="22"/>
          <w:szCs w:val="22"/>
        </w:rPr>
        <w:t>. Genet</w:t>
      </w:r>
      <w:r>
        <w:rPr>
          <w:sz w:val="22"/>
          <w:szCs w:val="22"/>
        </w:rPr>
        <w:t xml:space="preserve">. </w:t>
      </w:r>
      <w:r w:rsidRPr="006D1BB2">
        <w:rPr>
          <w:b/>
          <w:sz w:val="22"/>
          <w:szCs w:val="22"/>
        </w:rPr>
        <w:t>28</w:t>
      </w:r>
      <w:r>
        <w:rPr>
          <w:sz w:val="22"/>
          <w:szCs w:val="22"/>
        </w:rPr>
        <w:t xml:space="preserve">, 85-89. </w:t>
      </w:r>
    </w:p>
    <w:p w14:paraId="09FF3DCF" w14:textId="32A90EA2" w:rsidR="006A3790" w:rsidRDefault="006A3790" w:rsidP="00CE66DD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Luzzatto</w:t>
      </w:r>
      <w:proofErr w:type="spellEnd"/>
      <w:r>
        <w:rPr>
          <w:sz w:val="22"/>
          <w:szCs w:val="22"/>
        </w:rPr>
        <w:t xml:space="preserve">, L. “The rise and fall of the antimalarial </w:t>
      </w:r>
      <w:proofErr w:type="spellStart"/>
      <w:r>
        <w:rPr>
          <w:sz w:val="22"/>
          <w:szCs w:val="22"/>
        </w:rPr>
        <w:t>Lapdap</w:t>
      </w:r>
      <w:proofErr w:type="spellEnd"/>
      <w:r>
        <w:rPr>
          <w:sz w:val="22"/>
          <w:szCs w:val="22"/>
        </w:rPr>
        <w:t xml:space="preserve">: a lesson in pharmacogenetics,” </w:t>
      </w:r>
      <w:r w:rsidRPr="006A3790">
        <w:rPr>
          <w:i/>
          <w:sz w:val="22"/>
          <w:szCs w:val="22"/>
        </w:rPr>
        <w:t>Lancet</w:t>
      </w:r>
      <w:r>
        <w:rPr>
          <w:sz w:val="22"/>
          <w:szCs w:val="22"/>
        </w:rPr>
        <w:t xml:space="preserve"> </w:t>
      </w:r>
      <w:r w:rsidRPr="006A3790">
        <w:rPr>
          <w:b/>
          <w:sz w:val="22"/>
          <w:szCs w:val="22"/>
        </w:rPr>
        <w:t>376</w:t>
      </w:r>
      <w:r>
        <w:rPr>
          <w:sz w:val="22"/>
          <w:szCs w:val="22"/>
        </w:rPr>
        <w:t xml:space="preserve">, 739-741. </w:t>
      </w:r>
    </w:p>
    <w:p w14:paraId="4F4A1D31" w14:textId="4FFB3EC2" w:rsidR="00734B6A" w:rsidRPr="007E644B" w:rsidRDefault="007E644B" w:rsidP="00734B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Stewart, C. and MS Pepper, “Cystic fibrosis </w:t>
      </w:r>
      <w:r w:rsidR="00232A4C">
        <w:rPr>
          <w:sz w:val="22"/>
          <w:szCs w:val="22"/>
        </w:rPr>
        <w:t xml:space="preserve">in the African Diaspora,” </w:t>
      </w:r>
      <w:r w:rsidR="00232A4C" w:rsidRPr="00232A4C">
        <w:rPr>
          <w:i/>
          <w:sz w:val="22"/>
          <w:szCs w:val="22"/>
        </w:rPr>
        <w:t xml:space="preserve">Ann. Am. </w:t>
      </w:r>
      <w:proofErr w:type="spellStart"/>
      <w:r w:rsidR="00232A4C" w:rsidRPr="00232A4C">
        <w:rPr>
          <w:i/>
          <w:sz w:val="22"/>
          <w:szCs w:val="22"/>
        </w:rPr>
        <w:t>Thorac</w:t>
      </w:r>
      <w:proofErr w:type="spellEnd"/>
      <w:r w:rsidR="00232A4C" w:rsidRPr="00232A4C">
        <w:rPr>
          <w:i/>
          <w:sz w:val="22"/>
          <w:szCs w:val="22"/>
        </w:rPr>
        <w:t>. Soc</w:t>
      </w:r>
      <w:r w:rsidR="00232A4C">
        <w:rPr>
          <w:sz w:val="22"/>
          <w:szCs w:val="22"/>
        </w:rPr>
        <w:t xml:space="preserve">. </w:t>
      </w:r>
      <w:r w:rsidR="00232A4C" w:rsidRPr="00232A4C">
        <w:rPr>
          <w:b/>
          <w:sz w:val="22"/>
          <w:szCs w:val="22"/>
        </w:rPr>
        <w:t>14</w:t>
      </w:r>
      <w:r w:rsidR="00232A4C">
        <w:rPr>
          <w:sz w:val="22"/>
          <w:szCs w:val="22"/>
        </w:rPr>
        <w:t xml:space="preserve">, 1-7. </w:t>
      </w:r>
    </w:p>
    <w:p w14:paraId="3B381DB3" w14:textId="567C2743" w:rsidR="006645FE" w:rsidRDefault="006645FE" w:rsidP="006645FE">
      <w:pPr>
        <w:spacing w:line="276" w:lineRule="auto"/>
        <w:jc w:val="both"/>
        <w:rPr>
          <w:sz w:val="22"/>
          <w:szCs w:val="22"/>
        </w:rPr>
      </w:pPr>
    </w:p>
    <w:p w14:paraId="73FB280D" w14:textId="4C3F47A0" w:rsidR="006645FE" w:rsidRPr="00A568EB" w:rsidRDefault="006645FE" w:rsidP="006645FE">
      <w:pPr>
        <w:spacing w:line="276" w:lineRule="auto"/>
        <w:jc w:val="both"/>
        <w:rPr>
          <w:b/>
          <w:sz w:val="22"/>
          <w:szCs w:val="22"/>
        </w:rPr>
      </w:pPr>
      <w:r w:rsidRPr="00A568EB">
        <w:rPr>
          <w:b/>
          <w:sz w:val="22"/>
          <w:szCs w:val="22"/>
        </w:rPr>
        <w:t>Acknowledgements</w:t>
      </w:r>
    </w:p>
    <w:p w14:paraId="32ABAEB3" w14:textId="0B9519C6" w:rsidR="006645FE" w:rsidRDefault="00416D57" w:rsidP="006645F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 is supported by a British Academy Postdoctoral Fellowship. MCM is supported by the ERC grants </w:t>
      </w:r>
      <w:r w:rsidRPr="00416D57">
        <w:rPr>
          <w:sz w:val="22"/>
          <w:szCs w:val="22"/>
        </w:rPr>
        <w:t xml:space="preserve">615603 and 835079 and </w:t>
      </w:r>
      <w:r>
        <w:rPr>
          <w:sz w:val="22"/>
          <w:szCs w:val="22"/>
        </w:rPr>
        <w:t xml:space="preserve">both by </w:t>
      </w:r>
      <w:r w:rsidRPr="00416D57">
        <w:rPr>
          <w:sz w:val="22"/>
          <w:szCs w:val="22"/>
        </w:rPr>
        <w:t xml:space="preserve">The </w:t>
      </w:r>
      <w:proofErr w:type="spellStart"/>
      <w:r w:rsidRPr="00416D57">
        <w:rPr>
          <w:sz w:val="22"/>
          <w:szCs w:val="22"/>
        </w:rPr>
        <w:t>Leverhulme</w:t>
      </w:r>
      <w:proofErr w:type="spellEnd"/>
      <w:r w:rsidRPr="00416D57">
        <w:rPr>
          <w:sz w:val="22"/>
          <w:szCs w:val="22"/>
        </w:rPr>
        <w:t xml:space="preserve"> Trust, </w:t>
      </w:r>
      <w:proofErr w:type="spellStart"/>
      <w:r w:rsidRPr="00416D57">
        <w:rPr>
          <w:sz w:val="22"/>
          <w:szCs w:val="22"/>
        </w:rPr>
        <w:t>Leverhulme</w:t>
      </w:r>
      <w:proofErr w:type="spellEnd"/>
      <w:r w:rsidRPr="00416D57">
        <w:rPr>
          <w:sz w:val="22"/>
          <w:szCs w:val="22"/>
        </w:rPr>
        <w:t xml:space="preserve"> Centre for Demographic Science.</w:t>
      </w:r>
      <w:r>
        <w:rPr>
          <w:sz w:val="22"/>
          <w:szCs w:val="22"/>
        </w:rPr>
        <w:t xml:space="preserve"> </w:t>
      </w:r>
    </w:p>
    <w:p w14:paraId="3982DCF0" w14:textId="77777777" w:rsidR="00A568EB" w:rsidRDefault="00A568EB" w:rsidP="006645FE">
      <w:pPr>
        <w:spacing w:line="276" w:lineRule="auto"/>
        <w:jc w:val="both"/>
        <w:rPr>
          <w:sz w:val="22"/>
          <w:szCs w:val="22"/>
        </w:rPr>
      </w:pPr>
    </w:p>
    <w:p w14:paraId="35FC94D9" w14:textId="167002D0" w:rsidR="006645FE" w:rsidRPr="006645FE" w:rsidRDefault="006645FE" w:rsidP="006645FE">
      <w:pPr>
        <w:spacing w:line="276" w:lineRule="auto"/>
        <w:jc w:val="both"/>
        <w:rPr>
          <w:b/>
          <w:sz w:val="22"/>
          <w:szCs w:val="22"/>
        </w:rPr>
      </w:pPr>
      <w:r w:rsidRPr="006645FE">
        <w:rPr>
          <w:b/>
          <w:sz w:val="22"/>
          <w:szCs w:val="22"/>
        </w:rPr>
        <w:t>Author information</w:t>
      </w:r>
    </w:p>
    <w:p w14:paraId="4EBF1CD6" w14:textId="411D93CA" w:rsidR="006645FE" w:rsidRDefault="006645FE" w:rsidP="006645FE">
      <w:pPr>
        <w:pStyle w:val="Authors"/>
        <w:spacing w:before="0" w:after="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authors jointly designed the study, </w:t>
      </w:r>
      <w:r w:rsidR="004E675A">
        <w:rPr>
          <w:sz w:val="22"/>
          <w:szCs w:val="22"/>
        </w:rPr>
        <w:t>CR</w:t>
      </w:r>
      <w:r>
        <w:rPr>
          <w:sz w:val="22"/>
          <w:szCs w:val="22"/>
        </w:rPr>
        <w:t xml:space="preserve"> built the on-line dashboard</w:t>
      </w:r>
      <w:bookmarkStart w:id="1" w:name="_GoBack"/>
      <w:bookmarkEnd w:id="1"/>
      <w:r w:rsidR="004E675A">
        <w:rPr>
          <w:sz w:val="22"/>
          <w:szCs w:val="22"/>
        </w:rPr>
        <w:t xml:space="preserve">. </w:t>
      </w:r>
    </w:p>
    <w:p w14:paraId="2DB8830F" w14:textId="1A88A760" w:rsidR="006645FE" w:rsidRDefault="006645FE" w:rsidP="006645FE">
      <w:pPr>
        <w:pStyle w:val="Authors"/>
        <w:spacing w:before="0" w:after="0" w:line="276" w:lineRule="auto"/>
        <w:jc w:val="left"/>
        <w:rPr>
          <w:sz w:val="22"/>
          <w:szCs w:val="22"/>
        </w:rPr>
      </w:pPr>
    </w:p>
    <w:p w14:paraId="0789C7F3" w14:textId="1DC0ED29" w:rsidR="006645FE" w:rsidRPr="006645FE" w:rsidRDefault="006645FE" w:rsidP="006645FE">
      <w:pPr>
        <w:pStyle w:val="Authors"/>
        <w:spacing w:before="0" w:after="0" w:line="276" w:lineRule="auto"/>
        <w:jc w:val="left"/>
        <w:rPr>
          <w:b/>
          <w:sz w:val="22"/>
          <w:szCs w:val="22"/>
        </w:rPr>
      </w:pPr>
      <w:proofErr w:type="spellStart"/>
      <w:r w:rsidRPr="006645FE">
        <w:rPr>
          <w:b/>
          <w:sz w:val="22"/>
          <w:szCs w:val="22"/>
        </w:rPr>
        <w:t>Affilations</w:t>
      </w:r>
      <w:proofErr w:type="spellEnd"/>
    </w:p>
    <w:p w14:paraId="494D7446" w14:textId="60E5AFD2" w:rsidR="006645FE" w:rsidRPr="0075024F" w:rsidRDefault="006645FE" w:rsidP="006645FE">
      <w:pPr>
        <w:pStyle w:val="Authors"/>
        <w:spacing w:before="0" w:after="0" w:line="276" w:lineRule="auto"/>
        <w:jc w:val="left"/>
        <w:rPr>
          <w:sz w:val="22"/>
          <w:szCs w:val="22"/>
        </w:rPr>
      </w:pPr>
      <w:proofErr w:type="spellStart"/>
      <w:r w:rsidRPr="0075024F">
        <w:rPr>
          <w:sz w:val="22"/>
          <w:szCs w:val="22"/>
        </w:rPr>
        <w:t>Leverhulme</w:t>
      </w:r>
      <w:proofErr w:type="spellEnd"/>
      <w:r w:rsidRPr="0075024F">
        <w:rPr>
          <w:sz w:val="22"/>
          <w:szCs w:val="22"/>
        </w:rPr>
        <w:t xml:space="preserve"> Centre for Demographic Science</w:t>
      </w:r>
      <w:r>
        <w:rPr>
          <w:sz w:val="22"/>
          <w:szCs w:val="22"/>
        </w:rPr>
        <w:t xml:space="preserve"> and </w:t>
      </w:r>
      <w:r w:rsidRPr="0075024F">
        <w:rPr>
          <w:sz w:val="22"/>
          <w:szCs w:val="22"/>
        </w:rPr>
        <w:t>Nuffield College,</w:t>
      </w:r>
      <w:r>
        <w:rPr>
          <w:sz w:val="22"/>
          <w:szCs w:val="22"/>
        </w:rPr>
        <w:t xml:space="preserve"> </w:t>
      </w:r>
      <w:r w:rsidRPr="0075024F">
        <w:rPr>
          <w:sz w:val="22"/>
          <w:szCs w:val="22"/>
        </w:rPr>
        <w:t>University of Oxford</w:t>
      </w:r>
    </w:p>
    <w:p w14:paraId="5A7B7F37" w14:textId="3BA0216A" w:rsidR="00A568EB" w:rsidRPr="00A568EB" w:rsidRDefault="00A568EB" w:rsidP="00A568EB">
      <w:pPr>
        <w:pStyle w:val="Authors"/>
        <w:spacing w:after="0" w:line="360" w:lineRule="auto"/>
        <w:jc w:val="left"/>
        <w:rPr>
          <w:b/>
          <w:sz w:val="23"/>
          <w:szCs w:val="23"/>
        </w:rPr>
      </w:pPr>
      <w:r w:rsidRPr="00A568EB">
        <w:rPr>
          <w:b/>
          <w:sz w:val="23"/>
          <w:szCs w:val="23"/>
        </w:rPr>
        <w:t>Corresponding authors</w:t>
      </w:r>
    </w:p>
    <w:p w14:paraId="622890F2" w14:textId="75818989" w:rsidR="006645FE" w:rsidRPr="00A568EB" w:rsidRDefault="00A568EB" w:rsidP="00A568EB">
      <w:pPr>
        <w:pStyle w:val="Authors"/>
        <w:spacing w:after="0" w:line="36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Correspondence to Melinda C. Mills, </w:t>
      </w:r>
      <w:r w:rsidR="006645FE" w:rsidRPr="0075024F">
        <w:rPr>
          <w:sz w:val="23"/>
          <w:szCs w:val="23"/>
        </w:rPr>
        <w:t>Nuffield College, New Road, Oxford, OX1 1NF, UK Email: melinda.mills@nuffield.ox.ac.uk</w:t>
      </w:r>
    </w:p>
    <w:p w14:paraId="4EF3E0CE" w14:textId="7D041F31" w:rsidR="006645FE" w:rsidRDefault="006645FE" w:rsidP="006645FE">
      <w:pPr>
        <w:spacing w:line="276" w:lineRule="auto"/>
        <w:jc w:val="both"/>
        <w:rPr>
          <w:sz w:val="22"/>
          <w:szCs w:val="22"/>
        </w:rPr>
      </w:pPr>
    </w:p>
    <w:p w14:paraId="222D8B45" w14:textId="57803CC9" w:rsidR="006645FE" w:rsidRPr="00A568EB" w:rsidRDefault="006645FE" w:rsidP="006645FE">
      <w:pPr>
        <w:spacing w:line="276" w:lineRule="auto"/>
        <w:jc w:val="both"/>
        <w:rPr>
          <w:b/>
          <w:sz w:val="22"/>
          <w:szCs w:val="22"/>
        </w:rPr>
      </w:pPr>
      <w:r w:rsidRPr="00A568EB">
        <w:rPr>
          <w:b/>
          <w:sz w:val="22"/>
          <w:szCs w:val="22"/>
        </w:rPr>
        <w:t>Ethics declarations</w:t>
      </w:r>
    </w:p>
    <w:p w14:paraId="6DA8BF50" w14:textId="0586555E" w:rsidR="006645FE" w:rsidRDefault="006645FE" w:rsidP="006645F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authors declare no competing interests. </w:t>
      </w:r>
    </w:p>
    <w:p w14:paraId="5AD3C510" w14:textId="01FE886D" w:rsidR="00A568EB" w:rsidRDefault="00A568EB" w:rsidP="006645FE">
      <w:pPr>
        <w:spacing w:line="276" w:lineRule="auto"/>
        <w:jc w:val="both"/>
        <w:rPr>
          <w:sz w:val="22"/>
          <w:szCs w:val="22"/>
        </w:rPr>
      </w:pPr>
    </w:p>
    <w:p w14:paraId="2C9558B0" w14:textId="78781AB2" w:rsidR="006645FE" w:rsidRDefault="006645FE" w:rsidP="006645FE">
      <w:pPr>
        <w:spacing w:line="276" w:lineRule="auto"/>
        <w:jc w:val="both"/>
        <w:rPr>
          <w:sz w:val="22"/>
          <w:szCs w:val="22"/>
        </w:rPr>
      </w:pPr>
    </w:p>
    <w:p w14:paraId="32A518CC" w14:textId="29309925" w:rsidR="006645FE" w:rsidRPr="006645FE" w:rsidRDefault="006645FE" w:rsidP="006645FE">
      <w:pPr>
        <w:spacing w:line="276" w:lineRule="auto"/>
        <w:jc w:val="both"/>
        <w:rPr>
          <w:sz w:val="22"/>
          <w:szCs w:val="22"/>
        </w:rPr>
      </w:pPr>
    </w:p>
    <w:sectPr w:rsidR="006645FE" w:rsidRPr="006645FE" w:rsidSect="00CE66D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0AE6" w14:textId="77777777" w:rsidR="00CA079E" w:rsidRDefault="00CA079E" w:rsidP="00441C3D">
      <w:r>
        <w:separator/>
      </w:r>
    </w:p>
  </w:endnote>
  <w:endnote w:type="continuationSeparator" w:id="0">
    <w:p w14:paraId="47325117" w14:textId="77777777" w:rsidR="00CA079E" w:rsidRDefault="00CA079E" w:rsidP="0044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DC4F5" w14:textId="77777777" w:rsidR="00CA079E" w:rsidRDefault="00CA079E" w:rsidP="00441C3D">
      <w:r>
        <w:separator/>
      </w:r>
    </w:p>
  </w:footnote>
  <w:footnote w:type="continuationSeparator" w:id="0">
    <w:p w14:paraId="2452E9D5" w14:textId="77777777" w:rsidR="00CA079E" w:rsidRDefault="00CA079E" w:rsidP="00441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5E54"/>
    <w:multiLevelType w:val="hybridMultilevel"/>
    <w:tmpl w:val="04DA9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E6"/>
    <w:rsid w:val="0003589C"/>
    <w:rsid w:val="000761E5"/>
    <w:rsid w:val="000F5997"/>
    <w:rsid w:val="00101A41"/>
    <w:rsid w:val="001B7226"/>
    <w:rsid w:val="001F5FC5"/>
    <w:rsid w:val="00217B0D"/>
    <w:rsid w:val="002206ED"/>
    <w:rsid w:val="00232A4C"/>
    <w:rsid w:val="002B4EAE"/>
    <w:rsid w:val="00343DB3"/>
    <w:rsid w:val="003548EE"/>
    <w:rsid w:val="00416D57"/>
    <w:rsid w:val="00441C3D"/>
    <w:rsid w:val="00496F37"/>
    <w:rsid w:val="004C0DE2"/>
    <w:rsid w:val="004C2B63"/>
    <w:rsid w:val="004C71ED"/>
    <w:rsid w:val="004E675A"/>
    <w:rsid w:val="00521196"/>
    <w:rsid w:val="00522772"/>
    <w:rsid w:val="005644C9"/>
    <w:rsid w:val="005E2027"/>
    <w:rsid w:val="00644DFB"/>
    <w:rsid w:val="006645FE"/>
    <w:rsid w:val="00692373"/>
    <w:rsid w:val="0069547B"/>
    <w:rsid w:val="006A3790"/>
    <w:rsid w:val="006D1BB2"/>
    <w:rsid w:val="00734B6A"/>
    <w:rsid w:val="0075024F"/>
    <w:rsid w:val="00797081"/>
    <w:rsid w:val="007E644B"/>
    <w:rsid w:val="0082401E"/>
    <w:rsid w:val="00896CAE"/>
    <w:rsid w:val="008A4DB0"/>
    <w:rsid w:val="008C5DAD"/>
    <w:rsid w:val="008F43A2"/>
    <w:rsid w:val="009034CC"/>
    <w:rsid w:val="0091406C"/>
    <w:rsid w:val="00982719"/>
    <w:rsid w:val="00984B83"/>
    <w:rsid w:val="00A31741"/>
    <w:rsid w:val="00A568EB"/>
    <w:rsid w:val="00A742E6"/>
    <w:rsid w:val="00AA61B6"/>
    <w:rsid w:val="00AC7754"/>
    <w:rsid w:val="00AD2DFE"/>
    <w:rsid w:val="00B04BB8"/>
    <w:rsid w:val="00B53BFF"/>
    <w:rsid w:val="00BE7CCF"/>
    <w:rsid w:val="00C51652"/>
    <w:rsid w:val="00C64CD6"/>
    <w:rsid w:val="00CA079E"/>
    <w:rsid w:val="00CC6A25"/>
    <w:rsid w:val="00CE66DD"/>
    <w:rsid w:val="00D661AA"/>
    <w:rsid w:val="00DC5ED6"/>
    <w:rsid w:val="00E23B60"/>
    <w:rsid w:val="00E71688"/>
    <w:rsid w:val="00E95A3F"/>
    <w:rsid w:val="00F64B2F"/>
    <w:rsid w:val="00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CAC7"/>
  <w15:chartTrackingRefBased/>
  <w15:docId w15:val="{EAAF8635-A3F0-4282-BA8A-F4721FE0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2E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Summary">
    <w:name w:val="Abstract/Summary"/>
    <w:basedOn w:val="Normal"/>
    <w:rsid w:val="00A742E6"/>
    <w:pPr>
      <w:spacing w:before="120"/>
    </w:pPr>
    <w:rPr>
      <w:rFonts w:eastAsia="Times New Roman"/>
      <w:sz w:val="24"/>
      <w:szCs w:val="24"/>
    </w:rPr>
  </w:style>
  <w:style w:type="paragraph" w:customStyle="1" w:styleId="Authors">
    <w:name w:val="Authors"/>
    <w:basedOn w:val="Normal"/>
    <w:rsid w:val="00A742E6"/>
    <w:pPr>
      <w:spacing w:before="120" w:after="360"/>
      <w:jc w:val="center"/>
    </w:pPr>
    <w:rPr>
      <w:rFonts w:eastAsia="Times New Roman"/>
      <w:sz w:val="24"/>
      <w:szCs w:val="24"/>
    </w:rPr>
  </w:style>
  <w:style w:type="paragraph" w:customStyle="1" w:styleId="Head">
    <w:name w:val="Head"/>
    <w:basedOn w:val="Normal"/>
    <w:rsid w:val="00A742E6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C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C3D"/>
    <w:rPr>
      <w:rFonts w:ascii="Times New Roman" w:eastAsia="Calibri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1C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C3D"/>
    <w:rPr>
      <w:rFonts w:ascii="Times New Roman" w:eastAsia="Calibri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5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F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FC5"/>
    <w:rPr>
      <w:rFonts w:ascii="Times New Roman" w:eastAsia="Calibri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FC5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F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C5"/>
    <w:rPr>
      <w:rFonts w:ascii="Segoe UI" w:eastAsia="Calibr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E6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asdiversitymonito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rahal/GWASDiversityMon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about/terms-of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D9D7-128F-FE47-A666-A15E434A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Microsoft Office User</cp:lastModifiedBy>
  <cp:revision>20</cp:revision>
  <dcterms:created xsi:type="dcterms:W3CDTF">2019-09-05T14:12:00Z</dcterms:created>
  <dcterms:modified xsi:type="dcterms:W3CDTF">2019-09-05T17:22:00Z</dcterms:modified>
</cp:coreProperties>
</file>