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2E6" w:rsidRPr="00A742E6" w:rsidRDefault="00A742E6" w:rsidP="00A742E6">
      <w:pPr>
        <w:pStyle w:val="Head"/>
        <w:spacing w:line="480" w:lineRule="auto"/>
        <w:rPr>
          <w:bCs w:val="0"/>
          <w:sz w:val="36"/>
          <w:szCs w:val="36"/>
        </w:rPr>
      </w:pPr>
      <w:r w:rsidRPr="00A742E6">
        <w:rPr>
          <w:sz w:val="36"/>
          <w:szCs w:val="36"/>
        </w:rPr>
        <w:t>Introducing the GWAS Diversity Monitor</w:t>
      </w:r>
    </w:p>
    <w:p w:rsidR="00A742E6" w:rsidRPr="00A742E6" w:rsidRDefault="00A742E6" w:rsidP="00522772">
      <w:pPr>
        <w:pStyle w:val="Authors"/>
        <w:spacing w:before="0" w:after="0" w:line="360" w:lineRule="auto"/>
        <w:rPr>
          <w:sz w:val="25"/>
          <w:szCs w:val="25"/>
        </w:rPr>
      </w:pPr>
      <w:bookmarkStart w:id="0" w:name="_Hlk529783090"/>
      <w:r w:rsidRPr="00A742E6">
        <w:rPr>
          <w:sz w:val="25"/>
          <w:szCs w:val="25"/>
        </w:rPr>
        <w:t>Melinda C. Mills</w:t>
      </w:r>
      <w:r w:rsidRPr="00A742E6">
        <w:rPr>
          <w:sz w:val="25"/>
          <w:szCs w:val="25"/>
          <w:vertAlign w:val="superscript"/>
        </w:rPr>
        <w:t>*</w:t>
      </w:r>
      <w:r w:rsidRPr="00A742E6">
        <w:rPr>
          <w:sz w:val="25"/>
          <w:szCs w:val="25"/>
        </w:rPr>
        <w:t xml:space="preserve"> (ORCID: 0000-0003-1704-0001) </w:t>
      </w:r>
    </w:p>
    <w:p w:rsidR="00A742E6" w:rsidRPr="00A742E6" w:rsidRDefault="00A742E6" w:rsidP="00522772">
      <w:pPr>
        <w:pStyle w:val="Authors"/>
        <w:spacing w:before="0" w:after="0" w:line="360" w:lineRule="auto"/>
        <w:rPr>
          <w:sz w:val="25"/>
          <w:szCs w:val="25"/>
        </w:rPr>
      </w:pPr>
      <w:r w:rsidRPr="00A742E6">
        <w:rPr>
          <w:sz w:val="25"/>
          <w:szCs w:val="25"/>
        </w:rPr>
        <w:t>Charles Rahal (ORCID: 0000-0002-1764-2697)</w:t>
      </w:r>
    </w:p>
    <w:p w:rsidR="00A742E6" w:rsidRPr="00A742E6" w:rsidRDefault="00A742E6" w:rsidP="00A742E6">
      <w:pPr>
        <w:pStyle w:val="Authors"/>
        <w:spacing w:before="0" w:after="0" w:line="276" w:lineRule="auto"/>
        <w:rPr>
          <w:sz w:val="25"/>
          <w:szCs w:val="25"/>
        </w:rPr>
      </w:pPr>
    </w:p>
    <w:p w:rsidR="00A742E6" w:rsidRPr="0075024F" w:rsidRDefault="00A742E6" w:rsidP="00A742E6">
      <w:pPr>
        <w:pStyle w:val="Authors"/>
        <w:spacing w:before="0" w:after="0" w:line="276" w:lineRule="auto"/>
        <w:rPr>
          <w:sz w:val="22"/>
          <w:szCs w:val="22"/>
        </w:rPr>
      </w:pPr>
      <w:r w:rsidRPr="0075024F">
        <w:rPr>
          <w:sz w:val="22"/>
          <w:szCs w:val="22"/>
        </w:rPr>
        <w:t>Leverhulme Centre for Demographic Science and Nuffield College,</w:t>
      </w:r>
      <w:r w:rsidR="0075024F">
        <w:rPr>
          <w:sz w:val="22"/>
          <w:szCs w:val="22"/>
        </w:rPr>
        <w:t xml:space="preserve"> </w:t>
      </w:r>
      <w:r w:rsidRPr="0075024F">
        <w:rPr>
          <w:sz w:val="22"/>
          <w:szCs w:val="22"/>
        </w:rPr>
        <w:t>University of Oxford</w:t>
      </w:r>
    </w:p>
    <w:p w:rsidR="0069547B" w:rsidRDefault="0069547B" w:rsidP="0069547B">
      <w:pPr>
        <w:pStyle w:val="Authors"/>
        <w:spacing w:before="0" w:after="0" w:line="276" w:lineRule="auto"/>
        <w:jc w:val="left"/>
        <w:rPr>
          <w:sz w:val="25"/>
          <w:szCs w:val="25"/>
        </w:rPr>
      </w:pPr>
    </w:p>
    <w:p w:rsidR="0069547B" w:rsidRPr="0075024F" w:rsidRDefault="0069547B" w:rsidP="0075024F">
      <w:pPr>
        <w:pStyle w:val="Authors"/>
        <w:spacing w:before="0" w:after="0" w:line="276" w:lineRule="auto"/>
        <w:rPr>
          <w:sz w:val="22"/>
          <w:szCs w:val="22"/>
        </w:rPr>
      </w:pPr>
      <w:r w:rsidRPr="0075024F">
        <w:rPr>
          <w:sz w:val="22"/>
          <w:szCs w:val="22"/>
        </w:rPr>
        <w:t>Submitted as a ‘Letter’ to Science</w:t>
      </w:r>
      <w:r w:rsidR="0075024F" w:rsidRPr="0075024F">
        <w:rPr>
          <w:sz w:val="22"/>
          <w:szCs w:val="22"/>
        </w:rPr>
        <w:t>, 2</w:t>
      </w:r>
      <w:r w:rsidR="00B04BB8">
        <w:rPr>
          <w:sz w:val="22"/>
          <w:szCs w:val="22"/>
        </w:rPr>
        <w:t>2nd</w:t>
      </w:r>
      <w:r w:rsidR="0075024F" w:rsidRPr="0075024F">
        <w:rPr>
          <w:sz w:val="22"/>
          <w:szCs w:val="22"/>
        </w:rPr>
        <w:t xml:space="preserve"> </w:t>
      </w:r>
      <w:proofErr w:type="gramStart"/>
      <w:r w:rsidR="0075024F" w:rsidRPr="0075024F">
        <w:rPr>
          <w:sz w:val="22"/>
          <w:szCs w:val="22"/>
        </w:rPr>
        <w:t>August</w:t>
      </w:r>
      <w:r w:rsidR="00B04BB8">
        <w:rPr>
          <w:sz w:val="22"/>
          <w:szCs w:val="22"/>
        </w:rPr>
        <w:t>,</w:t>
      </w:r>
      <w:proofErr w:type="gramEnd"/>
      <w:r w:rsidR="0075024F" w:rsidRPr="0075024F">
        <w:rPr>
          <w:sz w:val="22"/>
          <w:szCs w:val="22"/>
        </w:rPr>
        <w:t xml:space="preserve"> 2019</w:t>
      </w:r>
    </w:p>
    <w:bookmarkEnd w:id="0"/>
    <w:p w:rsidR="00A742E6" w:rsidRDefault="00A742E6" w:rsidP="00A742E6">
      <w:pPr>
        <w:pStyle w:val="Authors"/>
        <w:spacing w:before="0" w:after="0"/>
        <w:rPr>
          <w:sz w:val="28"/>
          <w:szCs w:val="28"/>
        </w:rPr>
      </w:pPr>
    </w:p>
    <w:p w:rsidR="00A742E6" w:rsidRPr="0075024F" w:rsidRDefault="00A742E6" w:rsidP="00A742E6">
      <w:pPr>
        <w:pStyle w:val="Authors"/>
        <w:spacing w:after="0" w:line="360" w:lineRule="auto"/>
        <w:ind w:left="113"/>
        <w:rPr>
          <w:sz w:val="23"/>
          <w:szCs w:val="23"/>
        </w:rPr>
      </w:pPr>
      <w:r w:rsidRPr="0075024F">
        <w:rPr>
          <w:sz w:val="23"/>
          <w:szCs w:val="23"/>
        </w:rPr>
        <w:t xml:space="preserve">*Correspondence: Melinda C. Mills, Nuffield College, New Road, Oxford, OX1 1NF, UK Email: melinda.mills@nuffield.ox.ac.uk. Tel: </w:t>
      </w:r>
      <w:r w:rsidRPr="0075024F">
        <w:rPr>
          <w:color w:val="212322"/>
          <w:sz w:val="23"/>
          <w:szCs w:val="23"/>
          <w:shd w:val="clear" w:color="auto" w:fill="FFFFFF"/>
        </w:rPr>
        <w:t>+</w:t>
      </w:r>
      <w:r w:rsidRPr="0075024F">
        <w:rPr>
          <w:sz w:val="23"/>
          <w:szCs w:val="23"/>
          <w:shd w:val="clear" w:color="auto" w:fill="FFFFFF"/>
        </w:rPr>
        <w:t>44(0) 1865 278500.</w:t>
      </w:r>
    </w:p>
    <w:p w:rsidR="00441C3D" w:rsidRDefault="001F5FC5" w:rsidP="00A742E6">
      <w:pPr>
        <w:spacing w:line="276" w:lineRule="auto"/>
        <w:jc w:val="both"/>
        <w:rPr>
          <w:sz w:val="24"/>
          <w:szCs w:val="24"/>
        </w:rPr>
      </w:pPr>
      <w:r>
        <w:rPr>
          <w:sz w:val="24"/>
          <w:szCs w:val="24"/>
        </w:rPr>
        <w:t xml:space="preserve"> </w:t>
      </w:r>
    </w:p>
    <w:p w:rsidR="00522772" w:rsidRDefault="00522772" w:rsidP="00A742E6">
      <w:pPr>
        <w:spacing w:line="276" w:lineRule="auto"/>
        <w:jc w:val="both"/>
        <w:rPr>
          <w:sz w:val="24"/>
          <w:szCs w:val="24"/>
        </w:rPr>
      </w:pPr>
    </w:p>
    <w:p w:rsidR="0075024F" w:rsidRPr="00984B83" w:rsidRDefault="00441C3D" w:rsidP="0075024F">
      <w:pPr>
        <w:spacing w:line="276" w:lineRule="auto"/>
        <w:ind w:firstLine="720"/>
        <w:jc w:val="both"/>
        <w:rPr>
          <w:sz w:val="24"/>
          <w:szCs w:val="24"/>
        </w:rPr>
      </w:pPr>
      <w:r w:rsidRPr="00984B83">
        <w:rPr>
          <w:sz w:val="24"/>
          <w:szCs w:val="24"/>
        </w:rPr>
        <w:t>The proliferation of large bi</w:t>
      </w:r>
      <w:r w:rsidR="004C71ED" w:rsidRPr="00984B83">
        <w:rPr>
          <w:sz w:val="24"/>
          <w:szCs w:val="24"/>
        </w:rPr>
        <w:t>obank</w:t>
      </w:r>
      <w:r w:rsidR="00692373" w:rsidRPr="00984B83">
        <w:rPr>
          <w:sz w:val="24"/>
          <w:szCs w:val="24"/>
        </w:rPr>
        <w:t xml:space="preserve">s </w:t>
      </w:r>
      <w:r w:rsidR="004C71ED" w:rsidRPr="00984B83">
        <w:rPr>
          <w:sz w:val="24"/>
          <w:szCs w:val="24"/>
        </w:rPr>
        <w:t>and direct-to-consumer data</w:t>
      </w:r>
      <w:r w:rsidR="00692373" w:rsidRPr="00984B83">
        <w:rPr>
          <w:sz w:val="24"/>
          <w:szCs w:val="24"/>
        </w:rPr>
        <w:t xml:space="preserve"> </w:t>
      </w:r>
      <w:r w:rsidR="004C71ED" w:rsidRPr="00984B83">
        <w:rPr>
          <w:sz w:val="24"/>
          <w:szCs w:val="24"/>
        </w:rPr>
        <w:t xml:space="preserve">has led to </w:t>
      </w:r>
      <w:r w:rsidR="00CC6A25" w:rsidRPr="00984B83">
        <w:rPr>
          <w:sz w:val="24"/>
          <w:szCs w:val="24"/>
        </w:rPr>
        <w:t>previously unimaginable</w:t>
      </w:r>
      <w:r w:rsidR="004C71ED" w:rsidRPr="00984B83">
        <w:rPr>
          <w:sz w:val="24"/>
          <w:szCs w:val="24"/>
        </w:rPr>
        <w:t xml:space="preserve"> sample sizes</w:t>
      </w:r>
      <w:r w:rsidR="00CC6A25" w:rsidRPr="00984B83">
        <w:rPr>
          <w:sz w:val="24"/>
          <w:szCs w:val="24"/>
        </w:rPr>
        <w:t xml:space="preserve"> </w:t>
      </w:r>
      <w:r w:rsidR="0069547B" w:rsidRPr="00984B83">
        <w:rPr>
          <w:sz w:val="24"/>
          <w:szCs w:val="24"/>
        </w:rPr>
        <w:t xml:space="preserve">becoming </w:t>
      </w:r>
      <w:r w:rsidR="00CC6A25" w:rsidRPr="00984B83">
        <w:rPr>
          <w:sz w:val="24"/>
          <w:szCs w:val="24"/>
        </w:rPr>
        <w:t>available for Genome Wide Association Studies (‘GWAS’)</w:t>
      </w:r>
      <w:r w:rsidR="00692373" w:rsidRPr="00984B83">
        <w:rPr>
          <w:sz w:val="24"/>
          <w:szCs w:val="24"/>
        </w:rPr>
        <w:t xml:space="preserve">. The objective of such </w:t>
      </w:r>
      <w:r w:rsidR="0069547B" w:rsidRPr="00984B83">
        <w:rPr>
          <w:sz w:val="24"/>
          <w:szCs w:val="24"/>
        </w:rPr>
        <w:t>GWAS</w:t>
      </w:r>
      <w:r w:rsidR="00692373" w:rsidRPr="00984B83">
        <w:rPr>
          <w:sz w:val="24"/>
          <w:szCs w:val="24"/>
        </w:rPr>
        <w:t xml:space="preserve"> is to identify statistical associations between a set of genetic variants across different individuals (Single Nucleotide Polymorphisms, or </w:t>
      </w:r>
      <w:r w:rsidR="0069547B" w:rsidRPr="00984B83">
        <w:rPr>
          <w:sz w:val="24"/>
          <w:szCs w:val="24"/>
        </w:rPr>
        <w:t>‘</w:t>
      </w:r>
      <w:r w:rsidR="00692373" w:rsidRPr="00984B83">
        <w:rPr>
          <w:sz w:val="24"/>
          <w:szCs w:val="24"/>
        </w:rPr>
        <w:t>SNPs</w:t>
      </w:r>
      <w:r w:rsidR="0069547B" w:rsidRPr="00984B83">
        <w:rPr>
          <w:sz w:val="24"/>
          <w:szCs w:val="24"/>
        </w:rPr>
        <w:t>’</w:t>
      </w:r>
      <w:r w:rsidR="00692373" w:rsidRPr="00984B83">
        <w:rPr>
          <w:sz w:val="24"/>
          <w:szCs w:val="24"/>
        </w:rPr>
        <w:t>) and specific traits of interest</w:t>
      </w:r>
      <w:r w:rsidR="00522772" w:rsidRPr="00984B83">
        <w:rPr>
          <w:sz w:val="24"/>
          <w:szCs w:val="24"/>
        </w:rPr>
        <w:t>,</w:t>
      </w:r>
      <w:r w:rsidR="00692373" w:rsidRPr="00984B83">
        <w:rPr>
          <w:sz w:val="24"/>
          <w:szCs w:val="24"/>
        </w:rPr>
        <w:t xml:space="preserve"> </w:t>
      </w:r>
      <w:r w:rsidR="0069547B" w:rsidRPr="00984B83">
        <w:rPr>
          <w:sz w:val="24"/>
          <w:szCs w:val="24"/>
        </w:rPr>
        <w:t xml:space="preserve">often </w:t>
      </w:r>
      <w:r w:rsidR="00692373" w:rsidRPr="00984B83">
        <w:rPr>
          <w:sz w:val="24"/>
          <w:szCs w:val="24"/>
        </w:rPr>
        <w:t>le</w:t>
      </w:r>
      <w:r w:rsidR="00522772" w:rsidRPr="00984B83">
        <w:rPr>
          <w:sz w:val="24"/>
          <w:szCs w:val="24"/>
        </w:rPr>
        <w:t>a</w:t>
      </w:r>
      <w:r w:rsidR="00692373" w:rsidRPr="00984B83">
        <w:rPr>
          <w:sz w:val="24"/>
          <w:szCs w:val="24"/>
        </w:rPr>
        <w:t>d</w:t>
      </w:r>
      <w:r w:rsidR="00522772" w:rsidRPr="00984B83">
        <w:rPr>
          <w:sz w:val="24"/>
          <w:szCs w:val="24"/>
        </w:rPr>
        <w:t>ing</w:t>
      </w:r>
      <w:r w:rsidR="00692373" w:rsidRPr="00984B83">
        <w:rPr>
          <w:sz w:val="24"/>
          <w:szCs w:val="24"/>
        </w:rPr>
        <w:t xml:space="preserve"> to </w:t>
      </w:r>
      <w:r w:rsidR="0069547B" w:rsidRPr="00984B83">
        <w:rPr>
          <w:sz w:val="24"/>
          <w:szCs w:val="24"/>
        </w:rPr>
        <w:t xml:space="preserve">substantial </w:t>
      </w:r>
      <w:r w:rsidR="00692373" w:rsidRPr="00984B83">
        <w:rPr>
          <w:sz w:val="24"/>
          <w:szCs w:val="24"/>
        </w:rPr>
        <w:t>clinical</w:t>
      </w:r>
      <w:r w:rsidR="00692373" w:rsidRPr="00984B83">
        <w:t xml:space="preserve"> </w:t>
      </w:r>
      <w:r w:rsidR="00692373" w:rsidRPr="00984B83">
        <w:rPr>
          <w:sz w:val="24"/>
          <w:szCs w:val="24"/>
        </w:rPr>
        <w:t>findings</w:t>
      </w:r>
      <w:r w:rsidR="00522772" w:rsidRPr="00984B83">
        <w:rPr>
          <w:sz w:val="24"/>
          <w:szCs w:val="24"/>
        </w:rPr>
        <w:t>. Advances have</w:t>
      </w:r>
      <w:r w:rsidR="00692373" w:rsidRPr="00984B83">
        <w:rPr>
          <w:sz w:val="24"/>
          <w:szCs w:val="24"/>
        </w:rPr>
        <w:t xml:space="preserve"> rang</w:t>
      </w:r>
      <w:r w:rsidR="00522772" w:rsidRPr="00984B83">
        <w:rPr>
          <w:sz w:val="24"/>
          <w:szCs w:val="24"/>
        </w:rPr>
        <w:t>ed</w:t>
      </w:r>
      <w:r w:rsidR="00692373" w:rsidRPr="00984B83">
        <w:rPr>
          <w:sz w:val="24"/>
          <w:szCs w:val="24"/>
        </w:rPr>
        <w:t xml:space="preserve"> widely</w:t>
      </w:r>
      <w:r w:rsidR="00522772" w:rsidRPr="00984B83">
        <w:rPr>
          <w:sz w:val="24"/>
          <w:szCs w:val="24"/>
        </w:rPr>
        <w:t>,</w:t>
      </w:r>
      <w:r w:rsidR="00692373" w:rsidRPr="00984B83">
        <w:rPr>
          <w:sz w:val="24"/>
          <w:szCs w:val="24"/>
        </w:rPr>
        <w:t xml:space="preserve"> </w:t>
      </w:r>
      <w:r w:rsidR="0069547B" w:rsidRPr="00984B83">
        <w:rPr>
          <w:sz w:val="24"/>
          <w:szCs w:val="24"/>
        </w:rPr>
        <w:t>relating to</w:t>
      </w:r>
      <w:r w:rsidR="00522772" w:rsidRPr="00984B83">
        <w:rPr>
          <w:sz w:val="24"/>
          <w:szCs w:val="24"/>
        </w:rPr>
        <w:t xml:space="preserve"> </w:t>
      </w:r>
      <w:r w:rsidR="00692373" w:rsidRPr="00984B83">
        <w:rPr>
          <w:sz w:val="24"/>
          <w:szCs w:val="24"/>
        </w:rPr>
        <w:t>diseases such as breast cancer and Alzheimer’s to anthropometric and behavioral traits. The first such study</w:t>
      </w:r>
      <w:r w:rsidR="0075024F" w:rsidRPr="00984B83">
        <w:rPr>
          <w:sz w:val="24"/>
          <w:szCs w:val="24"/>
        </w:rPr>
        <w:t xml:space="preserve"> to be indexed by the EMBL-EBI GWAS Catalog </w:t>
      </w:r>
      <w:r w:rsidR="00522772" w:rsidRPr="00984B83">
        <w:rPr>
          <w:color w:val="222222"/>
          <w:shd w:val="clear" w:color="auto" w:fill="FFFFFF"/>
        </w:rPr>
        <w:t xml:space="preserve">⁠— </w:t>
      </w:r>
      <w:r w:rsidR="00692373" w:rsidRPr="00984B83">
        <w:rPr>
          <w:sz w:val="24"/>
          <w:szCs w:val="24"/>
        </w:rPr>
        <w:t xml:space="preserve">published in Science </w:t>
      </w:r>
      <w:r w:rsidR="00522772" w:rsidRPr="00984B83">
        <w:rPr>
          <w:sz w:val="24"/>
          <w:szCs w:val="24"/>
        </w:rPr>
        <w:t>on April 15</w:t>
      </w:r>
      <w:r w:rsidR="00522772" w:rsidRPr="00984B83">
        <w:rPr>
          <w:sz w:val="24"/>
          <w:szCs w:val="24"/>
          <w:vertAlign w:val="superscript"/>
        </w:rPr>
        <w:t>th</w:t>
      </w:r>
      <w:r w:rsidR="00522772" w:rsidRPr="00984B83">
        <w:rPr>
          <w:sz w:val="24"/>
          <w:szCs w:val="24"/>
        </w:rPr>
        <w:t>,</w:t>
      </w:r>
      <w:r w:rsidR="00692373" w:rsidRPr="00984B83">
        <w:rPr>
          <w:sz w:val="24"/>
          <w:szCs w:val="24"/>
        </w:rPr>
        <w:t xml:space="preserve"> 2005 (</w:t>
      </w:r>
      <w:r w:rsidR="00984B83" w:rsidRPr="00984B83">
        <w:rPr>
          <w:sz w:val="24"/>
          <w:szCs w:val="24"/>
        </w:rPr>
        <w:t>1)</w:t>
      </w:r>
      <w:r w:rsidR="00984B83" w:rsidRPr="00984B83">
        <w:rPr>
          <w:color w:val="222222"/>
          <w:shd w:val="clear" w:color="auto" w:fill="FFFFFF"/>
        </w:rPr>
        <w:t xml:space="preserve"> ⁠</w:t>
      </w:r>
      <w:r w:rsidR="00522772" w:rsidRPr="00984B83">
        <w:rPr>
          <w:color w:val="222222"/>
          <w:shd w:val="clear" w:color="auto" w:fill="FFFFFF"/>
        </w:rPr>
        <w:t>—</w:t>
      </w:r>
      <w:r w:rsidR="00984B83" w:rsidRPr="00984B83">
        <w:rPr>
          <w:color w:val="222222"/>
          <w:shd w:val="clear" w:color="auto" w:fill="FFFFFF"/>
        </w:rPr>
        <w:t xml:space="preserve"> </w:t>
      </w:r>
      <w:r w:rsidR="00692373" w:rsidRPr="00984B83">
        <w:rPr>
          <w:sz w:val="24"/>
          <w:szCs w:val="24"/>
        </w:rPr>
        <w:t>utilized 96 European ancestry cases and 50 European ancestry controls.</w:t>
      </w:r>
    </w:p>
    <w:p w:rsidR="00984B83" w:rsidRPr="00521196" w:rsidRDefault="0075024F" w:rsidP="001F5FC5">
      <w:pPr>
        <w:spacing w:line="276" w:lineRule="auto"/>
        <w:ind w:firstLine="720"/>
        <w:jc w:val="both"/>
        <w:rPr>
          <w:sz w:val="24"/>
          <w:szCs w:val="24"/>
        </w:rPr>
      </w:pPr>
      <w:r w:rsidRPr="00984B83">
        <w:rPr>
          <w:sz w:val="24"/>
          <w:szCs w:val="24"/>
        </w:rPr>
        <w:t>While sample sizes have increase substantially, the uniformity in ancestries utilized for such studies has</w:t>
      </w:r>
      <w:r w:rsidR="003548EE">
        <w:rPr>
          <w:sz w:val="24"/>
          <w:szCs w:val="24"/>
        </w:rPr>
        <w:t xml:space="preserve"> mostly </w:t>
      </w:r>
      <w:r w:rsidRPr="00984B83">
        <w:rPr>
          <w:sz w:val="24"/>
          <w:szCs w:val="24"/>
        </w:rPr>
        <w:t>not.</w:t>
      </w:r>
      <w:r w:rsidR="00984B83" w:rsidRPr="00984B83">
        <w:rPr>
          <w:sz w:val="24"/>
          <w:szCs w:val="24"/>
        </w:rPr>
        <w:t xml:space="preserve"> W</w:t>
      </w:r>
      <w:r w:rsidRPr="00984B83">
        <w:rPr>
          <w:sz w:val="24"/>
          <w:szCs w:val="24"/>
        </w:rPr>
        <w:t>hile the largest accession indexed to date contains 2,083,151 individuals for the ‘discovery’ stage and 287,239 for the replication stage</w:t>
      </w:r>
      <w:r w:rsidR="00984B83" w:rsidRPr="00984B83">
        <w:rPr>
          <w:sz w:val="24"/>
          <w:szCs w:val="24"/>
        </w:rPr>
        <w:t xml:space="preserve"> (2)</w:t>
      </w:r>
      <w:r w:rsidRPr="00984B83">
        <w:rPr>
          <w:sz w:val="24"/>
          <w:szCs w:val="24"/>
        </w:rPr>
        <w:t xml:space="preserve">, the largest 252 of </w:t>
      </w:r>
      <w:r w:rsidR="00984B83" w:rsidRPr="00984B83">
        <w:rPr>
          <w:sz w:val="24"/>
          <w:szCs w:val="24"/>
        </w:rPr>
        <w:t>all 14,005 Study Accessions are comprised of exclusively European samples (904 of the largest 1,000).</w:t>
      </w:r>
      <w:r w:rsidR="001F5FC5">
        <w:rPr>
          <w:sz w:val="24"/>
          <w:szCs w:val="24"/>
        </w:rPr>
        <w:t xml:space="preserve"> Including a diverse pool of participants is critical in our search for understanding the genetic heterogeneity in disease phenotypes as we move towards an era of personalized medicine (such as in the discovery of rare, but statistically significant genetic variants). We also reemphasize the limited portability of polygenic scores across different populations</w:t>
      </w:r>
      <w:r w:rsidR="00644DFB">
        <w:rPr>
          <w:sz w:val="24"/>
          <w:szCs w:val="24"/>
        </w:rPr>
        <w:t xml:space="preserve">, </w:t>
      </w:r>
      <w:r w:rsidR="00644DFB" w:rsidRPr="00644DFB">
        <w:rPr>
          <w:sz w:val="24"/>
          <w:szCs w:val="24"/>
        </w:rPr>
        <w:t xml:space="preserve">where prediction </w:t>
      </w:r>
      <w:r w:rsidR="00644DFB" w:rsidRPr="00521196">
        <w:rPr>
          <w:sz w:val="24"/>
          <w:szCs w:val="24"/>
        </w:rPr>
        <w:t xml:space="preserve">accuracies </w:t>
      </w:r>
      <w:r w:rsidR="00644DFB" w:rsidRPr="00521196">
        <w:rPr>
          <w:i/>
          <w:sz w:val="24"/>
          <w:szCs w:val="24"/>
        </w:rPr>
        <w:t xml:space="preserve">within </w:t>
      </w:r>
      <w:r w:rsidR="00644DFB" w:rsidRPr="00521196">
        <w:rPr>
          <w:sz w:val="24"/>
          <w:szCs w:val="24"/>
        </w:rPr>
        <w:t>ancestries are currently as high as 24.4% 43 for height (3) and up to 13% for educational attainment (4).</w:t>
      </w:r>
    </w:p>
    <w:p w:rsidR="00C51652" w:rsidRPr="00521196" w:rsidRDefault="00644DFB" w:rsidP="00101A41">
      <w:pPr>
        <w:spacing w:line="276" w:lineRule="auto"/>
        <w:ind w:firstLine="720"/>
        <w:jc w:val="both"/>
        <w:rPr>
          <w:sz w:val="24"/>
          <w:szCs w:val="24"/>
        </w:rPr>
      </w:pPr>
      <w:r w:rsidRPr="00521196">
        <w:rPr>
          <w:sz w:val="24"/>
          <w:szCs w:val="24"/>
        </w:rPr>
        <w:t xml:space="preserve">For that reason, we extend our former work (5) and </w:t>
      </w:r>
      <w:bookmarkStart w:id="1" w:name="_GoBack"/>
      <w:bookmarkEnd w:id="1"/>
      <w:r w:rsidRPr="00521196">
        <w:rPr>
          <w:sz w:val="24"/>
          <w:szCs w:val="24"/>
        </w:rPr>
        <w:t xml:space="preserve">introduce the GWAS Diversity </w:t>
      </w:r>
      <w:r w:rsidR="003548EE">
        <w:rPr>
          <w:sz w:val="24"/>
          <w:szCs w:val="24"/>
        </w:rPr>
        <w:t>M</w:t>
      </w:r>
      <w:r w:rsidR="00101A41" w:rsidRPr="00521196">
        <w:rPr>
          <w:sz w:val="24"/>
          <w:szCs w:val="24"/>
        </w:rPr>
        <w:t>onitor:</w:t>
      </w:r>
      <w:r w:rsidR="00896CAE" w:rsidRPr="00521196">
        <w:rPr>
          <w:sz w:val="24"/>
          <w:szCs w:val="24"/>
        </w:rPr>
        <w:t xml:space="preserve"> a</w:t>
      </w:r>
      <w:r w:rsidR="00CE66DD" w:rsidRPr="00521196">
        <w:rPr>
          <w:sz w:val="24"/>
          <w:szCs w:val="24"/>
        </w:rPr>
        <w:t xml:space="preserve"> five figure, five widget, </w:t>
      </w:r>
      <w:r w:rsidR="00AD2DFE" w:rsidRPr="00521196">
        <w:rPr>
          <w:sz w:val="24"/>
          <w:szCs w:val="24"/>
        </w:rPr>
        <w:t>two tab</w:t>
      </w:r>
      <w:r w:rsidR="00896CAE" w:rsidRPr="00521196">
        <w:rPr>
          <w:sz w:val="24"/>
          <w:szCs w:val="24"/>
        </w:rPr>
        <w:t xml:space="preserve"> interactive dashboard with associated summary statistics </w:t>
      </w:r>
      <w:r w:rsidR="00C51652" w:rsidRPr="00521196">
        <w:rPr>
          <w:sz w:val="24"/>
          <w:szCs w:val="24"/>
        </w:rPr>
        <w:t>which utilizes the GWAS Catalog</w:t>
      </w:r>
      <w:r w:rsidR="00101A41" w:rsidRPr="00521196">
        <w:rPr>
          <w:sz w:val="24"/>
          <w:szCs w:val="24"/>
        </w:rPr>
        <w:t>. The back-end of the code</w:t>
      </w:r>
      <w:r w:rsidR="00C51652" w:rsidRPr="00521196">
        <w:rPr>
          <w:sz w:val="24"/>
          <w:szCs w:val="24"/>
        </w:rPr>
        <w:t xml:space="preserve"> </w:t>
      </w:r>
      <w:r w:rsidR="00101A41" w:rsidRPr="00521196">
        <w:rPr>
          <w:sz w:val="24"/>
          <w:szCs w:val="24"/>
        </w:rPr>
        <w:t>checks for new updates daily, refreshing the dashboard when new updates are made</w:t>
      </w:r>
      <w:r w:rsidR="00C51652" w:rsidRPr="00521196">
        <w:rPr>
          <w:sz w:val="24"/>
          <w:szCs w:val="24"/>
        </w:rPr>
        <w:t>.</w:t>
      </w:r>
      <w:r w:rsidR="00101A41" w:rsidRPr="00521196">
        <w:rPr>
          <w:sz w:val="24"/>
          <w:szCs w:val="24"/>
        </w:rPr>
        <w:t xml:space="preserve"> For more information, please see </w:t>
      </w:r>
      <w:hyperlink r:id="rId8" w:history="1">
        <w:r w:rsidR="00C51652" w:rsidRPr="00521196">
          <w:rPr>
            <w:rStyle w:val="Hyperlink"/>
            <w:color w:val="auto"/>
            <w:sz w:val="24"/>
            <w:szCs w:val="24"/>
            <w:u w:val="none"/>
          </w:rPr>
          <w:t>gwasdiversitymonitor.com</w:t>
        </w:r>
      </w:hyperlink>
      <w:r w:rsidR="00101A41" w:rsidRPr="00521196">
        <w:rPr>
          <w:sz w:val="24"/>
          <w:szCs w:val="24"/>
        </w:rPr>
        <w:t xml:space="preserve">. </w:t>
      </w:r>
    </w:p>
    <w:p w:rsidR="00CE66DD" w:rsidRDefault="00CE66DD" w:rsidP="00CE66DD">
      <w:pPr>
        <w:spacing w:line="276" w:lineRule="auto"/>
        <w:jc w:val="both"/>
        <w:rPr>
          <w:sz w:val="24"/>
          <w:szCs w:val="24"/>
        </w:rPr>
      </w:pPr>
    </w:p>
    <w:p w:rsidR="002B4EAE" w:rsidRPr="002B4EAE" w:rsidRDefault="002B4EAE" w:rsidP="00CE66DD">
      <w:pPr>
        <w:spacing w:line="276" w:lineRule="auto"/>
        <w:jc w:val="both"/>
        <w:rPr>
          <w:sz w:val="22"/>
          <w:szCs w:val="22"/>
        </w:rPr>
      </w:pPr>
    </w:p>
    <w:p w:rsidR="00CE66DD" w:rsidRPr="002B4EAE" w:rsidRDefault="00AD2DFE" w:rsidP="00CE66DD">
      <w:pPr>
        <w:pStyle w:val="ListParagraph"/>
        <w:numPr>
          <w:ilvl w:val="0"/>
          <w:numId w:val="1"/>
        </w:numPr>
        <w:spacing w:line="276" w:lineRule="auto"/>
        <w:jc w:val="both"/>
        <w:rPr>
          <w:sz w:val="22"/>
          <w:szCs w:val="22"/>
        </w:rPr>
      </w:pPr>
      <w:r w:rsidRPr="002B4EAE">
        <w:rPr>
          <w:sz w:val="22"/>
          <w:szCs w:val="22"/>
        </w:rPr>
        <w:t xml:space="preserve"> RJ Klein </w:t>
      </w:r>
      <w:r w:rsidRPr="002B4EAE">
        <w:rPr>
          <w:i/>
          <w:sz w:val="22"/>
          <w:szCs w:val="22"/>
        </w:rPr>
        <w:t>et al.</w:t>
      </w:r>
      <w:r w:rsidRPr="002B4EAE">
        <w:rPr>
          <w:sz w:val="22"/>
          <w:szCs w:val="22"/>
        </w:rPr>
        <w:t xml:space="preserve">, “Complement Factor H Polymorphism in Age-Related Macular Degeneration”, </w:t>
      </w:r>
      <w:r w:rsidRPr="002B4EAE">
        <w:rPr>
          <w:i/>
          <w:sz w:val="22"/>
          <w:szCs w:val="22"/>
        </w:rPr>
        <w:t>Science</w:t>
      </w:r>
      <w:r w:rsidRPr="002B4EAE">
        <w:rPr>
          <w:sz w:val="22"/>
          <w:szCs w:val="22"/>
        </w:rPr>
        <w:t xml:space="preserve">, </w:t>
      </w:r>
      <w:r w:rsidRPr="002B4EAE">
        <w:rPr>
          <w:b/>
          <w:sz w:val="22"/>
          <w:szCs w:val="22"/>
        </w:rPr>
        <w:t>308</w:t>
      </w:r>
      <w:r w:rsidRPr="002B4EAE">
        <w:rPr>
          <w:sz w:val="22"/>
          <w:szCs w:val="22"/>
        </w:rPr>
        <w:t>, 5270, pp 385-389 (2005).</w:t>
      </w:r>
    </w:p>
    <w:p w:rsidR="00E71688" w:rsidRPr="002B4EAE" w:rsidRDefault="00E71688" w:rsidP="00CE66DD">
      <w:pPr>
        <w:pStyle w:val="ListParagraph"/>
        <w:numPr>
          <w:ilvl w:val="0"/>
          <w:numId w:val="1"/>
        </w:numPr>
        <w:spacing w:line="276" w:lineRule="auto"/>
        <w:jc w:val="both"/>
        <w:rPr>
          <w:sz w:val="22"/>
          <w:szCs w:val="22"/>
        </w:rPr>
      </w:pPr>
      <w:r w:rsidRPr="002B4EAE">
        <w:rPr>
          <w:sz w:val="22"/>
          <w:szCs w:val="22"/>
        </w:rPr>
        <w:t xml:space="preserve">BML </w:t>
      </w:r>
      <w:proofErr w:type="spellStart"/>
      <w:r w:rsidRPr="002B4EAE">
        <w:rPr>
          <w:sz w:val="22"/>
          <w:szCs w:val="22"/>
        </w:rPr>
        <w:t>Baselmans</w:t>
      </w:r>
      <w:proofErr w:type="spellEnd"/>
      <w:r w:rsidRPr="002B4EAE">
        <w:rPr>
          <w:sz w:val="22"/>
          <w:szCs w:val="22"/>
        </w:rPr>
        <w:t xml:space="preserve"> </w:t>
      </w:r>
      <w:r w:rsidRPr="002B4EAE">
        <w:rPr>
          <w:i/>
          <w:sz w:val="22"/>
          <w:szCs w:val="22"/>
        </w:rPr>
        <w:t>et al</w:t>
      </w:r>
      <w:r w:rsidRPr="002B4EAE">
        <w:rPr>
          <w:sz w:val="22"/>
          <w:szCs w:val="22"/>
        </w:rPr>
        <w:t xml:space="preserve">., “Multivariate genome-wide analyses of the well-being spectrum”, </w:t>
      </w:r>
      <w:r w:rsidRPr="002B4EAE">
        <w:rPr>
          <w:i/>
          <w:sz w:val="22"/>
          <w:szCs w:val="22"/>
        </w:rPr>
        <w:t>Nature Genetics</w:t>
      </w:r>
      <w:r w:rsidRPr="002B4EAE">
        <w:rPr>
          <w:sz w:val="22"/>
          <w:szCs w:val="22"/>
        </w:rPr>
        <w:t xml:space="preserve">, </w:t>
      </w:r>
      <w:r w:rsidRPr="002B4EAE">
        <w:rPr>
          <w:b/>
          <w:sz w:val="22"/>
          <w:szCs w:val="22"/>
        </w:rPr>
        <w:t>51</w:t>
      </w:r>
      <w:r w:rsidRPr="002B4EAE">
        <w:rPr>
          <w:sz w:val="22"/>
          <w:szCs w:val="22"/>
        </w:rPr>
        <w:t>, 3, pp. 445-451 (2019).</w:t>
      </w:r>
    </w:p>
    <w:p w:rsidR="00E71688" w:rsidRPr="002B4EAE" w:rsidRDefault="00E71688" w:rsidP="00CE66DD">
      <w:pPr>
        <w:pStyle w:val="ListParagraph"/>
        <w:numPr>
          <w:ilvl w:val="0"/>
          <w:numId w:val="1"/>
        </w:numPr>
        <w:spacing w:line="276" w:lineRule="auto"/>
        <w:jc w:val="both"/>
        <w:rPr>
          <w:sz w:val="22"/>
          <w:szCs w:val="22"/>
        </w:rPr>
      </w:pPr>
      <w:r w:rsidRPr="002B4EAE">
        <w:rPr>
          <w:sz w:val="22"/>
          <w:szCs w:val="22"/>
        </w:rPr>
        <w:t xml:space="preserve">L </w:t>
      </w:r>
      <w:proofErr w:type="spellStart"/>
      <w:r w:rsidRPr="002B4EAE">
        <w:rPr>
          <w:sz w:val="22"/>
          <w:szCs w:val="22"/>
        </w:rPr>
        <w:t>Yengo</w:t>
      </w:r>
      <w:proofErr w:type="spellEnd"/>
      <w:r w:rsidRPr="002B4EAE">
        <w:rPr>
          <w:sz w:val="22"/>
          <w:szCs w:val="22"/>
        </w:rPr>
        <w:t xml:space="preserve"> </w:t>
      </w:r>
      <w:r w:rsidRPr="002B4EAE">
        <w:rPr>
          <w:i/>
          <w:sz w:val="22"/>
          <w:szCs w:val="22"/>
        </w:rPr>
        <w:t>et al</w:t>
      </w:r>
      <w:r w:rsidRPr="002B4EAE">
        <w:rPr>
          <w:sz w:val="22"/>
          <w:szCs w:val="22"/>
        </w:rPr>
        <w:t>., “</w:t>
      </w:r>
      <w:r w:rsidR="00217B0D" w:rsidRPr="002B4EAE">
        <w:rPr>
          <w:sz w:val="22"/>
          <w:szCs w:val="22"/>
        </w:rPr>
        <w:t xml:space="preserve">Meta-analysis of genome-wide association studies for height and body mass index in </w:t>
      </w:r>
      <w:r w:rsidR="00217B0D" w:rsidRPr="002B4EAE">
        <w:rPr>
          <w:rFonts w:ascii="Cambria Math" w:hAnsi="Cambria Math" w:cs="Cambria Math"/>
          <w:sz w:val="22"/>
          <w:szCs w:val="22"/>
        </w:rPr>
        <w:t>∼</w:t>
      </w:r>
      <w:r w:rsidR="00217B0D" w:rsidRPr="002B4EAE">
        <w:rPr>
          <w:sz w:val="22"/>
          <w:szCs w:val="22"/>
        </w:rPr>
        <w:t xml:space="preserve">700000 individuals of European ancestry”, </w:t>
      </w:r>
      <w:r w:rsidR="00217B0D" w:rsidRPr="002B4EAE">
        <w:rPr>
          <w:i/>
          <w:sz w:val="22"/>
          <w:szCs w:val="22"/>
        </w:rPr>
        <w:t>Human Molecular Genetics</w:t>
      </w:r>
      <w:r w:rsidR="00217B0D" w:rsidRPr="002B4EAE">
        <w:rPr>
          <w:sz w:val="22"/>
          <w:szCs w:val="22"/>
        </w:rPr>
        <w:t xml:space="preserve">, </w:t>
      </w:r>
      <w:r w:rsidR="008F43A2" w:rsidRPr="002B4EAE">
        <w:rPr>
          <w:b/>
          <w:sz w:val="22"/>
          <w:szCs w:val="22"/>
        </w:rPr>
        <w:t>27</w:t>
      </w:r>
      <w:r w:rsidR="008F43A2" w:rsidRPr="002B4EAE">
        <w:rPr>
          <w:sz w:val="22"/>
          <w:szCs w:val="22"/>
        </w:rPr>
        <w:t>, 20, pp. 3641-49 (2018).</w:t>
      </w:r>
    </w:p>
    <w:p w:rsidR="008F43A2" w:rsidRPr="002B4EAE" w:rsidRDefault="008F43A2" w:rsidP="00CE66DD">
      <w:pPr>
        <w:pStyle w:val="ListParagraph"/>
        <w:numPr>
          <w:ilvl w:val="0"/>
          <w:numId w:val="1"/>
        </w:numPr>
        <w:spacing w:line="276" w:lineRule="auto"/>
        <w:jc w:val="both"/>
        <w:rPr>
          <w:sz w:val="22"/>
          <w:szCs w:val="22"/>
        </w:rPr>
      </w:pPr>
      <w:r w:rsidRPr="002B4EAE">
        <w:rPr>
          <w:sz w:val="22"/>
          <w:szCs w:val="22"/>
        </w:rPr>
        <w:t xml:space="preserve">JJ Lee </w:t>
      </w:r>
      <w:r w:rsidRPr="002B4EAE">
        <w:rPr>
          <w:i/>
          <w:sz w:val="22"/>
          <w:szCs w:val="22"/>
        </w:rPr>
        <w:t>et al</w:t>
      </w:r>
      <w:r w:rsidRPr="002B4EAE">
        <w:rPr>
          <w:sz w:val="22"/>
          <w:szCs w:val="22"/>
        </w:rPr>
        <w:t xml:space="preserve">., “Gene discovery and polygenic prediction from a genome-wide association study of educational attainment in 1.1 million individuals”, </w:t>
      </w:r>
      <w:r w:rsidRPr="002B4EAE">
        <w:rPr>
          <w:i/>
          <w:sz w:val="22"/>
          <w:szCs w:val="22"/>
        </w:rPr>
        <w:t>Nature Genetics</w:t>
      </w:r>
      <w:r w:rsidRPr="002B4EAE">
        <w:rPr>
          <w:sz w:val="22"/>
          <w:szCs w:val="22"/>
        </w:rPr>
        <w:t xml:space="preserve">, </w:t>
      </w:r>
      <w:r w:rsidRPr="002B4EAE">
        <w:rPr>
          <w:b/>
          <w:sz w:val="22"/>
          <w:szCs w:val="22"/>
        </w:rPr>
        <w:t>58</w:t>
      </w:r>
      <w:r w:rsidRPr="002B4EAE">
        <w:rPr>
          <w:sz w:val="22"/>
          <w:szCs w:val="22"/>
        </w:rPr>
        <w:t>, 8, pp.112-1121 (2018).</w:t>
      </w:r>
    </w:p>
    <w:p w:rsidR="00521196" w:rsidRPr="002B4EAE" w:rsidRDefault="00521196" w:rsidP="00CE66DD">
      <w:pPr>
        <w:pStyle w:val="ListParagraph"/>
        <w:numPr>
          <w:ilvl w:val="0"/>
          <w:numId w:val="1"/>
        </w:numPr>
        <w:spacing w:line="276" w:lineRule="auto"/>
        <w:jc w:val="both"/>
        <w:rPr>
          <w:sz w:val="22"/>
          <w:szCs w:val="22"/>
        </w:rPr>
      </w:pPr>
      <w:r w:rsidRPr="002B4EAE">
        <w:rPr>
          <w:sz w:val="22"/>
          <w:szCs w:val="22"/>
        </w:rPr>
        <w:t xml:space="preserve"> MM Mills and C Rahal, “A scientometric review of genome-wide association studies”, </w:t>
      </w:r>
      <w:r w:rsidRPr="002B4EAE">
        <w:rPr>
          <w:i/>
          <w:sz w:val="22"/>
          <w:szCs w:val="22"/>
        </w:rPr>
        <w:t>Communications Biology</w:t>
      </w:r>
      <w:r w:rsidRPr="002B4EAE">
        <w:rPr>
          <w:sz w:val="22"/>
          <w:szCs w:val="22"/>
        </w:rPr>
        <w:t xml:space="preserve">, </w:t>
      </w:r>
      <w:r w:rsidR="008C5DAD" w:rsidRPr="002B4EAE">
        <w:rPr>
          <w:b/>
          <w:sz w:val="22"/>
          <w:szCs w:val="22"/>
        </w:rPr>
        <w:t>2</w:t>
      </w:r>
      <w:r w:rsidR="008C5DAD" w:rsidRPr="002B4EAE">
        <w:rPr>
          <w:sz w:val="22"/>
          <w:szCs w:val="22"/>
        </w:rPr>
        <w:t>, 9, (2019)</w:t>
      </w:r>
    </w:p>
    <w:sectPr w:rsidR="00521196" w:rsidRPr="002B4EAE" w:rsidSect="00CE66DD">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F37" w:rsidRDefault="00496F37" w:rsidP="00441C3D">
      <w:r>
        <w:separator/>
      </w:r>
    </w:p>
  </w:endnote>
  <w:endnote w:type="continuationSeparator" w:id="0">
    <w:p w:rsidR="00496F37" w:rsidRDefault="00496F37" w:rsidP="00441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F37" w:rsidRDefault="00496F37" w:rsidP="00441C3D">
      <w:r>
        <w:separator/>
      </w:r>
    </w:p>
  </w:footnote>
  <w:footnote w:type="continuationSeparator" w:id="0">
    <w:p w:rsidR="00496F37" w:rsidRDefault="00496F37" w:rsidP="00441C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D5E54"/>
    <w:multiLevelType w:val="hybridMultilevel"/>
    <w:tmpl w:val="04DA9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E6"/>
    <w:rsid w:val="000F5997"/>
    <w:rsid w:val="00101A41"/>
    <w:rsid w:val="001F5FC5"/>
    <w:rsid w:val="00217B0D"/>
    <w:rsid w:val="002B4EAE"/>
    <w:rsid w:val="00343DB3"/>
    <w:rsid w:val="003548EE"/>
    <w:rsid w:val="00441C3D"/>
    <w:rsid w:val="00496F37"/>
    <w:rsid w:val="004C0DE2"/>
    <w:rsid w:val="004C71ED"/>
    <w:rsid w:val="00521196"/>
    <w:rsid w:val="00522772"/>
    <w:rsid w:val="005644C9"/>
    <w:rsid w:val="00644DFB"/>
    <w:rsid w:val="00692373"/>
    <w:rsid w:val="0069547B"/>
    <w:rsid w:val="0075024F"/>
    <w:rsid w:val="00896CAE"/>
    <w:rsid w:val="008C5DAD"/>
    <w:rsid w:val="008F43A2"/>
    <w:rsid w:val="00984B83"/>
    <w:rsid w:val="00A742E6"/>
    <w:rsid w:val="00AD2DFE"/>
    <w:rsid w:val="00B04BB8"/>
    <w:rsid w:val="00C51652"/>
    <w:rsid w:val="00CC6A25"/>
    <w:rsid w:val="00CE66DD"/>
    <w:rsid w:val="00D661AA"/>
    <w:rsid w:val="00E23B60"/>
    <w:rsid w:val="00E716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0F129"/>
  <w15:chartTrackingRefBased/>
  <w15:docId w15:val="{EAAF8635-A3F0-4282-BA8A-F4721FE02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42E6"/>
    <w:pPr>
      <w:spacing w:after="0" w:line="240" w:lineRule="auto"/>
    </w:pPr>
    <w:rPr>
      <w:rFonts w:ascii="Times New Roman" w:eastAsia="Calibri" w:hAnsi="Times New Roman" w:cs="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Summary">
    <w:name w:val="Abstract/Summary"/>
    <w:basedOn w:val="Normal"/>
    <w:rsid w:val="00A742E6"/>
    <w:pPr>
      <w:spacing w:before="120"/>
    </w:pPr>
    <w:rPr>
      <w:rFonts w:eastAsia="Times New Roman"/>
      <w:sz w:val="24"/>
      <w:szCs w:val="24"/>
    </w:rPr>
  </w:style>
  <w:style w:type="paragraph" w:customStyle="1" w:styleId="Authors">
    <w:name w:val="Authors"/>
    <w:basedOn w:val="Normal"/>
    <w:rsid w:val="00A742E6"/>
    <w:pPr>
      <w:spacing w:before="120" w:after="360"/>
      <w:jc w:val="center"/>
    </w:pPr>
    <w:rPr>
      <w:rFonts w:eastAsia="Times New Roman"/>
      <w:sz w:val="24"/>
      <w:szCs w:val="24"/>
    </w:rPr>
  </w:style>
  <w:style w:type="paragraph" w:customStyle="1" w:styleId="Head">
    <w:name w:val="Head"/>
    <w:basedOn w:val="Normal"/>
    <w:rsid w:val="00A742E6"/>
    <w:pPr>
      <w:keepNext/>
      <w:spacing w:before="120" w:after="120"/>
      <w:jc w:val="center"/>
      <w:outlineLvl w:val="0"/>
    </w:pPr>
    <w:rPr>
      <w:rFonts w:eastAsia="Times New Roman"/>
      <w:b/>
      <w:bCs/>
      <w:kern w:val="28"/>
      <w:sz w:val="28"/>
      <w:szCs w:val="28"/>
    </w:rPr>
  </w:style>
  <w:style w:type="paragraph" w:styleId="Header">
    <w:name w:val="header"/>
    <w:basedOn w:val="Normal"/>
    <w:link w:val="HeaderChar"/>
    <w:uiPriority w:val="99"/>
    <w:unhideWhenUsed/>
    <w:rsid w:val="00441C3D"/>
    <w:pPr>
      <w:tabs>
        <w:tab w:val="center" w:pos="4513"/>
        <w:tab w:val="right" w:pos="9026"/>
      </w:tabs>
    </w:pPr>
  </w:style>
  <w:style w:type="character" w:customStyle="1" w:styleId="HeaderChar">
    <w:name w:val="Header Char"/>
    <w:basedOn w:val="DefaultParagraphFont"/>
    <w:link w:val="Header"/>
    <w:uiPriority w:val="99"/>
    <w:rsid w:val="00441C3D"/>
    <w:rPr>
      <w:rFonts w:ascii="Times New Roman" w:eastAsia="Calibri" w:hAnsi="Times New Roman" w:cs="Times New Roman"/>
      <w:sz w:val="20"/>
      <w:szCs w:val="20"/>
      <w:lang w:val="en-US" w:eastAsia="en-US"/>
    </w:rPr>
  </w:style>
  <w:style w:type="paragraph" w:styleId="Footer">
    <w:name w:val="footer"/>
    <w:basedOn w:val="Normal"/>
    <w:link w:val="FooterChar"/>
    <w:uiPriority w:val="99"/>
    <w:unhideWhenUsed/>
    <w:rsid w:val="00441C3D"/>
    <w:pPr>
      <w:tabs>
        <w:tab w:val="center" w:pos="4513"/>
        <w:tab w:val="right" w:pos="9026"/>
      </w:tabs>
    </w:pPr>
  </w:style>
  <w:style w:type="character" w:customStyle="1" w:styleId="FooterChar">
    <w:name w:val="Footer Char"/>
    <w:basedOn w:val="DefaultParagraphFont"/>
    <w:link w:val="Footer"/>
    <w:uiPriority w:val="99"/>
    <w:rsid w:val="00441C3D"/>
    <w:rPr>
      <w:rFonts w:ascii="Times New Roman" w:eastAsia="Calibri" w:hAnsi="Times New Roman" w:cs="Times New Roman"/>
      <w:sz w:val="20"/>
      <w:szCs w:val="20"/>
      <w:lang w:val="en-US" w:eastAsia="en-US"/>
    </w:rPr>
  </w:style>
  <w:style w:type="character" w:styleId="CommentReference">
    <w:name w:val="annotation reference"/>
    <w:basedOn w:val="DefaultParagraphFont"/>
    <w:uiPriority w:val="99"/>
    <w:semiHidden/>
    <w:unhideWhenUsed/>
    <w:rsid w:val="001F5FC5"/>
    <w:rPr>
      <w:sz w:val="16"/>
      <w:szCs w:val="16"/>
    </w:rPr>
  </w:style>
  <w:style w:type="paragraph" w:styleId="CommentText">
    <w:name w:val="annotation text"/>
    <w:basedOn w:val="Normal"/>
    <w:link w:val="CommentTextChar"/>
    <w:uiPriority w:val="99"/>
    <w:semiHidden/>
    <w:unhideWhenUsed/>
    <w:rsid w:val="001F5FC5"/>
  </w:style>
  <w:style w:type="character" w:customStyle="1" w:styleId="CommentTextChar">
    <w:name w:val="Comment Text Char"/>
    <w:basedOn w:val="DefaultParagraphFont"/>
    <w:link w:val="CommentText"/>
    <w:uiPriority w:val="99"/>
    <w:semiHidden/>
    <w:rsid w:val="001F5FC5"/>
    <w:rPr>
      <w:rFonts w:ascii="Times New Roman" w:eastAsia="Calibri"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1F5FC5"/>
    <w:rPr>
      <w:b/>
      <w:bCs/>
    </w:rPr>
  </w:style>
  <w:style w:type="character" w:customStyle="1" w:styleId="CommentSubjectChar">
    <w:name w:val="Comment Subject Char"/>
    <w:basedOn w:val="CommentTextChar"/>
    <w:link w:val="CommentSubject"/>
    <w:uiPriority w:val="99"/>
    <w:semiHidden/>
    <w:rsid w:val="001F5FC5"/>
    <w:rPr>
      <w:rFonts w:ascii="Times New Roman" w:eastAsia="Calibri" w:hAnsi="Times New Roman" w:cs="Times New Roman"/>
      <w:b/>
      <w:bCs/>
      <w:sz w:val="20"/>
      <w:szCs w:val="20"/>
      <w:lang w:val="en-US" w:eastAsia="en-US"/>
    </w:rPr>
  </w:style>
  <w:style w:type="paragraph" w:styleId="BalloonText">
    <w:name w:val="Balloon Text"/>
    <w:basedOn w:val="Normal"/>
    <w:link w:val="BalloonTextChar"/>
    <w:uiPriority w:val="99"/>
    <w:semiHidden/>
    <w:unhideWhenUsed/>
    <w:rsid w:val="001F5F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FC5"/>
    <w:rPr>
      <w:rFonts w:ascii="Segoe UI" w:eastAsia="Calibri" w:hAnsi="Segoe UI" w:cs="Segoe UI"/>
      <w:sz w:val="18"/>
      <w:szCs w:val="18"/>
      <w:lang w:val="en-US" w:eastAsia="en-US"/>
    </w:rPr>
  </w:style>
  <w:style w:type="paragraph" w:styleId="ListParagraph">
    <w:name w:val="List Paragraph"/>
    <w:basedOn w:val="Normal"/>
    <w:uiPriority w:val="34"/>
    <w:qFormat/>
    <w:rsid w:val="00CE66DD"/>
    <w:pPr>
      <w:ind w:left="720"/>
      <w:contextualSpacing/>
    </w:pPr>
  </w:style>
  <w:style w:type="character" w:styleId="Hyperlink">
    <w:name w:val="Hyperlink"/>
    <w:basedOn w:val="DefaultParagraphFont"/>
    <w:uiPriority w:val="99"/>
    <w:unhideWhenUsed/>
    <w:rsid w:val="00521196"/>
    <w:rPr>
      <w:color w:val="0563C1" w:themeColor="hyperlink"/>
      <w:u w:val="single"/>
    </w:rPr>
  </w:style>
  <w:style w:type="character" w:styleId="UnresolvedMention">
    <w:name w:val="Unresolved Mention"/>
    <w:basedOn w:val="DefaultParagraphFont"/>
    <w:uiPriority w:val="99"/>
    <w:semiHidden/>
    <w:unhideWhenUsed/>
    <w:rsid w:val="00521196"/>
    <w:rPr>
      <w:color w:val="605E5C"/>
      <w:shd w:val="clear" w:color="auto" w:fill="E1DFDD"/>
    </w:rPr>
  </w:style>
  <w:style w:type="character" w:styleId="FollowedHyperlink">
    <w:name w:val="FollowedHyperlink"/>
    <w:basedOn w:val="DefaultParagraphFont"/>
    <w:uiPriority w:val="99"/>
    <w:semiHidden/>
    <w:unhideWhenUsed/>
    <w:rsid w:val="00354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wasdiversitymonito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FF1AC-A62B-40B6-8B4A-4DFAE8BD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Charlie</cp:lastModifiedBy>
  <cp:revision>10</cp:revision>
  <dcterms:created xsi:type="dcterms:W3CDTF">2019-08-18T01:10:00Z</dcterms:created>
  <dcterms:modified xsi:type="dcterms:W3CDTF">2019-08-22T21:14:00Z</dcterms:modified>
</cp:coreProperties>
</file>