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" w:line="140" w:lineRule="exact"/>
      </w:pPr>
      <w:r>
        <w:rPr>
          <w:b/>
          <w:bCs/>
          <w:rFonts w:ascii="Arial Narrow" w:hAnsi="Arial Narrow" w:cs="Arial Narrow"/>
          <w:sz w:val="16"/>
          <w:szCs w:val="16"/>
        </w:rPr>
        <w:t xml:space="preserve">Supplementary table. Political party by mortality, health, unpaid care and deprivation</w:t>
      </w:r>
    </w:p>
    <w:p>
      <w:pPr>
        <w:spacing w:after="20" w:line="140" w:lineRule="exact"/>
      </w:pPr>
      <w:r>
        <w:rPr>
          <w:rFonts w:ascii="Arial Narrow" w:hAnsi="Arial Narrow" w:cs="Arial Narrow"/>
          <w:sz w:val="10"/>
          <w:szCs w:val="10"/>
        </w:rPr>
        <w:t xml:space="preserve">Cells show correlation coefficient (p value). ASMR denotes age-standardised mortality rate per 100,000 population.</w:t>
      </w:r>
    </w:p>
    <w:p>
      <w:pPr>
        <w:spacing w:after="20" w:line="140" w:lineRule="exact"/>
      </w:pPr>
      <w:r>
        <w:rPr>
          <w:rFonts w:ascii="Arial Narrow" w:hAnsi="Arial Narrow" w:cs="Arial Narrow"/>
          <w:sz w:val="10"/>
          <w:szCs w:val="10"/>
        </w:rPr>
        <w:t xml:space="preserve">Year is election year. Premature ASMR (2021) uses deaths registered in 2021 and pre-2024 boundaries; it is included for the 2019 election only, without a 2024 boundary proxy.</w:t>
      </w:r>
    </w:p>
    <w:p>
      <w:pPr>
        <w:spacing w:after="20" w:line="140" w:lineRule="exact"/>
      </w:pPr>
      <w:r>
        <w:rPr>
          <w:rFonts w:ascii="Arial Narrow" w:hAnsi="Arial Narrow" w:cs="Arial Narrow"/>
          <w:sz w:val="10"/>
          <w:szCs w:val="10"/>
        </w:rPr>
        <w:t xml:space="preserve">Party columns are vote shares except voter turnout; Brexit/Reform UK is Brexit Party in 2019 and Reform UK in 2024.</w:t>
      </w:r>
    </w:p>
    <w:p>
      <w:pPr>
        <w:spacing w:after="20" w:line="140" w:lineRule="exact"/>
      </w:pPr>
      <w:r>
        <w:rPr>
          <w:rFonts w:ascii="Arial Narrow" w:hAnsi="Arial Narrow" w:cs="Arial Narrow"/>
          <w:sz w:val="10"/>
          <w:szCs w:val="10"/>
        </w:rPr>
        <w:t xml:space="preserve">P values &lt;0.001 are shown as &lt;0.001.</w:t>
      </w:r>
    </w:p>
    <w:tbl>
      <w:tblPr>
        <w:tblW w:w="16478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Correlation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Health/deprivation measure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Election year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N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Conservative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Labour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Liberal Democrat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Brexit/Reform UK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b/>
                <w:bCs/>
                <w:rFonts w:ascii="Arial Narrow" w:hAnsi="Arial Narrow" w:cs="Arial Narrow"/>
                <w:sz w:val="14"/>
                <w:szCs w:val="14"/>
              </w:rPr>
              <w:t xml:space="preserve">Turnout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female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-0.303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0.529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-0.694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0.582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-0.711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-0.403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0.595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-0.671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0.609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-0.741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Not good health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0.036 (0.413)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0.167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-0.565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0.361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-0.522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Disabled under Equality Act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0.079 (0.07)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0.052 (0.233)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-0.427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0.276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-0.340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Any unpaid care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0.303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-0.156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-0.324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0.084 (0.052)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-0.138 (0.001)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Health Deprivation and Disability rank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0.431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-0.627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0.687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-0.658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0.722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Premature ASMR (2021), female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-0.447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0.666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-0.706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0.639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-0.792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Premature ASMR (2021), 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-0.514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0.724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-0.685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0.644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-0.804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female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-0.341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0.512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0.558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-0.714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-0.434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0.576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-0.523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0.549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-0.746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Not good health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0.035 (0.416)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0.145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-0.477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0.469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-0.532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Disabled under Equality Act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0.081 (0.063)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0.028 (0.52)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-0.346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0.399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-0.336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Any unpaid care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0.330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-0.200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-0.269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0.273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-0.131 (0.002)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Health Deprivation and Disability rank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0.438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-0.609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0.575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-0.581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0.717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Premature ASMR (2021), female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-0.489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0.653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0.546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-0.776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Premature ASMR (2021), 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2019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532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-0.545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0.708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0.490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-0.791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female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-0.531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0.486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-0.550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0.430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-0.736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-0.595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0.514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-0.575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0.364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-0.797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Not good health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-0.203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0.179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-0.465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0.635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-0.479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Disabled under Equality Act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-0.148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0.134 (0.002)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-0.322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0.603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-0.298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Any unpaid care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0.126 (0.003)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-0.063 (0.141)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-0.273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0.627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-0.079 (0.066)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Spearman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Health Deprivation and Disability rank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0.626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-0.565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0.601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-0.382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0.803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female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-0.543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0.490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-0.453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0.368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-0.744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ASMR, male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-0.595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0.504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-0.461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0.303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-0.799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Not good health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-0.185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0.211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-0.356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0.614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-0.477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Disabled under Equality Act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-0.138 (0.001)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0.147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-0.232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0.580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-0.286 (&lt;0.001)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Any unpaid care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0.162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-0.047 (0.279)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-0.150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0.619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-0.049 (0.257)</w:t>
            </w:r>
          </w:p>
        </w:tc>
      </w:tr>
      <w:tr>
        <w:trPr>
          <w:trHeight w:val="180" w:hRule="atLeast"/>
        </w:trPr>
        <w:tc>
          <w:tcPr>
            <w:tcW w:w="9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Pearson</w:t>
            </w:r>
          </w:p>
        </w:tc>
        <w:tc>
          <w:tcPr>
            <w:tcW w:w="33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Health Deprivation and Disability rank</w:t>
            </w:r>
          </w:p>
        </w:tc>
        <w:tc>
          <w:tcPr>
            <w:tcW w:w="6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2024</w:t>
            </w:r>
          </w:p>
        </w:tc>
        <w:tc>
          <w:tcPr>
            <w:tcW w:w="5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542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0.619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-0.573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0.522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-0.352 (&lt;0.001)</w:t>
            </w:r>
          </w:p>
        </w:tc>
        <w:tc>
          <w:tcPr>
            <w:tcW w:w="22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>
            <w:pPr>
              <w:spacing w:after="0" w:line="120" w:lineRule="exact"/>
            </w:pPr>
            <w:r>
              <w:rPr>
                <w:rFonts w:ascii="Arial Narrow" w:hAnsi="Arial Narrow" w:cs="Arial Narrow"/>
                <w:sz w:val="14"/>
                <w:szCs w:val="14"/>
              </w:rPr>
              <w:t xml:space="preserve">0.793 (&lt;0.001)</w:t>
            </w:r>
          </w:p>
        </w:tc>
      </w:tr>
    </w:tbl>
    <w:sectPr>
      <w:pgSz w:w="16838" w:h="11906" w:orient="landscape"/>
      <w:pgMar w:top="180" w:right="180" w:bottom="180" w:left="180" w:header="180" w:footer="180" w:gutter="0"/>
    </w:sectPr>
  </w:body>
</w:document>
</file>