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" w:line="140" w:lineRule="exact"/>
      </w:pPr>
      <w:r>
        <w:rPr>
          <w:b/>
          <w:bCs/>
          <w:rFonts w:ascii="Arial Narrow" w:hAnsi="Arial Narrow" w:cs="Arial Narrow"/>
          <w:sz w:val="16"/>
          <w:szCs w:val="16"/>
        </w:rPr>
        <w:t xml:space="preserve">Table 1. Political party by mortality, health and disability</w:t>
      </w:r>
    </w:p>
    <w:p>
      <w:pPr>
        <w:spacing w:after="20" w:line="140" w:lineRule="exact"/>
      </w:pPr>
      <w:r>
        <w:rPr>
          <w:rFonts w:ascii="Arial Narrow" w:hAnsi="Arial Narrow" w:cs="Arial Narrow"/>
          <w:sz w:val="10"/>
          <w:szCs w:val="10"/>
        </w:rPr>
        <w:t xml:space="preserve">Cells show correlation coefficient (p value). ASMR denotes age-standardised mortality rate per 100,000 population.</w:t>
      </w:r>
    </w:p>
    <w:p>
      <w:pPr>
        <w:spacing w:after="20" w:line="140" w:lineRule="exact"/>
      </w:pPr>
      <w:r>
        <w:rPr>
          <w:rFonts w:ascii="Arial Narrow" w:hAnsi="Arial Narrow" w:cs="Arial Narrow"/>
          <w:sz w:val="10"/>
          <w:szCs w:val="10"/>
        </w:rPr>
        <w:t xml:space="preserve">Party rows are vote shares except voter turnout; p values &lt;0.001 are shown as &lt;0.001.</w:t>
      </w:r>
    </w:p>
    <w:tbl>
      <w:tblPr>
        <w:tblW w:w="16450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150"/>
        <w:gridCol w:w="1700"/>
        <w:gridCol w:w="1700"/>
        <w:gridCol w:w="1700"/>
        <w:gridCol w:w="1700"/>
        <w:gridCol w:w="1700"/>
        <w:gridCol w:w="1700"/>
        <w:gridCol w:w="1700"/>
        <w:gridCol w:w="1700"/>
        <w:gridCol w:w="1700"/>
      </w:tblGrid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Correlation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Political party/measure</w:t>
            </w:r>
          </w:p>
        </w:tc>
        <w:tc>
          <w:tcPr>
            <w:tcW w:w="3400" w:type="dxa"/>
            <w:gridSpan w:val="2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ASMR (female)</w:t>
            </w:r>
          </w:p>
        </w:tc>
        <w:tc>
          <w:tcPr>
            <w:tcW w:w="3400" w:type="dxa"/>
            <w:gridSpan w:val="2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ASMR (male)</w:t>
            </w:r>
          </w:p>
        </w:tc>
        <w:tc>
          <w:tcPr>
            <w:tcW w:w="3400" w:type="dxa"/>
            <w:gridSpan w:val="2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Not good health</w:t>
            </w:r>
          </w:p>
        </w:tc>
        <w:tc>
          <w:tcPr>
            <w:tcW w:w="3400" w:type="dxa"/>
            <w:gridSpan w:val="2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Disability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Conservative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-0.303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-0.531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-0.403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-0.595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0.036 (0.413)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-0.203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0.079 (0.07)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-0.148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Labour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0.529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0.486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0.595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0.514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0.167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0.179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0.052 (0.233)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0.134 (0.002)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Liberal Democrat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-0.694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-0.550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-0.671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-0.575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-0.565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-0.465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-0.427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-0.322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Brexit Party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0.582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0.609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0.361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0.276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Reform UK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0.430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0.364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0.635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0.603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Voter turnout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-0.711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-0.736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-0.741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-0.797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-0.522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-0.479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-0.340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-0.298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Conservative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-0.341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-0.543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-0.434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-0.595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0.035 (0.416)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-0.185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0.081 (0.063)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-0.138 (0.001)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Labour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0.512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0.490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0.576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0.504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0.145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0.211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0.028 (0.52)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0.147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Liberal Democrat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-0.554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-0.453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-0.523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-0.461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-0.477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-0.356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-0.346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-0.232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Brexit Party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0.558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0.549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0.469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0.399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Reform UK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0.368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0.303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0.614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0.580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Voter turnout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-0.714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-0.744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-0.746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-0.799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-0.532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-0.477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-0.336 (&lt;0.001)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-0.286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N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</w:tr>
    </w:tbl>
    <w:sectPr>
      <w:pgSz w:w="16838" w:h="11906" w:orient="landscape"/>
      <w:pgMar w:top="180" w:right="180" w:bottom="180" w:left="180" w:header="180" w:footer="180" w:gutter="0"/>
    </w:sectPr>
  </w:body>
</w:document>
</file>