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 w:line="140" w:lineRule="exact"/>
      </w:pPr>
      <w:r>
        <w:rPr>
          <w:b/>
          <w:bCs/>
          <w:rFonts w:ascii="Arial Narrow" w:hAnsi="Arial Narrow" w:cs="Arial Narrow"/>
          <w:sz w:val="16"/>
          <w:szCs w:val="16"/>
        </w:rPr>
        <w:t xml:space="preserve">Table 1. Constituency-level correlations of political party vote share and turnout with mortality, Census health and caring measures, and health deprivation in England.</w:t>
      </w:r>
    </w:p>
    <w:p>
      <w:pPr>
        <w:spacing w:after="20" w:line="140" w:lineRule="exact"/>
      </w:pPr>
      <w:r>
        <w:rPr>
          <w:rFonts w:ascii="Arial Narrow" w:hAnsi="Arial Narrow" w:cs="Arial Narrow"/>
          <w:sz w:val="10"/>
          <w:szCs w:val="10"/>
        </w:rPr>
        <w:t xml:space="preserve">ASMR denotes age-standardised mortality rate per 100,000 population. Entries are Spearman's ρ or Pearson's r, with two-sided unadjusted p-values in parentheses; these p-values do not account for spatial dependence. N denotes constituencies. The 2021 rows are premature ASMRs paired only with 2019 voting; the election-year column therefore remains 2019. Census measures refer to 2021, separately tabulated to each election geography. Deprivation ranks use the 2019 and 2025 releases for the 2019 and 2024 election comparisons respectively; rank 1 denotes greatest deprivation. Brexit/Reform UK denotes the party relevant to the election year. The Speaker is excluded; zero party vote shares are retained.</w:t>
      </w:r>
    </w:p>
    <w:tbl>
      <w:tblPr>
        <w:tblW w:w="1647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rHeight w:val="180" w:hRule="atLeast"/>
        </w:trPr>
        <w:tc>
          <w:tcPr>
            <w:tcW w:w="9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Correlation</w:t>
            </w:r>
          </w:p>
        </w:tc>
        <w:tc>
          <w:tcPr>
            <w:tcW w:w="33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Health/deprivation measure</w:t>
            </w:r>
          </w:p>
        </w:tc>
        <w:tc>
          <w:tcPr>
            <w:tcW w:w="65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Election year</w:t>
            </w:r>
          </w:p>
        </w:tc>
        <w:tc>
          <w:tcPr>
            <w:tcW w:w="5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N</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Conservative</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Labour</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Liberal Democrat</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Brexit/Reform UK</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Turnout</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-0.694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-0.671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0.036 (0.413)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0.167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0.079 (0.07)</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0.052 (0.233)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-0.340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-0.156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-0.324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0.084 (0.052)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-0.138 (0.001)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0.687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-0.658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0.722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-0.447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0.666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-0.706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0.639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0.724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-0.685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0.644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-0.804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0.035 (0.416)</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-0.532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0.081 (0.063)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0.028 (0.52)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0.399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-0.336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0.330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-0.200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-0.269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-0.131 (0.002)</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-0.489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-0.776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0.708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0.490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-0.531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0.486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-0.736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0.179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0.635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-0.479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0.134 (0.002)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-0.322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-0.298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0.126 (0.003)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-0.063 (0.141)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-0.079 (0.066)</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-0.382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0.803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0.490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0.504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-0.799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-0.185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0.211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-0.356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-0.138 (0.001)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-0.232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-0.286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0.162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-0.047 (0.279)</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-0.150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-0.049 (0.257)</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-0.352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0.793 (&lt;0.001)</w:t>
            </w:r>
          </w:p>
        </w:tc>
      </w:tr>
    </w:tbl>
    <w:sectPr>
      <w:pgSz w:w="16838" w:h="11906" w:orient="landscape"/>
      <w:pgMar w:top="180" w:right="180" w:bottom="180" w:left="180" w:header="180" w:footer="180" w:gutter="0"/>
    </w:sectPr>
  </w:body>
</w:document>
</file>