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EA" w:rsidRPr="00267C23" w:rsidRDefault="00920028" w:rsidP="00FF1AE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267C23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Expert System for Mineral Exploration</w:t>
      </w:r>
    </w:p>
    <w:p w:rsidR="00FF1AEA" w:rsidRDefault="00FF1AEA" w:rsidP="00FF1AE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5835D0" w:rsidRDefault="00920028" w:rsidP="0092002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In artificial intelligence, an expert system is a computer system that emulates the decision-maki</w:t>
      </w:r>
      <w:r w:rsid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ng ability of a human expert.</w:t>
      </w: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Expert systems are designed to solve complex problems</w:t>
      </w:r>
      <w:r w:rsid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by reasoning about </w:t>
      </w: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knowledge, represented mainly as if–then rules rather than through c</w:t>
      </w:r>
      <w:r w:rsid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onventional procedural code. </w:t>
      </w: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The first expert systems were created in the 1970s and then proli</w:t>
      </w:r>
      <w:r w:rsid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ferated in the 1980s. Expert </w:t>
      </w: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systems were among the first truly successful forms of artificial intelligenc</w:t>
      </w:r>
      <w:r w:rsid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 (AI) software. An expert system is </w:t>
      </w: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divided into two subsystems: the inference engine and the kno</w:t>
      </w:r>
      <w:r w:rsid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wledge base. The knowledge base </w:t>
      </w: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represents facts and rules. The inference engine applies the rules to the</w:t>
      </w:r>
      <w:r w:rsid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known facts to deduce new </w:t>
      </w: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facts. Inference engines can also include explanation and debugging abilities.</w:t>
      </w:r>
    </w:p>
    <w:p w:rsidR="00920028" w:rsidRDefault="00920028" w:rsidP="0092002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267C23" w:rsidRPr="00267C23" w:rsidRDefault="00267C23" w:rsidP="00267C2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An expert system is made up of three parts:</w:t>
      </w:r>
    </w:p>
    <w:p w:rsidR="00E675B5" w:rsidRDefault="00E675B5" w:rsidP="00267C2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A user interface</w:t>
      </w:r>
    </w:p>
    <w:p w:rsidR="00267C23" w:rsidRDefault="00267C23" w:rsidP="00E675B5">
      <w:pPr>
        <w:pStyle w:val="ListParagraph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This is the system that allows a non-expert user to query (question) the expert system, and to receive advice. The user-interface is designed to be a simple to use as possible.</w:t>
      </w:r>
    </w:p>
    <w:p w:rsidR="00E675B5" w:rsidRDefault="00E675B5" w:rsidP="00267C2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A knowledge base</w:t>
      </w:r>
    </w:p>
    <w:p w:rsidR="00267C23" w:rsidRDefault="00267C23" w:rsidP="00E675B5">
      <w:pPr>
        <w:pStyle w:val="ListParagraph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This is a collection of facts and rules. The knowledge base is created from information provided by human experts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.</w:t>
      </w:r>
    </w:p>
    <w:p w:rsidR="00E675B5" w:rsidRDefault="00E675B5" w:rsidP="00267C2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An inference engine</w:t>
      </w:r>
    </w:p>
    <w:p w:rsidR="00A4085A" w:rsidRDefault="00267C23" w:rsidP="00E675B5">
      <w:pPr>
        <w:pStyle w:val="ListParagraph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This acts rather like a search engine, examining the knowledge base for information that matches the user's query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.</w:t>
      </w:r>
    </w:p>
    <w:p w:rsidR="00267C23" w:rsidRDefault="00267C23" w:rsidP="00267C2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2244125"/>
            <wp:effectExtent l="0" t="0" r="2540" b="3810"/>
            <wp:docPr id="1" name="Picture 1" descr="Stacks Image 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s Image 57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23" w:rsidRDefault="00267C23" w:rsidP="00267C2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267C23" w:rsidRDefault="00267C23" w:rsidP="00267C2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The non-expert user queries the expert system. This is done by asking a question, or by answering questi</w:t>
      </w:r>
      <w:r w:rsidR="00E675B5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ons asked by the expert system. </w:t>
      </w:r>
      <w:r w:rsidRPr="00267C2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The inference engine uses the query to search the knowledge base and then provides an answer or some advice to the user.</w:t>
      </w:r>
    </w:p>
    <w:p w:rsidR="00267C23" w:rsidRPr="00267C23" w:rsidRDefault="00267C23" w:rsidP="00267C2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DD77DF" w:rsidRPr="00DD77DF" w:rsidRDefault="00267C23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There is so many applications of expert system in </w:t>
      </w:r>
      <w:r w:rsidR="00E675B5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life, one of them is in geology. Expert system can be used to conduct mineral exploration. It is called prospector. </w:t>
      </w:r>
      <w:r w:rsidR="00DD77DF"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</w:t>
      </w:r>
      <w:r w:rsid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rospector</w:t>
      </w:r>
      <w:r w:rsidR="00DD77DF"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is an expert system designed for deci</w:t>
      </w:r>
      <w:r w:rsid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sion-making problems in mineral exploration. It aids </w:t>
      </w:r>
      <w:r w:rsidR="00DD77DF"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geologists in evaluating the favorab</w:t>
      </w:r>
      <w:r w:rsid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ility of an exploration site or </w:t>
      </w:r>
      <w:r w:rsidR="00DD77DF"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region for occurrences of or</w:t>
      </w:r>
      <w:r w:rsid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 deposits of particular types. </w:t>
      </w:r>
      <w:r w:rsidR="00DD77DF"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Once a site has been identified, </w:t>
      </w:r>
      <w:r w:rsid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prospector can also be used for drilling-site </w:t>
      </w:r>
      <w:r w:rsidR="00DD77DF"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selection.</w:t>
      </w:r>
    </w:p>
    <w:p w:rsidR="00DD77DF" w:rsidRDefault="00DD77DF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4C5720" w:rsidRDefault="00DD77DF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In addition, Geologists had remarked about its potential v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alue as an educational tool. In this regard,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the models in the system contain explicit, detailed information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from the literature and the experience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of expert explorationists, toge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ther with explanatory text that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can be obtained upon request.</w:t>
      </w:r>
    </w:p>
    <w:p w:rsidR="00262B77" w:rsidRDefault="00921D98" w:rsidP="00921D9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2440756"/>
            <wp:effectExtent l="0" t="0" r="2540" b="0"/>
            <wp:docPr id="2" name="Picture 2" descr="Image result for for mineral expl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r mineral explo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98" w:rsidRDefault="00921D98" w:rsidP="00A4085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DD77DF" w:rsidRPr="00DD77DF" w:rsidRDefault="00DD77DF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DD77DF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Characterizations of givens</w:t>
      </w:r>
    </w:p>
    <w:p w:rsidR="00DD77DF" w:rsidRPr="00DD77DF" w:rsidRDefault="00DD77DF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In the interactive consultation mode of operation, the system is first in the Ante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cedent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mode. A typical consultation session begins with the user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volunteering information in the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form of simple assertions. A typical consequence of ini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tial volunteering is that a few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exact and a number of partial matches are made between volunteered evide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nce and the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nodes in the inference network, and some changes occur in th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 probabilities of the toplevel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hypotheses. Second, once a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top-level hypothesis H has been chosen, the program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enters the consequent mode. Here it searches the inference network below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H to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determine what question to ask the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user to help resolve the issue. </w:t>
      </w:r>
      <w:r w:rsid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In the batch processing mode, p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rospector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can automa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tically generate questionnaires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for any i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nference network. When the data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entered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in the questionnaire are later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transferred to a file, the progr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am can read the answer from the file as if it were in normal interactive mode.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When </w:t>
      </w:r>
      <w:r w:rsid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prospector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is used for the drilling site selec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tion, it would also request map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data. The user enters it by using a digitizing tablet with a c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ontour editing and display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program.</w:t>
      </w:r>
    </w:p>
    <w:p w:rsidR="00DD77DF" w:rsidRDefault="00DD77DF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DD77DF" w:rsidRPr="00DD77DF" w:rsidRDefault="00DD77DF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DD77DF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Characterization of Output</w:t>
      </w:r>
    </w:p>
    <w:p w:rsidR="00DD77DF" w:rsidRDefault="00DD77DF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rospector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can reach a conclusion about a particular or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 deposit. It gives a certainty value of the ore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deposit. It as well provides the expla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nation text for the conclusion.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Like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mycin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, it allo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ws the user to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execute commands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as well as to answer questions.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For example, in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response to a WHY command, the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ogram accessed some explanatory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text that the expert has previ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ously prepared to explain why a particular piece of evidence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is important. Other commands allow the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user to do such things as trace internal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inferences, change previous answers, change top-level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goals, and obtain summaries of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conclus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ions reached up to that point. </w:t>
      </w:r>
      <w:r w:rsid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When p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rospector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is used for the drilling site selection, it could also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produce the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favorability map of the site.</w:t>
      </w:r>
    </w:p>
    <w:p w:rsidR="00921D98" w:rsidRPr="00DD77DF" w:rsidRDefault="00921D98" w:rsidP="00921D9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4056395"/>
            <wp:effectExtent l="0" t="0" r="2540" b="1270"/>
            <wp:docPr id="3" name="Picture 3" descr="http://www.ga.gov.au/__data/assets/image/0015/42342/aust-m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a.gov.au/__data/assets/image/0015/42342/aust-map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7DF" w:rsidRDefault="00DD77DF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DD77DF" w:rsidRPr="00DD77DF" w:rsidRDefault="00DD77DF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DD77DF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Characterization of Data</w:t>
      </w:r>
    </w:p>
    <w:p w:rsidR="00DD77DF" w:rsidRDefault="00DD77DF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The data in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prospector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is matched a</w:t>
      </w:r>
      <w:r w:rsid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gainst existing models. Most of prospector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’s questions expect Yes/No or certainty a</w:t>
      </w:r>
      <w:r w:rsid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nswers, although some questions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ask for quantities; in the latter case</w:t>
      </w:r>
      <w:r w:rsid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, the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likelihood ratio for</w:t>
      </w:r>
      <w:r w:rsid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the rule is a function of that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quantity. In some ca</w:t>
      </w:r>
      <w:r w:rsid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ses, the </w:t>
      </w:r>
      <w:r w:rsidR="007B4DB6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prospector</w:t>
      </w:r>
      <w:bookmarkStart w:id="0" w:name="_GoBack"/>
      <w:bookmarkEnd w:id="0"/>
      <w:r w:rsid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may request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</w:t>
      </w:r>
      <w:r w:rsid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he user to input the digitizing </w:t>
      </w:r>
      <w:r w:rsidRPr="00DD77DF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map data for a drilling site.</w:t>
      </w:r>
    </w:p>
    <w:p w:rsidR="003B53FA" w:rsidRPr="00E56A33" w:rsidRDefault="003B53FA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</w:p>
    <w:p w:rsidR="00F975A1" w:rsidRPr="00E56A33" w:rsidRDefault="00F975A1" w:rsidP="00F975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E56A33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Phases</w:t>
      </w:r>
    </w:p>
    <w:p w:rsidR="00F975A1" w:rsidRDefault="00F975A1" w:rsidP="00F975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rospector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has 3 modes of operations: Interactive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consultation; Batch processing; Compiled execution. 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For the Interactive consultation mode, there are 2 phase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s: 1.The antecedent mode. 2.The consequent 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mode. A typical consultation session be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gins with the user volunteering information in the form of 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simple assertions. A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typical consequence of initial 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volunteering is t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hat a few exact and a number of 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artial matches are made between 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volunteered evidence and the node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s in the inference network, and some changes occur in 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the probabilities of the top-level hypot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heses. Second, once a top-level 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hypothesis H has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been chosen, the program enters the consequent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mode. It searches the inference network </w:t>
      </w:r>
      <w:r w:rsidRPr="00F975A1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below H to determine what question to ask the user to help resolve the issue.</w:t>
      </w:r>
    </w:p>
    <w:p w:rsidR="00F975A1" w:rsidRDefault="00F975A1" w:rsidP="00DD77D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3B53FA" w:rsidRDefault="003B53FA" w:rsidP="003B53F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3B53FA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 xml:space="preserve">Search Space </w:t>
      </w:r>
    </w:p>
    <w:p w:rsidR="003B53FA" w:rsidRPr="003B53FA" w:rsidRDefault="003B53FA" w:rsidP="003B53F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In the antecedent mode of an interactive consultation, the program is receiving</w:t>
      </w:r>
      <w:r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 xml:space="preserve">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information; it matches statements from the user against the assertions in the inference</w:t>
      </w:r>
      <w:r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network and propagates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probability changes up through the network. In the consequent</w:t>
      </w:r>
      <w:r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 xml:space="preserve">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mod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e, the program is attempting to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establish (or rule out) a top-level hypothesis, and it</w:t>
      </w:r>
      <w:r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 xml:space="preserve">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searches the infer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ence network for evidence nodes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that are most effective for this task.</w:t>
      </w:r>
      <w:r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 xml:space="preserve">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The strategy that the program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uses to choose goals and select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evidence is called control</w:t>
      </w:r>
      <w:r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 xml:space="preserve">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strategy.</w:t>
      </w:r>
    </w:p>
    <w:p w:rsidR="003B53FA" w:rsidRDefault="003B53FA" w:rsidP="003B53F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3B53FA" w:rsidRPr="003B53FA" w:rsidRDefault="003B53FA" w:rsidP="003B53F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3B53FA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Space Traversal</w:t>
      </w:r>
    </w:p>
    <w:p w:rsidR="003B53FA" w:rsidRPr="003B53FA" w:rsidRDefault="003B53FA" w:rsidP="003B53F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A typical consequence of initial volunteering is that a fe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w exact and a number of partial matches are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made between volunteered evidence and the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nodes in the inference network, and some changes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lastRenderedPageBreak/>
        <w:t>occur in the probabilities of the top-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level hypotheses. At this point prospector turns to the problem of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working interact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ively with the user to choose a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top-level hypothesis for further refinement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. For each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op-level hypothesis, a score is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computed that combines the cert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ainty of that hypotheses and an average “effective”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certainty of related nodes that were partially m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atched by volunteered evidence.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The top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-scoring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hypotheses are revealed to the user, who is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then given the choice of either following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the program’s recommendation or selecting a d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ifferent hypothesis to pursuer. In either case, the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system has a goal hypothesis to work on.</w:t>
      </w:r>
    </w:p>
    <w:p w:rsidR="003B53FA" w:rsidRDefault="003B53FA" w:rsidP="003B53F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3B53FA" w:rsidRDefault="003B53FA" w:rsidP="003B53F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Search Control Category</w:t>
      </w:r>
    </w:p>
    <w:p w:rsidR="003B53FA" w:rsidRDefault="003B53FA" w:rsidP="003B53F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Once a top-level hypothesis H has been chosen, the program enters the consequent mode.</w:t>
      </w:r>
      <w:r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Here it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searches the inference network below H to determine what question to ask the</w:t>
      </w:r>
      <w:r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user to help resolve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the issue. In doing so, 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prospector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attempts to satisfy the</w:t>
      </w:r>
      <w:r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 xml:space="preserve">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following criteria:</w:t>
      </w:r>
    </w:p>
    <w:p w:rsidR="003B53FA" w:rsidRPr="003B53FA" w:rsidRDefault="003B53FA" w:rsidP="003B53F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134" w:hanging="567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Effectiveness. The evidence sought should have the potential to make a difference in the conclusion.</w:t>
      </w:r>
    </w:p>
    <w:p w:rsidR="003B53FA" w:rsidRPr="003B53FA" w:rsidRDefault="003B53FA" w:rsidP="003B53F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134" w:hanging="567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Naturalness. The program should not jump from topic from topic to topic in a disorganized way that might confuse the user, but should follow a coherent line of reasoning.</w:t>
      </w:r>
    </w:p>
    <w:p w:rsidR="003B53FA" w:rsidRPr="003B53FA" w:rsidRDefault="003B53FA" w:rsidP="003B53F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134" w:hanging="567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Responsiveness. Interactive consultations should not be delayed by time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-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consuming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</w:t>
      </w:r>
      <w:r w:rsidRPr="003B53FA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optimization calculations.</w:t>
      </w:r>
    </w:p>
    <w:p w:rsidR="003B53FA" w:rsidRDefault="003B53FA" w:rsidP="003B53F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</w:p>
    <w:p w:rsidR="00E56A33" w:rsidRP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E56A33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Knowledge Representation Method</w:t>
      </w:r>
    </w:p>
    <w:p w:rsidR="003B53FA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rospector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system uses models and semantic ne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tworks to represents knowledge. Semantic Network is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a network of nodes linked togethe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r by directed arcs to represent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levant knowledge like taxonomic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relations among ob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jects in the domain. Model is a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body of knowled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ge about a particular domain of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expertise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encoded into the system, which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the system can act.</w:t>
      </w:r>
    </w:p>
    <w:p w:rsid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E56A33" w:rsidRP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E56A33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Interaction</w:t>
      </w:r>
    </w:p>
    <w:p w:rsidR="00E56A33" w:rsidRP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The program begins by allowing the user to enter informat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ion about the significant types of rocks and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minerals that have been observed o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r suspected to be present. This antecedent mode helps in the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selection of models to pursue,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which are scored and initially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ranked. Onc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 the user selects a particular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model, the pro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gram enters into the consequent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mode and begin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s asking a series of questions.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Most of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prospector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’s questions expect Yes/No or c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ertainty answers, although some questions ask for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quantities; in the latter case, the likelihood r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atio for the rule is a function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of that quantity.</w:t>
      </w:r>
    </w:p>
    <w:p w:rsid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E56A33" w:rsidRP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E56A33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Data Collection</w:t>
      </w:r>
    </w:p>
    <w:p w:rsidR="00E56A33" w:rsidRP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The inference network can be used in any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of the three operating modes of prospector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(Interactive, batch, compiled).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For the application to prospect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evaluation, the inte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ractive mode is natural. We can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imagine the typical user to be an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exploration geologist who has ju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st spend several days making a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surface examination of a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prospect, who has found evidence that spar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ks his or her interest, and who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would like to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receive advice from a specialist in evaluating the degre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 to which the prospect matches 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a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classical model.</w:t>
      </w:r>
    </w:p>
    <w:p w:rsid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E56A33" w:rsidRP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The program begins by allowing the user to enter informat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ion about the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significant types of rocks and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minerals that have been observed o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 suspected to be present. Th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is antecedent mode helps in the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selection of models to pursue,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which are scored and initially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ranked. Onc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e the user selects a particular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model, the pro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gram enters into the consequent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mode and begin</w:t>
      </w: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s asking a series of questions. 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In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some cases, the 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prospector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may request the user t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o input the digitizing map data </w:t>
      </w:r>
      <w:r w:rsidRPr="00E56A33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for a drilling site.</w:t>
      </w:r>
    </w:p>
    <w:p w:rsidR="00E56A33" w:rsidRDefault="00E56A33" w:rsidP="00A4085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E56A33" w:rsidRP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E56A33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Strengths</w:t>
      </w:r>
    </w:p>
    <w:p w:rsid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Strengths of prospector are:</w:t>
      </w:r>
    </w:p>
    <w:p w:rsidR="00920028" w:rsidRDefault="00E56A33" w:rsidP="00E56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It uses a generic Inference Network to do the knowledge reasoning. This is more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</w:t>
      </w: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accurate and domain independent.</w:t>
      </w:r>
    </w:p>
    <w:p w:rsidR="00920028" w:rsidRDefault="00E56A33" w:rsidP="00E56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lastRenderedPageBreak/>
        <w:t xml:space="preserve">The performance of the 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prospector</w:t>
      </w: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system is not bad.</w:t>
      </w:r>
    </w:p>
    <w:p w:rsidR="00E56A33" w:rsidRPr="00920028" w:rsidRDefault="00E56A33" w:rsidP="00E56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It uses the Semantic Network to help the Inference Network better understand the</w:t>
      </w:r>
      <w:r w:rsid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 xml:space="preserve"> </w:t>
      </w: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assertions. This is effective.</w:t>
      </w:r>
    </w:p>
    <w:p w:rsid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E56A33" w:rsidRDefault="00E56A33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E56A33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Weaknesses</w:t>
      </w:r>
    </w:p>
    <w:p w:rsidR="00920028" w:rsidRPr="00920028" w:rsidRDefault="00920028" w:rsidP="00E56A3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Weakness of prospector is:</w:t>
      </w:r>
    </w:p>
    <w:p w:rsidR="00E56A33" w:rsidRPr="00920028" w:rsidRDefault="00E56A33" w:rsidP="0092002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r w:rsidRPr="00920028"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  <w:t>It is not easy to build a model. As a result, the models are incomplete.</w:t>
      </w:r>
    </w:p>
    <w:p w:rsidR="00E56A33" w:rsidRDefault="00E56A33" w:rsidP="00A4085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p w:rsidR="00FA546D" w:rsidRPr="00FA546D" w:rsidRDefault="00FA546D" w:rsidP="00A4085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</w:pPr>
      <w:r w:rsidRPr="00FA546D">
        <w:rPr>
          <w:rFonts w:ascii="Segoe UI" w:eastAsia="Times New Roman" w:hAnsi="Segoe UI" w:cs="Segoe UI"/>
          <w:b/>
          <w:color w:val="333333"/>
          <w:sz w:val="20"/>
          <w:szCs w:val="20"/>
          <w:lang w:eastAsia="id-ID"/>
        </w:rPr>
        <w:t>Referensi</w:t>
      </w:r>
    </w:p>
    <w:p w:rsidR="00E675B5" w:rsidRDefault="00E675B5" w:rsidP="00A4085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hyperlink r:id="rId10" w:history="1">
        <w:r w:rsidRPr="00B84937">
          <w:rPr>
            <w:rStyle w:val="Hyperlink"/>
            <w:rFonts w:ascii="Segoe UI" w:eastAsia="Times New Roman" w:hAnsi="Segoe UI" w:cs="Segoe UI"/>
            <w:sz w:val="20"/>
            <w:szCs w:val="20"/>
            <w:lang w:eastAsia="id-ID"/>
          </w:rPr>
          <w:t>https://en.wikipedia.org/wiki/Expert_system</w:t>
        </w:r>
      </w:hyperlink>
    </w:p>
    <w:p w:rsidR="00E675B5" w:rsidRDefault="007B4DB6" w:rsidP="00A4085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  <w:hyperlink r:id="rId11" w:history="1">
        <w:r w:rsidR="00262B77" w:rsidRPr="00B84937">
          <w:rPr>
            <w:rStyle w:val="Hyperlink"/>
            <w:rFonts w:ascii="Segoe UI" w:eastAsia="Times New Roman" w:hAnsi="Segoe UI" w:cs="Segoe UI"/>
            <w:sz w:val="20"/>
            <w:szCs w:val="20"/>
            <w:lang w:eastAsia="id-ID"/>
          </w:rPr>
          <w:t>http://web.cs.wpi.edu/~dcb/courses/CS538/documents/2002/Prospector-profile.pdf</w:t>
        </w:r>
      </w:hyperlink>
    </w:p>
    <w:p w:rsidR="00530A43" w:rsidRDefault="00E675B5" w:rsidP="00A4085A">
      <w:pPr>
        <w:shd w:val="clear" w:color="auto" w:fill="FFFFFF"/>
        <w:spacing w:after="0" w:line="240" w:lineRule="auto"/>
        <w:jc w:val="both"/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Jackson, Peter (1998),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Introduction To Expert Systems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(3 ed.), Addison Wesley, p. 2,</w:t>
      </w:r>
      <w:r>
        <w:rPr>
          <w:rStyle w:val="apple-converted-spac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hyperlink r:id="rId12" w:tooltip="International Standard Book Number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ISBN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3" w:tooltip="Special:BookSources/978-0-201-87686-4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978-0-201-87686-4</w:t>
        </w:r>
      </w:hyperlink>
    </w:p>
    <w:p w:rsidR="00E675B5" w:rsidRDefault="00E675B5" w:rsidP="00A4085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Russell, Stuart; Norvig, Peter (1995).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Artificial Intelligence: A Modern Approach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(PDF)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Simon &amp; Schuster. pp. 22–23.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5" w:tooltip="International Standard Book Number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ISBN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6" w:tooltip="Special:BookSources/0-13-103805-2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0-13-103805-2</w:t>
        </w:r>
      </w:hyperlink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FFFFFF"/>
        </w:rPr>
        <w:t>. Retrieved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FFFFFF"/>
        </w:rPr>
        <w:t>14 June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FFFFFF"/>
        </w:rPr>
        <w:t>2014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921D98" w:rsidRDefault="007B4DB6" w:rsidP="00A4085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17" w:history="1">
        <w:r w:rsidR="00921D98" w:rsidRPr="00B84937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http://www.ga.gov.au/scientific-topics/minerals/mineral-potential-mapper</w:t>
        </w:r>
      </w:hyperlink>
    </w:p>
    <w:p w:rsidR="00921D98" w:rsidRDefault="00921D98" w:rsidP="00A4085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675B5" w:rsidRPr="00FF1AEA" w:rsidRDefault="00E675B5" w:rsidP="00A4085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id-ID"/>
        </w:rPr>
      </w:pPr>
    </w:p>
    <w:sectPr w:rsidR="00E675B5" w:rsidRPr="00FF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275A"/>
    <w:multiLevelType w:val="hybridMultilevel"/>
    <w:tmpl w:val="45D803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85247"/>
    <w:multiLevelType w:val="multilevel"/>
    <w:tmpl w:val="4A38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25F02"/>
    <w:multiLevelType w:val="hybridMultilevel"/>
    <w:tmpl w:val="556EF8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86D67"/>
    <w:multiLevelType w:val="multilevel"/>
    <w:tmpl w:val="D080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E249B7"/>
    <w:multiLevelType w:val="hybridMultilevel"/>
    <w:tmpl w:val="4E34AD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53354"/>
    <w:multiLevelType w:val="hybridMultilevel"/>
    <w:tmpl w:val="A98251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F346B"/>
    <w:multiLevelType w:val="multilevel"/>
    <w:tmpl w:val="D7EC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D274CB"/>
    <w:multiLevelType w:val="hybridMultilevel"/>
    <w:tmpl w:val="AE521C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D0"/>
    <w:rsid w:val="00121B1F"/>
    <w:rsid w:val="00147B0F"/>
    <w:rsid w:val="00262B77"/>
    <w:rsid w:val="00267C23"/>
    <w:rsid w:val="00356A6B"/>
    <w:rsid w:val="003B53FA"/>
    <w:rsid w:val="003D5FB4"/>
    <w:rsid w:val="00413DC6"/>
    <w:rsid w:val="004C5720"/>
    <w:rsid w:val="00530A43"/>
    <w:rsid w:val="00567393"/>
    <w:rsid w:val="005835D0"/>
    <w:rsid w:val="00677277"/>
    <w:rsid w:val="00725BD5"/>
    <w:rsid w:val="007B4DB6"/>
    <w:rsid w:val="00821BA2"/>
    <w:rsid w:val="0085116B"/>
    <w:rsid w:val="00860177"/>
    <w:rsid w:val="00920028"/>
    <w:rsid w:val="00921D98"/>
    <w:rsid w:val="00934553"/>
    <w:rsid w:val="00952194"/>
    <w:rsid w:val="00A4085A"/>
    <w:rsid w:val="00A425C6"/>
    <w:rsid w:val="00A9146C"/>
    <w:rsid w:val="00B06DCA"/>
    <w:rsid w:val="00B16E7A"/>
    <w:rsid w:val="00BD4ABD"/>
    <w:rsid w:val="00BE7F16"/>
    <w:rsid w:val="00C15B2F"/>
    <w:rsid w:val="00C82567"/>
    <w:rsid w:val="00CB3BF5"/>
    <w:rsid w:val="00D875B7"/>
    <w:rsid w:val="00DB27A9"/>
    <w:rsid w:val="00DD77DF"/>
    <w:rsid w:val="00E56A33"/>
    <w:rsid w:val="00E675B5"/>
    <w:rsid w:val="00EA0C21"/>
    <w:rsid w:val="00F06A5D"/>
    <w:rsid w:val="00F136D1"/>
    <w:rsid w:val="00F3745C"/>
    <w:rsid w:val="00F975A1"/>
    <w:rsid w:val="00FA546D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35D0"/>
  </w:style>
  <w:style w:type="paragraph" w:styleId="ListParagraph">
    <w:name w:val="List Paragraph"/>
    <w:basedOn w:val="Normal"/>
    <w:uiPriority w:val="34"/>
    <w:qFormat/>
    <w:rsid w:val="00583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B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2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E675B5"/>
    <w:rPr>
      <w:i/>
      <w:iCs/>
    </w:rPr>
  </w:style>
  <w:style w:type="character" w:customStyle="1" w:styleId="reference-accessdate">
    <w:name w:val="reference-accessdate"/>
    <w:basedOn w:val="DefaultParagraphFont"/>
    <w:rsid w:val="00E675B5"/>
  </w:style>
  <w:style w:type="character" w:customStyle="1" w:styleId="nowrap">
    <w:name w:val="nowrap"/>
    <w:basedOn w:val="DefaultParagraphFont"/>
    <w:rsid w:val="00E67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35D0"/>
  </w:style>
  <w:style w:type="paragraph" w:styleId="ListParagraph">
    <w:name w:val="List Paragraph"/>
    <w:basedOn w:val="Normal"/>
    <w:uiPriority w:val="34"/>
    <w:qFormat/>
    <w:rsid w:val="00583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B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2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E675B5"/>
    <w:rPr>
      <w:i/>
      <w:iCs/>
    </w:rPr>
  </w:style>
  <w:style w:type="character" w:customStyle="1" w:styleId="reference-accessdate">
    <w:name w:val="reference-accessdate"/>
    <w:basedOn w:val="DefaultParagraphFont"/>
    <w:rsid w:val="00E675B5"/>
  </w:style>
  <w:style w:type="character" w:customStyle="1" w:styleId="nowrap">
    <w:name w:val="nowrap"/>
    <w:basedOn w:val="DefaultParagraphFont"/>
    <w:rsid w:val="00E6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.wikipedia.org/wiki/Special:BookSources/978-0-201-87686-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International_Standard_Book_Number" TargetMode="External"/><Relationship Id="rId17" Type="http://schemas.openxmlformats.org/officeDocument/2006/relationships/hyperlink" Target="http://www.ga.gov.au/scientific-topics/minerals/mineral-potential-map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pecial:BookSources/0-13-103805-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dcb/courses/CS538/documents/2002/Prospector-profile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hyperlink" Target="https://en.wikipedia.org/wiki/Expert_syste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://stpk.cs.rtu.lv/sites/all/files/stpk/materiali/MI/Artificial%20Intelligence%20A%20Modern%20Approa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DB2CB-7AE0-4081-966C-E2C8B055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Sidney</dc:creator>
  <cp:lastModifiedBy>Rachel Sidney</cp:lastModifiedBy>
  <cp:revision>28</cp:revision>
  <dcterms:created xsi:type="dcterms:W3CDTF">2017-05-28T10:21:00Z</dcterms:created>
  <dcterms:modified xsi:type="dcterms:W3CDTF">2017-05-29T01:29:00Z</dcterms:modified>
</cp:coreProperties>
</file>