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Quant Interview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Basic Maths</w:t>
      </w:r>
    </w:p>
    <w:p w:rsidR="005F1837" w:rsidRPr="005F1837" w:rsidRDefault="005F1837" w:rsidP="005F1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Markovian - </w:t>
      </w:r>
      <w:r w:rsidRPr="005F1837">
        <w:rPr>
          <w:rFonts w:ascii="Calibri" w:eastAsia="Times New Roman" w:hAnsi="Calibri" w:cs="Calibri"/>
          <w:color w:val="000000"/>
          <w:lang w:eastAsia="en-GB"/>
        </w:rPr>
        <w:t>Memoryless property of stochastic process</w:t>
      </w:r>
    </w:p>
    <w:p w:rsidR="005F1837" w:rsidRPr="005F1837" w:rsidRDefault="005F1837" w:rsidP="005F1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Martingale - </w:t>
      </w:r>
      <w:r w:rsidRPr="005F1837">
        <w:rPr>
          <w:rFonts w:ascii="Calibri" w:eastAsia="Times New Roman" w:hAnsi="Calibri" w:cs="Calibri"/>
          <w:color w:val="000000"/>
          <w:lang w:eastAsia="en-GB"/>
        </w:rPr>
        <w:t>Conditional expectation of next value is the present value</w:t>
      </w:r>
    </w:p>
    <w:p w:rsidR="005F1837" w:rsidRPr="005F1837" w:rsidRDefault="005F1837" w:rsidP="005F1837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Risk Neutral – </w:t>
      </w:r>
      <w:r w:rsidRPr="005F1837">
        <w:rPr>
          <w:rFonts w:ascii="Calibri" w:eastAsia="Times New Roman" w:hAnsi="Calibri" w:cs="Calibri"/>
          <w:color w:val="000000"/>
          <w:lang w:eastAsia="en-GB"/>
        </w:rPr>
        <w:t>Price equal to the discounted expectation of the price under the risk neutral measure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SDE</w:t>
      </w:r>
    </w:p>
    <w:p w:rsidR="005F1837" w:rsidRPr="005F1837" w:rsidRDefault="005F1837" w:rsidP="005F183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Find the SDE simple, write function f(s) = ln(s) then Taylor expansion</w:t>
      </w:r>
    </w:p>
    <w:p w:rsidR="005F1837" w:rsidRPr="005F1837" w:rsidRDefault="005F1837" w:rsidP="005F183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GBM SDE can be solved analytically </w:t>
      </w:r>
    </w:p>
    <w:p w:rsidR="005F1837" w:rsidRPr="005F1837" w:rsidRDefault="005F1837" w:rsidP="005F1837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Otherwise use Euler or Milstein, numerical solutions for SDE’s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Swap </w:t>
      </w:r>
    </w:p>
    <w:p w:rsidR="005F1837" w:rsidRPr="005F1837" w:rsidRDefault="005F1837" w:rsidP="005F1837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Non linear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function of the underlying forward rates 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Forward Rate Curve</w:t>
      </w:r>
    </w:p>
    <w:p w:rsidR="005F1837" w:rsidRPr="005F1837" w:rsidRDefault="005F1837" w:rsidP="005F1837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Term structure of rates embodied in shape of forward curve </w:t>
      </w:r>
    </w:p>
    <w:p w:rsidR="005F1837" w:rsidRPr="005F1837" w:rsidRDefault="005F1837" w:rsidP="005F183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LIBOR </w:t>
      </w:r>
    </w:p>
    <w:p w:rsidR="005F1837" w:rsidRPr="005F1837" w:rsidRDefault="005F1837" w:rsidP="005F1837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Offered rate – how much they would charge to lend money or </w:t>
      </w: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how much you would pay on deposits 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Rates</w:t>
      </w:r>
    </w:p>
    <w:p w:rsidR="005F1837" w:rsidRPr="005F1837" w:rsidRDefault="005F1837" w:rsidP="005F18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Fixed income instruments depend on a segment of the forward curve (swap for instance)</w:t>
      </w:r>
    </w:p>
    <w:p w:rsidR="005F1837" w:rsidRPr="005F1837" w:rsidRDefault="005F1837" w:rsidP="005F18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Pricing requires stochastic evolution of entire forward curve</w:t>
      </w:r>
    </w:p>
    <w:p w:rsidR="005F1837" w:rsidRPr="005F1837" w:rsidRDefault="005F1837" w:rsidP="005F18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Two types of models</w:t>
      </w:r>
    </w:p>
    <w:p w:rsidR="005F1837" w:rsidRPr="005F1837" w:rsidRDefault="005F1837" w:rsidP="005F1837">
      <w:pPr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Short rate models (HW1F for instance)</w:t>
      </w:r>
    </w:p>
    <w:p w:rsidR="005F1837" w:rsidRPr="005F1837" w:rsidRDefault="005F1837" w:rsidP="005F1837">
      <w:pPr>
        <w:numPr>
          <w:ilvl w:val="1"/>
          <w:numId w:val="7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Models that capture entire forward curve dynamics (HJM, LMM)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Hull White </w:t>
      </w:r>
    </w:p>
    <w:p w:rsidR="005F1837" w:rsidRPr="005F1837" w:rsidRDefault="005F1837" w:rsidP="005F183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Evolution of instantaneous short rate, distribution of short rate is normal </w:t>
      </w:r>
    </w:p>
    <w:p w:rsidR="005F1837" w:rsidRPr="005F1837" w:rsidRDefault="005F1837" w:rsidP="005F183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Exact fitting of initial term structure through Φ(t)</w:t>
      </w:r>
    </w:p>
    <w:p w:rsidR="005F1837" w:rsidRPr="005F1837" w:rsidRDefault="005F1837" w:rsidP="005F183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Calibration: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Determine term structure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Generate HW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Use </w:t>
      </w:r>
      <w:proofErr w:type="spellStart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Jamshidian</w:t>
      </w:r>
      <w:proofErr w:type="spellEnd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Pr="005F1837">
        <w:rPr>
          <w:rFonts w:ascii="Calibri" w:eastAsia="Times New Roman" w:hAnsi="Calibri" w:cs="Calibri"/>
          <w:color w:val="000000"/>
          <w:lang w:eastAsia="en-GB"/>
        </w:rPr>
        <w:t>waption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engine to price, create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swaption</w:t>
      </w:r>
      <w:proofErr w:type="spellEnd"/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Use </w:t>
      </w:r>
      <w:proofErr w:type="spellStart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Levenberg-marquardt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algo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as calibration method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Determine a and σ</w:t>
      </w:r>
    </w:p>
    <w:p w:rsidR="005F1837" w:rsidRPr="005F1837" w:rsidRDefault="005F1837" w:rsidP="005F1837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f(t) is instantaneous short rate given by:   </w:t>
      </w:r>
      <w:proofErr w:type="spellStart"/>
      <w:r w:rsidRPr="005F1837">
        <w:rPr>
          <w:rFonts w:ascii="Cambria Math" w:eastAsia="Times New Roman" w:hAnsi="Cambria Math" w:cs="Calibri"/>
          <w:color w:val="000000"/>
          <w:lang w:eastAsia="en-GB"/>
        </w:rPr>
        <w:t>ft,T</w:t>
      </w:r>
      <w:proofErr w:type="spellEnd"/>
      <w:r w:rsidRPr="005F1837">
        <w:rPr>
          <w:rFonts w:ascii="Cambria Math" w:eastAsia="Times New Roman" w:hAnsi="Cambria Math" w:cs="Calibri"/>
          <w:color w:val="000000"/>
          <w:lang w:eastAsia="en-GB"/>
        </w:rPr>
        <w:t>= -</w:t>
      </w:r>
      <w:proofErr w:type="spellStart"/>
      <w:r w:rsidRPr="005F1837">
        <w:rPr>
          <w:rFonts w:ascii="Cambria Math" w:eastAsia="Times New Roman" w:hAnsi="Cambria Math" w:cs="Calibri"/>
          <w:color w:val="000000"/>
          <w:lang w:eastAsia="en-GB"/>
        </w:rPr>
        <w:t>ddtln</w:t>
      </w:r>
      <w:proofErr w:type="spellEnd"/>
      <w:r w:rsidRPr="005F1837">
        <w:rPr>
          <w:rFonts w:ascii="Cambria Math" w:eastAsia="Times New Roman" w:hAnsi="Cambria Math" w:cs="Calibri"/>
          <w:color w:val="000000"/>
          <w:lang w:eastAsia="en-GB"/>
        </w:rPr>
        <w:t>⁡(</w:t>
      </w:r>
      <w:proofErr w:type="spellStart"/>
      <w:r w:rsidRPr="005F1837">
        <w:rPr>
          <w:rFonts w:ascii="Cambria Math" w:eastAsia="Times New Roman" w:hAnsi="Cambria Math" w:cs="Calibri"/>
          <w:color w:val="000000"/>
          <w:lang w:eastAsia="en-GB"/>
        </w:rPr>
        <w:t>Pt,T</w:t>
      </w:r>
      <w:proofErr w:type="spellEnd"/>
      <w:r w:rsidRPr="005F1837">
        <w:rPr>
          <w:rFonts w:ascii="Cambria Math" w:eastAsia="Times New Roman" w:hAnsi="Cambria Math" w:cs="Calibri"/>
          <w:color w:val="000000"/>
          <w:lang w:eastAsia="en-GB"/>
        </w:rPr>
        <w:t>)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LMM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Capture dynamics of the entire forward curve (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FRA’ing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the curve)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Term structure in shape of forward curve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Deterministic volatility and correlation structure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Arbitrage free – choose numeraire to be a zero coupon bond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Dimension reduction, reduce to say 4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Brownians</w:t>
      </w:r>
      <w:proofErr w:type="spellEnd"/>
    </w:p>
    <w:p w:rsidR="005F1837" w:rsidRPr="005F1837" w:rsidRDefault="005F1837" w:rsidP="005F1837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Numerical solution of SDE (Euler or Millstein)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Volatility</w:t>
      </w:r>
    </w:p>
    <w:p w:rsidR="005F1837" w:rsidRPr="005F1837" w:rsidRDefault="005F1837" w:rsidP="005F183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lastRenderedPageBreak/>
        <w:t>Volatility can be constant, have term structure, local (equity) or stochastic</w:t>
      </w:r>
    </w:p>
    <w:p w:rsidR="005F1837" w:rsidRPr="005F1837" w:rsidRDefault="005F1837" w:rsidP="005F183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Dynamics of underlying</w:t>
      </w:r>
    </w:p>
    <w:p w:rsidR="005F1837" w:rsidRPr="005F1837" w:rsidRDefault="005F1837" w:rsidP="005F1837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Normal - σ - absolute </w:t>
      </w:r>
    </w:p>
    <w:p w:rsidR="005F1837" w:rsidRPr="005F1837" w:rsidRDefault="005F1837" w:rsidP="005F1837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Lognormal -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σF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- relative</w:t>
      </w:r>
    </w:p>
    <w:p w:rsidR="00B411F2" w:rsidRPr="00B411F2" w:rsidRDefault="005F1837" w:rsidP="005F1837">
      <w:pPr>
        <w:numPr>
          <w:ilvl w:val="1"/>
          <w:numId w:val="12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Constant elasticity of variance (CEV) -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σF</w:t>
      </w:r>
      <w:proofErr w:type="spellEnd"/>
      <w:r w:rsidRPr="005F1837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GB"/>
        </w:rPr>
        <w:t xml:space="preserve">β </w:t>
      </w:r>
      <w:r w:rsidRPr="005F1837">
        <w:rPr>
          <w:rFonts w:ascii="Calibri" w:eastAsia="Times New Roman" w:hAnsi="Calibri" w:cs="Calibri"/>
          <w:color w:val="000000"/>
          <w:lang w:eastAsia="en-GB"/>
        </w:rPr>
        <w:t>– captures smile</w:t>
      </w:r>
    </w:p>
    <w:p w:rsidR="00B411F2" w:rsidRPr="005F1837" w:rsidRDefault="00B411F2" w:rsidP="00B41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411F2" w:rsidRPr="005F1837" w:rsidRDefault="00B411F2" w:rsidP="00B41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Implied, local and stochastic volatility</w:t>
      </w:r>
    </w:p>
    <w:p w:rsidR="00B411F2" w:rsidRPr="005F1837" w:rsidRDefault="00B411F2" w:rsidP="00B411F2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Implied volatility one to one mapping between option price and specific model quantity (BS)</w:t>
      </w:r>
    </w:p>
    <w:p w:rsidR="00B411F2" w:rsidRPr="005F1837" w:rsidRDefault="00B411F2" w:rsidP="00B411F2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Local Volatility one to one mapping with all vanilla option prices/ 1D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Markhovian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process</w:t>
      </w:r>
    </w:p>
    <w:p w:rsidR="00B411F2" w:rsidRPr="005F1837" w:rsidRDefault="00B411F2" w:rsidP="00B411F2">
      <w:pPr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Instantaneous variance of the log returns depends on spot price</w:t>
      </w:r>
    </w:p>
    <w:p w:rsidR="00B411F2" w:rsidRPr="005F1837" w:rsidRDefault="00B411F2" w:rsidP="00B411F2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Stochastic Volatility 2D diffusion framework</w:t>
      </w:r>
    </w:p>
    <w:p w:rsidR="00B411F2" w:rsidRDefault="00B411F2" w:rsidP="005F1837">
      <w:pPr>
        <w:numPr>
          <w:ilvl w:val="1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Instantaneous variance of log returns is separate stochastic factor</w:t>
      </w:r>
    </w:p>
    <w:p w:rsidR="00B411F2" w:rsidRPr="00B411F2" w:rsidRDefault="00B411F2" w:rsidP="00702664">
      <w:p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bookmarkStart w:id="0" w:name="_GoBack"/>
      <w:bookmarkEnd w:id="0"/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SABR Model</w:t>
      </w:r>
      <w:r w:rsidRPr="005F1837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GB"/>
        </w:rPr>
        <w:t> </w:t>
      </w:r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Stochastic Volatility Model attempts to capture the smile in derivatives markets</w:t>
      </w:r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dF</w:t>
      </w:r>
      <w:proofErr w:type="spellEnd"/>
      <w:r w:rsidRPr="005F1837">
        <w:rPr>
          <w:rFonts w:ascii="Cambria Math" w:eastAsia="Times New Roman" w:hAnsi="Cambria Math" w:cs="Arial"/>
          <w:color w:val="000000"/>
          <w:lang w:eastAsia="en-GB"/>
        </w:rPr>
        <w:t xml:space="preserve">= F </w:t>
      </w: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dW</w:t>
      </w:r>
      <w:proofErr w:type="spellEnd"/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dσ</w:t>
      </w:r>
      <w:proofErr w:type="spellEnd"/>
      <w:r w:rsidRPr="005F1837">
        <w:rPr>
          <w:rFonts w:ascii="Cambria Math" w:eastAsia="Times New Roman" w:hAnsi="Cambria Math" w:cs="Arial"/>
          <w:color w:val="000000"/>
          <w:lang w:eastAsia="en-GB"/>
        </w:rPr>
        <w:t xml:space="preserve">= </w:t>
      </w: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νσdX</w:t>
      </w:r>
      <w:proofErr w:type="spellEnd"/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EdWdX</w:t>
      </w:r>
      <w:proofErr w:type="spellEnd"/>
      <w:r w:rsidRPr="005F1837">
        <w:rPr>
          <w:rFonts w:ascii="Cambria Math" w:eastAsia="Times New Roman" w:hAnsi="Cambria Math" w:cs="Arial"/>
          <w:color w:val="000000"/>
          <w:lang w:eastAsia="en-GB"/>
        </w:rPr>
        <w:t xml:space="preserve">= </w:t>
      </w: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ρdt</w:t>
      </w:r>
      <w:proofErr w:type="spellEnd"/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Alpha = ATM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vol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>, beta/rho = skew, nu = curvature</w:t>
      </w:r>
    </w:p>
    <w:p w:rsidR="005F1837" w:rsidRPr="005F1837" w:rsidRDefault="005F1837" w:rsidP="005F1837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Limitations = constant parameters, no jumps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Credit</w:t>
      </w:r>
    </w:p>
    <w:p w:rsidR="005F1837" w:rsidRPr="005F1837" w:rsidRDefault="005F1837" w:rsidP="005F1837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Hazard rate = instantaneous risk of default = default intensity</w:t>
      </w:r>
    </w:p>
    <w:p w:rsidR="005F1837" w:rsidRPr="005F1837" w:rsidRDefault="005F1837" w:rsidP="005F183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Evolution of instantaneous hazard rate?? Flat, piecewise linear, piecewise constant, parametric</w:t>
      </w:r>
    </w:p>
    <w:p w:rsidR="005F1837" w:rsidRPr="005F1837" w:rsidRDefault="005F1837" w:rsidP="005F183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Cox process</w:t>
      </w: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– Poisson process with stochastic hazard rate</w:t>
      </w:r>
    </w:p>
    <w:p w:rsidR="005F1837" w:rsidRPr="005F1837" w:rsidRDefault="005F1837" w:rsidP="005F1837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Merton Jump Diffusion model</w:t>
      </w: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– standard GBM with Poisson process 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SFT</w:t>
      </w:r>
    </w:p>
    <w:p w:rsidR="005F1837" w:rsidRPr="005F1837" w:rsidRDefault="005F1837" w:rsidP="005F183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Broad term, covers everything from repo to longer term</w:t>
      </w:r>
    </w:p>
    <w:p w:rsidR="005F1837" w:rsidRPr="005F1837" w:rsidRDefault="005F1837" w:rsidP="005F1837">
      <w:pPr>
        <w:numPr>
          <w:ilvl w:val="1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GC Collateral market (lots of eligible collateral, all IG)</w:t>
      </w:r>
    </w:p>
    <w:p w:rsidR="005F1837" w:rsidRPr="005F1837" w:rsidRDefault="005F1837" w:rsidP="005F1837">
      <w:pPr>
        <w:numPr>
          <w:ilvl w:val="1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Exact asset for longer term </w:t>
      </w:r>
    </w:p>
    <w:p w:rsidR="005F1837" w:rsidRPr="005F1837" w:rsidRDefault="005F1837" w:rsidP="005F1837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Haircuts, Contractual haircut (post 1m asset to get 900k cash)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Repo</w:t>
      </w:r>
    </w:p>
    <w:p w:rsidR="005F1837" w:rsidRPr="005F1837" w:rsidRDefault="005F1837" w:rsidP="005F183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o/n UST rate – weighted average of all trades is SOFR print</w:t>
      </w:r>
    </w:p>
    <w:p w:rsidR="005F1837" w:rsidRPr="005F1837" w:rsidRDefault="005F1837" w:rsidP="005F183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Other collateral will have basis</w:t>
      </w:r>
    </w:p>
    <w:p w:rsidR="005F1837" w:rsidRPr="005F1837" w:rsidRDefault="005F1837" w:rsidP="005F183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Term market – no weighted average, driven by IRS market</w:t>
      </w:r>
    </w:p>
    <w:p w:rsidR="005F1837" w:rsidRPr="005F1837" w:rsidRDefault="005F1837" w:rsidP="005F1837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All OTC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IMM</w:t>
      </w:r>
    </w:p>
    <w:p w:rsidR="005F1837" w:rsidRPr="005F1837" w:rsidRDefault="005F1837" w:rsidP="005F1837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Permitted to use for derivatives, SFT or both, no other sub divisions allowed</w:t>
      </w:r>
    </w:p>
    <w:p w:rsidR="005F1837" w:rsidRPr="005F1837" w:rsidRDefault="005F1837" w:rsidP="005F1837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Model them as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non cash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collateral in derivatives IMM, a requirement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Underlying Scenario Generations, no derivatives so all need to model 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Credit - Merton Jump Diffusion, Cox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Equity - Basic diffusion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Rates – HW1F, LMM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FX Component – joint diffusion</w:t>
      </w:r>
    </w:p>
    <w:p w:rsidR="005F1837" w:rsidRPr="005F1837" w:rsidRDefault="005F1837" w:rsidP="005F1837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Securitisations – model the spread directly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Effective Modelling</w:t>
      </w:r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MPoR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– 5 days</w:t>
      </w:r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Discretisation scheme, every day for a few days, then weekly, then monthly?</w:t>
      </w:r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Trade off, accurately capture profile, any events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etc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etc</w:t>
      </w:r>
      <w:proofErr w:type="spellEnd"/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EPE maintains size up to maturity (we discussed before, still need to liquidate so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MPoR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always applies until trade dead</w:t>
      </w:r>
    </w:p>
    <w:p w:rsidR="005F1837" w:rsidRPr="005F1837" w:rsidRDefault="005F1837" w:rsidP="005F1837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How to account for coupon payments, unexpected jumps that unlikely to occur during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MPoR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period, if modelled early could lead to spike which is carried through life of trade due to EEE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Challenges </w:t>
      </w:r>
    </w:p>
    <w:p w:rsidR="005F1837" w:rsidRPr="005F1837" w:rsidRDefault="005F1837" w:rsidP="005F1837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Not knowing what the security will be post time as there will be </w:t>
      </w: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substitution rights </w:t>
      </w:r>
    </w:p>
    <w:p w:rsidR="005F1837" w:rsidRPr="005F1837" w:rsidRDefault="005F1837" w:rsidP="005F1837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Exposure spikes caused by coupons (dirty price drops, do I need to post more margin)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D55E0" w:rsidRDefault="004C616E"/>
    <w:sectPr w:rsidR="00FD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486"/>
    <w:multiLevelType w:val="multilevel"/>
    <w:tmpl w:val="783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0D1"/>
    <w:multiLevelType w:val="multilevel"/>
    <w:tmpl w:val="DB9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D47"/>
    <w:multiLevelType w:val="multilevel"/>
    <w:tmpl w:val="5CEC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01F4B"/>
    <w:multiLevelType w:val="multilevel"/>
    <w:tmpl w:val="7F2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B5DCF"/>
    <w:multiLevelType w:val="multilevel"/>
    <w:tmpl w:val="4B3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50137"/>
    <w:multiLevelType w:val="multilevel"/>
    <w:tmpl w:val="72C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967E2"/>
    <w:multiLevelType w:val="multilevel"/>
    <w:tmpl w:val="1AE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D0C92"/>
    <w:multiLevelType w:val="multilevel"/>
    <w:tmpl w:val="F5B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419B0"/>
    <w:multiLevelType w:val="multilevel"/>
    <w:tmpl w:val="66A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2C70"/>
    <w:multiLevelType w:val="multilevel"/>
    <w:tmpl w:val="E8C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7784"/>
    <w:multiLevelType w:val="multilevel"/>
    <w:tmpl w:val="A9D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70E45"/>
    <w:multiLevelType w:val="multilevel"/>
    <w:tmpl w:val="33B0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25967"/>
    <w:multiLevelType w:val="multilevel"/>
    <w:tmpl w:val="F984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230EA"/>
    <w:multiLevelType w:val="multilevel"/>
    <w:tmpl w:val="56D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43637"/>
    <w:multiLevelType w:val="multilevel"/>
    <w:tmpl w:val="529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E63D4"/>
    <w:multiLevelType w:val="multilevel"/>
    <w:tmpl w:val="009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17890"/>
    <w:multiLevelType w:val="multilevel"/>
    <w:tmpl w:val="D97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55CEF"/>
    <w:multiLevelType w:val="multilevel"/>
    <w:tmpl w:val="2CA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8"/>
  </w:num>
  <w:num w:numId="5">
    <w:abstractNumId w:val="5"/>
  </w:num>
  <w:num w:numId="6">
    <w:abstractNumId w:val="14"/>
  </w:num>
  <w:num w:numId="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7"/>
  </w:num>
  <w:num w:numId="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5"/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0"/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  <w:num w:numId="18">
    <w:abstractNumId w:val="9"/>
  </w:num>
  <w:num w:numId="19">
    <w:abstractNumId w:val="11"/>
  </w:num>
  <w:num w:numId="20">
    <w:abstractNumId w:val="2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37"/>
    <w:rsid w:val="000C1770"/>
    <w:rsid w:val="004C616E"/>
    <w:rsid w:val="005F1837"/>
    <w:rsid w:val="00702664"/>
    <w:rsid w:val="00B411F2"/>
    <w:rsid w:val="00E1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545"/>
  <w15:chartTrackingRefBased/>
  <w15:docId w15:val="{AC3DCB28-1922-4ED1-AA77-94D60EBF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LLP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2023-10-02T10:39:00Z</dcterms:created>
  <dcterms:modified xsi:type="dcterms:W3CDTF">2023-10-02T10:39:00Z</dcterms:modified>
</cp:coreProperties>
</file>