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Quant Interview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Basic Maths</w:t>
      </w:r>
    </w:p>
    <w:p w:rsidR="005F1837" w:rsidRPr="005F1837" w:rsidRDefault="005F1837" w:rsidP="005F18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Markovian - </w:t>
      </w:r>
      <w:r w:rsidRPr="005F1837">
        <w:rPr>
          <w:rFonts w:ascii="Calibri" w:eastAsia="Times New Roman" w:hAnsi="Calibri" w:cs="Calibri"/>
          <w:color w:val="000000"/>
          <w:lang w:eastAsia="en-GB"/>
        </w:rPr>
        <w:t>Memoryless property of stochastic process</w:t>
      </w:r>
    </w:p>
    <w:p w:rsidR="005F1837" w:rsidRPr="005F1837" w:rsidRDefault="005F1837" w:rsidP="005F18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Martingale - </w:t>
      </w:r>
      <w:r w:rsidRPr="005F1837">
        <w:rPr>
          <w:rFonts w:ascii="Calibri" w:eastAsia="Times New Roman" w:hAnsi="Calibri" w:cs="Calibri"/>
          <w:color w:val="000000"/>
          <w:lang w:eastAsia="en-GB"/>
        </w:rPr>
        <w:t>Conditional expectation of next value is the present value</w:t>
      </w:r>
    </w:p>
    <w:p w:rsidR="005F1837" w:rsidRPr="005F1837" w:rsidRDefault="005F1837" w:rsidP="005F1837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Risk Neutral – </w:t>
      </w:r>
      <w:r w:rsidRPr="005F1837">
        <w:rPr>
          <w:rFonts w:ascii="Calibri" w:eastAsia="Times New Roman" w:hAnsi="Calibri" w:cs="Calibri"/>
          <w:color w:val="000000"/>
          <w:lang w:eastAsia="en-GB"/>
        </w:rPr>
        <w:t>Price equal to the discounted expectation of the price under the risk neutral measure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SDE</w:t>
      </w:r>
    </w:p>
    <w:p w:rsidR="005F1837" w:rsidRPr="005F1837" w:rsidRDefault="005F1837" w:rsidP="005F183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Find the SDE simple, write function f(s) = ln(s) then Taylor expansion</w:t>
      </w:r>
    </w:p>
    <w:p w:rsidR="005F1837" w:rsidRPr="005F1837" w:rsidRDefault="005F1837" w:rsidP="005F183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GBM SDE can be solved analytically </w:t>
      </w:r>
    </w:p>
    <w:p w:rsidR="005F1837" w:rsidRPr="005F1837" w:rsidRDefault="005F1837" w:rsidP="005F1837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Otherwise use Euler or Milstein, numerical solutions for SDE’s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Swap </w:t>
      </w:r>
    </w:p>
    <w:p w:rsidR="005F1837" w:rsidRPr="005F1837" w:rsidRDefault="005F1837" w:rsidP="005F1837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Non linear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function of the underlying forward rates 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Forward Rate Curve</w:t>
      </w:r>
    </w:p>
    <w:p w:rsidR="005F1837" w:rsidRPr="005F1837" w:rsidRDefault="005F1837" w:rsidP="005F1837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Term structure of rates embodied in shape of forward curve </w:t>
      </w:r>
    </w:p>
    <w:p w:rsidR="005F1837" w:rsidRPr="005F1837" w:rsidRDefault="005F1837" w:rsidP="005F183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LIBOR </w:t>
      </w:r>
    </w:p>
    <w:p w:rsidR="005F1837" w:rsidRPr="005F1837" w:rsidRDefault="005F1837" w:rsidP="005F1837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Offered rate – how much they would charge to lend money or </w:t>
      </w: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how much you would pay on deposits 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Rates</w:t>
      </w:r>
    </w:p>
    <w:p w:rsidR="005F1837" w:rsidRPr="005F1837" w:rsidRDefault="005F1837" w:rsidP="005F183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Fixed income instruments depend on a segment of the forward curve (swap for instance)</w:t>
      </w:r>
    </w:p>
    <w:p w:rsidR="005F1837" w:rsidRPr="005F1837" w:rsidRDefault="005F1837" w:rsidP="005F183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Pricing requires stochastic evolution of entire forward curve</w:t>
      </w:r>
    </w:p>
    <w:p w:rsidR="005F1837" w:rsidRPr="005F1837" w:rsidRDefault="005F1837" w:rsidP="005F183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Two types of models</w:t>
      </w:r>
    </w:p>
    <w:p w:rsidR="005F1837" w:rsidRPr="005F1837" w:rsidRDefault="005F1837" w:rsidP="005F1837">
      <w:pPr>
        <w:numPr>
          <w:ilvl w:val="1"/>
          <w:numId w:val="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Short rate models (HW1F for instance)</w:t>
      </w:r>
    </w:p>
    <w:p w:rsidR="005F1837" w:rsidRPr="005F1837" w:rsidRDefault="005F1837" w:rsidP="005F1837">
      <w:pPr>
        <w:numPr>
          <w:ilvl w:val="1"/>
          <w:numId w:val="7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Models that capture entire forward curve dynamics (HJM, LMM)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Hull White </w:t>
      </w:r>
    </w:p>
    <w:p w:rsidR="005F1837" w:rsidRPr="005F1837" w:rsidRDefault="005F1837" w:rsidP="005F1837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Evolution of instantaneous short rate, distribution of short rate is normal </w:t>
      </w:r>
    </w:p>
    <w:p w:rsidR="005F1837" w:rsidRPr="005F1837" w:rsidRDefault="005F1837" w:rsidP="005F1837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Exact fitting of initial term structure through Φ(t)</w:t>
      </w:r>
    </w:p>
    <w:p w:rsidR="005F1837" w:rsidRPr="005F1837" w:rsidRDefault="005F1837" w:rsidP="005F1837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Calibration:</w:t>
      </w:r>
    </w:p>
    <w:p w:rsidR="005F1837" w:rsidRPr="005F1837" w:rsidRDefault="005F1837" w:rsidP="005F1837">
      <w:pPr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Determine term structure</w:t>
      </w:r>
    </w:p>
    <w:p w:rsidR="005F1837" w:rsidRPr="005F1837" w:rsidRDefault="005F1837" w:rsidP="005F1837">
      <w:pPr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Generate HW</w:t>
      </w:r>
    </w:p>
    <w:p w:rsidR="005F1837" w:rsidRPr="005F1837" w:rsidRDefault="005F1837" w:rsidP="005F1837">
      <w:pPr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Use </w:t>
      </w:r>
      <w:proofErr w:type="spellStart"/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Jamshidian</w:t>
      </w:r>
      <w:proofErr w:type="spellEnd"/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proofErr w:type="spellStart"/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S</w:t>
      </w:r>
      <w:r w:rsidRPr="005F1837">
        <w:rPr>
          <w:rFonts w:ascii="Calibri" w:eastAsia="Times New Roman" w:hAnsi="Calibri" w:cs="Calibri"/>
          <w:color w:val="000000"/>
          <w:lang w:eastAsia="en-GB"/>
        </w:rPr>
        <w:t>waption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engine to price, create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swaption</w:t>
      </w:r>
      <w:proofErr w:type="spellEnd"/>
    </w:p>
    <w:p w:rsidR="005F1837" w:rsidRPr="005F1837" w:rsidRDefault="005F1837" w:rsidP="005F1837">
      <w:pPr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Use </w:t>
      </w:r>
      <w:proofErr w:type="spellStart"/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Levenberg-marquardt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algo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as calibration method</w:t>
      </w:r>
    </w:p>
    <w:p w:rsidR="005F1837" w:rsidRPr="005F1837" w:rsidRDefault="005F1837" w:rsidP="005F1837">
      <w:pPr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Determine a and σ</w:t>
      </w:r>
    </w:p>
    <w:p w:rsidR="005F1837" w:rsidRPr="005F1837" w:rsidRDefault="005F1837" w:rsidP="005F1837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f(t) is instantaneous short rate given by:   </w:t>
      </w:r>
      <w:proofErr w:type="spellStart"/>
      <w:r w:rsidRPr="005F1837">
        <w:rPr>
          <w:rFonts w:ascii="Cambria Math" w:eastAsia="Times New Roman" w:hAnsi="Cambria Math" w:cs="Calibri"/>
          <w:color w:val="000000"/>
          <w:lang w:eastAsia="en-GB"/>
        </w:rPr>
        <w:t>ft,T</w:t>
      </w:r>
      <w:proofErr w:type="spellEnd"/>
      <w:r w:rsidRPr="005F1837">
        <w:rPr>
          <w:rFonts w:ascii="Cambria Math" w:eastAsia="Times New Roman" w:hAnsi="Cambria Math" w:cs="Calibri"/>
          <w:color w:val="000000"/>
          <w:lang w:eastAsia="en-GB"/>
        </w:rPr>
        <w:t>= -</w:t>
      </w:r>
      <w:proofErr w:type="spellStart"/>
      <w:r w:rsidRPr="005F1837">
        <w:rPr>
          <w:rFonts w:ascii="Cambria Math" w:eastAsia="Times New Roman" w:hAnsi="Cambria Math" w:cs="Calibri"/>
          <w:color w:val="000000"/>
          <w:lang w:eastAsia="en-GB"/>
        </w:rPr>
        <w:t>ddtln</w:t>
      </w:r>
      <w:proofErr w:type="spellEnd"/>
      <w:r w:rsidRPr="005F1837">
        <w:rPr>
          <w:rFonts w:ascii="Cambria Math" w:eastAsia="Times New Roman" w:hAnsi="Cambria Math" w:cs="Calibri"/>
          <w:color w:val="000000"/>
          <w:lang w:eastAsia="en-GB"/>
        </w:rPr>
        <w:t>⁡(</w:t>
      </w:r>
      <w:proofErr w:type="spellStart"/>
      <w:r w:rsidRPr="005F1837">
        <w:rPr>
          <w:rFonts w:ascii="Cambria Math" w:eastAsia="Times New Roman" w:hAnsi="Cambria Math" w:cs="Calibri"/>
          <w:color w:val="000000"/>
          <w:lang w:eastAsia="en-GB"/>
        </w:rPr>
        <w:t>Pt,T</w:t>
      </w:r>
      <w:proofErr w:type="spellEnd"/>
      <w:r w:rsidRPr="005F1837">
        <w:rPr>
          <w:rFonts w:ascii="Cambria Math" w:eastAsia="Times New Roman" w:hAnsi="Cambria Math" w:cs="Calibri"/>
          <w:color w:val="000000"/>
          <w:lang w:eastAsia="en-GB"/>
        </w:rPr>
        <w:t>)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LMM</w:t>
      </w:r>
    </w:p>
    <w:p w:rsidR="005F1837" w:rsidRPr="005F1837" w:rsidRDefault="005F1837" w:rsidP="005F183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Capture dynamics of the entire forward curve (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FRA’ing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the curve)</w:t>
      </w:r>
    </w:p>
    <w:p w:rsidR="005F1837" w:rsidRPr="005F1837" w:rsidRDefault="005F1837" w:rsidP="005F183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Term structure in shape of forward curve</w:t>
      </w:r>
    </w:p>
    <w:p w:rsidR="005F1837" w:rsidRPr="005F1837" w:rsidRDefault="005F1837" w:rsidP="005F183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Deterministic volatility and correlation structure</w:t>
      </w:r>
    </w:p>
    <w:p w:rsidR="005F1837" w:rsidRPr="005F1837" w:rsidRDefault="005F1837" w:rsidP="005F183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Arbitrage free – choose numeraire to be a zero coupon bond</w:t>
      </w:r>
    </w:p>
    <w:p w:rsidR="005F1837" w:rsidRPr="005F1837" w:rsidRDefault="005F1837" w:rsidP="005F183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Dimension reduction, reduce to say 4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Brownians</w:t>
      </w:r>
      <w:proofErr w:type="spellEnd"/>
    </w:p>
    <w:p w:rsidR="005F1837" w:rsidRPr="005F1837" w:rsidRDefault="005F1837" w:rsidP="005F1837">
      <w:pPr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Numerical solution of SDE (Euler or Millstein)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Volatility</w:t>
      </w:r>
    </w:p>
    <w:p w:rsidR="005F1837" w:rsidRPr="005F1837" w:rsidRDefault="005F1837" w:rsidP="005F183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lastRenderedPageBreak/>
        <w:t>Volatility can be constant, have term structure, local (equity) or stochastic</w:t>
      </w:r>
    </w:p>
    <w:p w:rsidR="005F1837" w:rsidRPr="005F1837" w:rsidRDefault="005F1837" w:rsidP="005F183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Dynamics of underlying</w:t>
      </w:r>
    </w:p>
    <w:p w:rsidR="005F1837" w:rsidRPr="005F1837" w:rsidRDefault="005F1837" w:rsidP="005F1837">
      <w:pPr>
        <w:numPr>
          <w:ilvl w:val="1"/>
          <w:numId w:val="1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Normal - σ - absolute </w:t>
      </w:r>
    </w:p>
    <w:p w:rsidR="005F1837" w:rsidRPr="005F1837" w:rsidRDefault="005F1837" w:rsidP="005F1837">
      <w:pPr>
        <w:numPr>
          <w:ilvl w:val="1"/>
          <w:numId w:val="1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Lognormal -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σF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- relative</w:t>
      </w:r>
    </w:p>
    <w:p w:rsidR="005F1837" w:rsidRPr="005F1837" w:rsidRDefault="005F1837" w:rsidP="005F1837">
      <w:pPr>
        <w:numPr>
          <w:ilvl w:val="1"/>
          <w:numId w:val="12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Constant elasticity of variance (CEV) -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σF</w:t>
      </w:r>
      <w:proofErr w:type="spellEnd"/>
      <w:r w:rsidRPr="005F1837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en-GB"/>
        </w:rPr>
        <w:t xml:space="preserve">β </w:t>
      </w:r>
      <w:r w:rsidRPr="005F1837">
        <w:rPr>
          <w:rFonts w:ascii="Calibri" w:eastAsia="Times New Roman" w:hAnsi="Calibri" w:cs="Calibri"/>
          <w:color w:val="000000"/>
          <w:lang w:eastAsia="en-GB"/>
        </w:rPr>
        <w:t>– captures smile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SABR Model</w:t>
      </w:r>
      <w:r w:rsidRPr="005F1837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en-GB"/>
        </w:rPr>
        <w:t> </w:t>
      </w:r>
    </w:p>
    <w:p w:rsidR="005F1837" w:rsidRPr="005F1837" w:rsidRDefault="005F1837" w:rsidP="005F183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Stochastic Volatility Model attempts to capture the smile in derivatives markets</w:t>
      </w:r>
    </w:p>
    <w:p w:rsidR="005F1837" w:rsidRPr="005F1837" w:rsidRDefault="005F1837" w:rsidP="005F183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F1837">
        <w:rPr>
          <w:rFonts w:ascii="Cambria Math" w:eastAsia="Times New Roman" w:hAnsi="Cambria Math" w:cs="Arial"/>
          <w:color w:val="000000"/>
          <w:lang w:eastAsia="en-GB"/>
        </w:rPr>
        <w:t>dF</w:t>
      </w:r>
      <w:proofErr w:type="spellEnd"/>
      <w:r w:rsidRPr="005F1837">
        <w:rPr>
          <w:rFonts w:ascii="Cambria Math" w:eastAsia="Times New Roman" w:hAnsi="Cambria Math" w:cs="Arial"/>
          <w:color w:val="000000"/>
          <w:lang w:eastAsia="en-GB"/>
        </w:rPr>
        <w:t xml:space="preserve">= F </w:t>
      </w:r>
      <w:proofErr w:type="spellStart"/>
      <w:r w:rsidRPr="005F1837">
        <w:rPr>
          <w:rFonts w:ascii="Cambria Math" w:eastAsia="Times New Roman" w:hAnsi="Cambria Math" w:cs="Arial"/>
          <w:color w:val="000000"/>
          <w:lang w:eastAsia="en-GB"/>
        </w:rPr>
        <w:t>dW</w:t>
      </w:r>
      <w:proofErr w:type="spellEnd"/>
    </w:p>
    <w:p w:rsidR="005F1837" w:rsidRPr="005F1837" w:rsidRDefault="005F1837" w:rsidP="005F183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F1837">
        <w:rPr>
          <w:rFonts w:ascii="Cambria Math" w:eastAsia="Times New Roman" w:hAnsi="Cambria Math" w:cs="Arial"/>
          <w:color w:val="000000"/>
          <w:lang w:eastAsia="en-GB"/>
        </w:rPr>
        <w:t>dσ</w:t>
      </w:r>
      <w:proofErr w:type="spellEnd"/>
      <w:r w:rsidRPr="005F1837">
        <w:rPr>
          <w:rFonts w:ascii="Cambria Math" w:eastAsia="Times New Roman" w:hAnsi="Cambria Math" w:cs="Arial"/>
          <w:color w:val="000000"/>
          <w:lang w:eastAsia="en-GB"/>
        </w:rPr>
        <w:t xml:space="preserve">= </w:t>
      </w:r>
      <w:proofErr w:type="spellStart"/>
      <w:r w:rsidRPr="005F1837">
        <w:rPr>
          <w:rFonts w:ascii="Cambria Math" w:eastAsia="Times New Roman" w:hAnsi="Cambria Math" w:cs="Arial"/>
          <w:color w:val="000000"/>
          <w:lang w:eastAsia="en-GB"/>
        </w:rPr>
        <w:t>νσdX</w:t>
      </w:r>
      <w:proofErr w:type="spellEnd"/>
    </w:p>
    <w:p w:rsidR="005F1837" w:rsidRPr="005F1837" w:rsidRDefault="005F1837" w:rsidP="005F183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5F1837">
        <w:rPr>
          <w:rFonts w:ascii="Cambria Math" w:eastAsia="Times New Roman" w:hAnsi="Cambria Math" w:cs="Arial"/>
          <w:color w:val="000000"/>
          <w:lang w:eastAsia="en-GB"/>
        </w:rPr>
        <w:t>EdWdX</w:t>
      </w:r>
      <w:proofErr w:type="spellEnd"/>
      <w:r w:rsidRPr="005F1837">
        <w:rPr>
          <w:rFonts w:ascii="Cambria Math" w:eastAsia="Times New Roman" w:hAnsi="Cambria Math" w:cs="Arial"/>
          <w:color w:val="000000"/>
          <w:lang w:eastAsia="en-GB"/>
        </w:rPr>
        <w:t xml:space="preserve">= </w:t>
      </w:r>
      <w:proofErr w:type="spellStart"/>
      <w:r w:rsidRPr="005F1837">
        <w:rPr>
          <w:rFonts w:ascii="Cambria Math" w:eastAsia="Times New Roman" w:hAnsi="Cambria Math" w:cs="Arial"/>
          <w:color w:val="000000"/>
          <w:lang w:eastAsia="en-GB"/>
        </w:rPr>
        <w:t>ρdt</w:t>
      </w:r>
      <w:proofErr w:type="spellEnd"/>
    </w:p>
    <w:p w:rsidR="005F1837" w:rsidRPr="005F1837" w:rsidRDefault="005F1837" w:rsidP="005F183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Alpha = ATM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vol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>, beta/rho = skew, nu = curvature</w:t>
      </w:r>
    </w:p>
    <w:p w:rsidR="005F1837" w:rsidRPr="005F1837" w:rsidRDefault="005F1837" w:rsidP="005F1837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Limitations = constant parameters, no jumps</w:t>
      </w:r>
    </w:p>
    <w:p w:rsidR="005F1837" w:rsidRPr="005F1837" w:rsidRDefault="005F1837" w:rsidP="005F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Credit</w:t>
      </w:r>
    </w:p>
    <w:p w:rsidR="005F1837" w:rsidRPr="005F1837" w:rsidRDefault="005F1837" w:rsidP="005F1837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Hazard rate = instantaneous risk of default = default intensity</w:t>
      </w:r>
    </w:p>
    <w:p w:rsidR="005F1837" w:rsidRPr="005F1837" w:rsidRDefault="005F1837" w:rsidP="005F183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Evolution of instantaneous hazard rate?? Flat, piecewise linear, piecewise constant, parametric</w:t>
      </w:r>
    </w:p>
    <w:p w:rsidR="005F1837" w:rsidRPr="005F1837" w:rsidRDefault="005F1837" w:rsidP="005F183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Cox process</w:t>
      </w: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– Poisson process with stochastic hazard rate</w:t>
      </w:r>
    </w:p>
    <w:p w:rsidR="005F1837" w:rsidRPr="005F1837" w:rsidRDefault="005F1837" w:rsidP="005F1837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Merton Jump Diffusion model</w:t>
      </w: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– standard GBM with Poisson process </w:t>
      </w:r>
    </w:p>
    <w:p w:rsidR="005F1837" w:rsidRPr="005F1837" w:rsidRDefault="005F1837" w:rsidP="005F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SFT</w:t>
      </w:r>
    </w:p>
    <w:p w:rsidR="005F1837" w:rsidRPr="005F1837" w:rsidRDefault="005F1837" w:rsidP="005F1837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Broad term, covers everything from repo to longer term</w:t>
      </w:r>
    </w:p>
    <w:p w:rsidR="005F1837" w:rsidRPr="005F1837" w:rsidRDefault="005F1837" w:rsidP="005F1837">
      <w:pPr>
        <w:numPr>
          <w:ilvl w:val="1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GC Collateral market (lots of eligible collateral, all IG)</w:t>
      </w:r>
    </w:p>
    <w:p w:rsidR="005F1837" w:rsidRPr="005F1837" w:rsidRDefault="005F1837" w:rsidP="005F1837">
      <w:pPr>
        <w:numPr>
          <w:ilvl w:val="1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Exact asset for longer term </w:t>
      </w:r>
    </w:p>
    <w:p w:rsidR="005F1837" w:rsidRPr="005F1837" w:rsidRDefault="005F1837" w:rsidP="005F1837">
      <w:pPr>
        <w:numPr>
          <w:ilvl w:val="0"/>
          <w:numId w:val="16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Haircuts, Contractual haircut (post 1m asset to get 900k cash)</w:t>
      </w:r>
    </w:p>
    <w:p w:rsidR="005F1837" w:rsidRPr="005F1837" w:rsidRDefault="005F1837" w:rsidP="005F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Repo</w:t>
      </w:r>
    </w:p>
    <w:p w:rsidR="005F1837" w:rsidRPr="005F1837" w:rsidRDefault="005F1837" w:rsidP="005F183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o/n UST rate – weighted average of all trades is SOFR print</w:t>
      </w:r>
    </w:p>
    <w:p w:rsidR="005F1837" w:rsidRPr="005F1837" w:rsidRDefault="005F1837" w:rsidP="005F183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Other collateral will have basis</w:t>
      </w:r>
    </w:p>
    <w:p w:rsidR="005F1837" w:rsidRPr="005F1837" w:rsidRDefault="005F1837" w:rsidP="005F183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Term market – no weighted average, driven by IRS market</w:t>
      </w:r>
    </w:p>
    <w:p w:rsidR="005F1837" w:rsidRPr="005F1837" w:rsidRDefault="005F1837" w:rsidP="005F1837">
      <w:pPr>
        <w:numPr>
          <w:ilvl w:val="0"/>
          <w:numId w:val="17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All OTC</w:t>
      </w:r>
    </w:p>
    <w:p w:rsidR="005F1837" w:rsidRPr="005F1837" w:rsidRDefault="005F1837" w:rsidP="005F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IMM</w:t>
      </w:r>
    </w:p>
    <w:p w:rsidR="005F1837" w:rsidRPr="005F1837" w:rsidRDefault="005F1837" w:rsidP="005F1837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Permitted to use for derivatives, SFT or both, no other sub divisions allowed</w:t>
      </w:r>
    </w:p>
    <w:p w:rsidR="005F1837" w:rsidRPr="005F1837" w:rsidRDefault="005F1837" w:rsidP="005F1837">
      <w:pPr>
        <w:numPr>
          <w:ilvl w:val="0"/>
          <w:numId w:val="18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Model them as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non cash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collateral in derivatives IMM, a requirement</w:t>
      </w:r>
    </w:p>
    <w:p w:rsidR="005F1837" w:rsidRPr="005F1837" w:rsidRDefault="005F1837" w:rsidP="005F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Underlying Scenario Generations, no derivatives so all need to model </w:t>
      </w:r>
    </w:p>
    <w:p w:rsidR="005F1837" w:rsidRPr="005F1837" w:rsidRDefault="005F1837" w:rsidP="005F1837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Credit - Merton Jump Diffusion, Cox</w:t>
      </w:r>
    </w:p>
    <w:p w:rsidR="005F1837" w:rsidRPr="005F1837" w:rsidRDefault="005F1837" w:rsidP="005F1837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Equity - Basic diffusion</w:t>
      </w:r>
    </w:p>
    <w:p w:rsidR="005F1837" w:rsidRPr="005F1837" w:rsidRDefault="005F1837" w:rsidP="005F1837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Rates – HW1F, LMM</w:t>
      </w:r>
    </w:p>
    <w:p w:rsidR="005F1837" w:rsidRPr="005F1837" w:rsidRDefault="005F1837" w:rsidP="005F1837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FX Component – joint diffusion</w:t>
      </w:r>
    </w:p>
    <w:p w:rsidR="005F1837" w:rsidRPr="005F1837" w:rsidRDefault="005F1837" w:rsidP="005F1837">
      <w:pPr>
        <w:numPr>
          <w:ilvl w:val="0"/>
          <w:numId w:val="19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Securitisations – model the spread directly</w:t>
      </w:r>
    </w:p>
    <w:p w:rsidR="005F1837" w:rsidRPr="005F1837" w:rsidRDefault="005F1837" w:rsidP="005F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Effective Modelling</w:t>
      </w:r>
    </w:p>
    <w:p w:rsidR="005F1837" w:rsidRPr="005F1837" w:rsidRDefault="005F1837" w:rsidP="005F1837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lastRenderedPageBreak/>
        <w:t>MPoR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– 5 days</w:t>
      </w:r>
    </w:p>
    <w:p w:rsidR="005F1837" w:rsidRPr="005F1837" w:rsidRDefault="005F1837" w:rsidP="005F1837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Discretisation scheme, every day for a few days, then weekly, then monthly?</w:t>
      </w:r>
    </w:p>
    <w:p w:rsidR="005F1837" w:rsidRPr="005F1837" w:rsidRDefault="005F1837" w:rsidP="005F1837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Trade off, accurately capture profile, any events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etc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etc</w:t>
      </w:r>
      <w:proofErr w:type="spellEnd"/>
    </w:p>
    <w:p w:rsidR="005F1837" w:rsidRPr="005F1837" w:rsidRDefault="005F1837" w:rsidP="005F1837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EPE maintains size up to maturity (we discussed before, still need to liquidate so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MPoR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always applies until trade dead</w:t>
      </w:r>
    </w:p>
    <w:p w:rsidR="005F1837" w:rsidRPr="005F1837" w:rsidRDefault="005F1837" w:rsidP="005F1837">
      <w:pPr>
        <w:numPr>
          <w:ilvl w:val="0"/>
          <w:numId w:val="20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How to account for coupon payments, unexpected jumps that unlikely to occur during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MPoR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period, if modelled early could lead to spike which is carried through life of trade due to EEE</w:t>
      </w: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Challenges </w:t>
      </w:r>
    </w:p>
    <w:p w:rsidR="005F1837" w:rsidRPr="005F1837" w:rsidRDefault="005F1837" w:rsidP="005F1837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Not knowing what the security will be post time as there will be </w:t>
      </w: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substitution rights </w:t>
      </w:r>
    </w:p>
    <w:p w:rsidR="005F1837" w:rsidRPr="005F1837" w:rsidRDefault="005F1837" w:rsidP="005F1837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Exposure spikes caused by coupons (dirty price drops, do I need to post more margin)</w:t>
      </w:r>
    </w:p>
    <w:p w:rsidR="005F1837" w:rsidRPr="005F1837" w:rsidRDefault="005F1837" w:rsidP="005F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F1837" w:rsidRPr="005F1837" w:rsidRDefault="005F1837" w:rsidP="005F1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1837">
        <w:rPr>
          <w:rFonts w:ascii="Calibri" w:eastAsia="Times New Roman" w:hAnsi="Calibri" w:cs="Calibri"/>
          <w:b/>
          <w:bCs/>
          <w:color w:val="000000"/>
          <w:lang w:eastAsia="en-GB"/>
        </w:rPr>
        <w:t>Implied, local and stochastic volatility</w:t>
      </w:r>
    </w:p>
    <w:p w:rsidR="005F1837" w:rsidRPr="005F1837" w:rsidRDefault="005F1837" w:rsidP="005F1837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Implied volatility one to one mapping between option price and specific model quantity (BS)</w:t>
      </w:r>
    </w:p>
    <w:p w:rsidR="005F1837" w:rsidRPr="005F1837" w:rsidRDefault="005F1837" w:rsidP="005F1837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 xml:space="preserve">Local Volatility one to one mapping with all vanilla option prices/ 1D </w:t>
      </w:r>
      <w:proofErr w:type="spellStart"/>
      <w:r w:rsidRPr="005F1837">
        <w:rPr>
          <w:rFonts w:ascii="Calibri" w:eastAsia="Times New Roman" w:hAnsi="Calibri" w:cs="Calibri"/>
          <w:color w:val="000000"/>
          <w:lang w:eastAsia="en-GB"/>
        </w:rPr>
        <w:t>Markhovian</w:t>
      </w:r>
      <w:proofErr w:type="spellEnd"/>
      <w:r w:rsidRPr="005F1837">
        <w:rPr>
          <w:rFonts w:ascii="Calibri" w:eastAsia="Times New Roman" w:hAnsi="Calibri" w:cs="Calibri"/>
          <w:color w:val="000000"/>
          <w:lang w:eastAsia="en-GB"/>
        </w:rPr>
        <w:t xml:space="preserve"> process</w:t>
      </w:r>
    </w:p>
    <w:p w:rsidR="005F1837" w:rsidRPr="005F1837" w:rsidRDefault="005F1837" w:rsidP="005F1837">
      <w:pPr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Instantaneous variance of the log returns depends on spot price</w:t>
      </w:r>
    </w:p>
    <w:p w:rsidR="005F1837" w:rsidRPr="005F1837" w:rsidRDefault="005F1837" w:rsidP="005F1837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Stochastic Volatility 2D diffusion framework</w:t>
      </w:r>
    </w:p>
    <w:p w:rsidR="005F1837" w:rsidRPr="005F1837" w:rsidRDefault="005F1837" w:rsidP="005F1837">
      <w:pPr>
        <w:numPr>
          <w:ilvl w:val="1"/>
          <w:numId w:val="2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5F1837">
        <w:rPr>
          <w:rFonts w:ascii="Calibri" w:eastAsia="Times New Roman" w:hAnsi="Calibri" w:cs="Calibri"/>
          <w:color w:val="000000"/>
          <w:lang w:eastAsia="en-GB"/>
        </w:rPr>
        <w:t>Instantaneous variance of log returns is separate stochastic factor</w:t>
      </w:r>
    </w:p>
    <w:p w:rsidR="00FD55E0" w:rsidRDefault="005F1837">
      <w:bookmarkStart w:id="0" w:name="_GoBack"/>
      <w:bookmarkEnd w:id="0"/>
    </w:p>
    <w:sectPr w:rsidR="00FD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486"/>
    <w:multiLevelType w:val="multilevel"/>
    <w:tmpl w:val="783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60D1"/>
    <w:multiLevelType w:val="multilevel"/>
    <w:tmpl w:val="DB9A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A5D47"/>
    <w:multiLevelType w:val="multilevel"/>
    <w:tmpl w:val="5CEC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01F4B"/>
    <w:multiLevelType w:val="multilevel"/>
    <w:tmpl w:val="7F26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B5DCF"/>
    <w:multiLevelType w:val="multilevel"/>
    <w:tmpl w:val="4B32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50137"/>
    <w:multiLevelType w:val="multilevel"/>
    <w:tmpl w:val="72C6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967E2"/>
    <w:multiLevelType w:val="multilevel"/>
    <w:tmpl w:val="1AE2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D0C92"/>
    <w:multiLevelType w:val="multilevel"/>
    <w:tmpl w:val="F5B6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419B0"/>
    <w:multiLevelType w:val="multilevel"/>
    <w:tmpl w:val="66A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12C70"/>
    <w:multiLevelType w:val="multilevel"/>
    <w:tmpl w:val="E8C0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27784"/>
    <w:multiLevelType w:val="multilevel"/>
    <w:tmpl w:val="A9D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70E45"/>
    <w:multiLevelType w:val="multilevel"/>
    <w:tmpl w:val="33B0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25967"/>
    <w:multiLevelType w:val="multilevel"/>
    <w:tmpl w:val="F984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230EA"/>
    <w:multiLevelType w:val="multilevel"/>
    <w:tmpl w:val="56DE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43637"/>
    <w:multiLevelType w:val="multilevel"/>
    <w:tmpl w:val="529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E63D4"/>
    <w:multiLevelType w:val="multilevel"/>
    <w:tmpl w:val="009A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17890"/>
    <w:multiLevelType w:val="multilevel"/>
    <w:tmpl w:val="D97C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55CEF"/>
    <w:multiLevelType w:val="multilevel"/>
    <w:tmpl w:val="2CA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8"/>
  </w:num>
  <w:num w:numId="5">
    <w:abstractNumId w:val="5"/>
  </w:num>
  <w:num w:numId="6">
    <w:abstractNumId w:val="14"/>
  </w:num>
  <w:num w:numId="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7"/>
  </w:num>
  <w:num w:numId="9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5"/>
  </w:num>
  <w:num w:numId="11">
    <w:abstractNumId w:val="1"/>
  </w:num>
  <w:num w:numId="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3"/>
  </w:num>
  <w:num w:numId="14">
    <w:abstractNumId w:val="0"/>
  </w:num>
  <w:num w:numId="15">
    <w:abstractNumId w:val="10"/>
  </w:num>
  <w:num w:numId="1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4"/>
  </w:num>
  <w:num w:numId="18">
    <w:abstractNumId w:val="9"/>
  </w:num>
  <w:num w:numId="19">
    <w:abstractNumId w:val="11"/>
  </w:num>
  <w:num w:numId="20">
    <w:abstractNumId w:val="2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37"/>
    <w:rsid w:val="000C1770"/>
    <w:rsid w:val="005F1837"/>
    <w:rsid w:val="00E1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DCB28-1922-4ED1-AA77-94D60EBF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2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LLP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2023-09-25T10:03:00Z</dcterms:created>
  <dcterms:modified xsi:type="dcterms:W3CDTF">2023-09-25T10:04:00Z</dcterms:modified>
</cp:coreProperties>
</file>