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COMPARATIVE DES ASSURANCES IMMOBILIÈRES</w:t>
      </w:r>
    </w:p>
    <w:p>
      <w:pPr>
        <w:jc w:val="center"/>
      </w:pPr>
      <w:r>
        <w:rPr>
          <w:b/>
        </w:rPr>
        <w:t>Agence Immobilière - Module 3 Financement</w:t>
        <w:br/>
      </w:r>
      <w:r>
        <w:t>Guide complet des assurances obligatoires et recommandées - 2026</w:t>
      </w:r>
    </w:p>
    <w:p>
      <w:r>
        <w:t>________________________________________________________________________________</w:t>
      </w:r>
    </w:p>
    <w:p>
      <w:pPr>
        <w:pStyle w:val="Heading1"/>
      </w:pPr>
      <w:r>
        <w:t>1. ASSURANCE EMPRUNTEUR (OBLIGATOIRE)</w:t>
      </w:r>
    </w:p>
    <w:p>
      <w:r>
        <w:t xml:space="preserve">L'assurance emprunteur est </w:t>
      </w:r>
      <w:r>
        <w:rPr>
          <w:b/>
        </w:rPr>
        <w:t>OBLIGATOIRE</w:t>
      </w:r>
      <w:r>
        <w:t xml:space="preserve"> pour tout crédit immobilier. Elle garantit le remboursement du prêt en cas de décès, invalidité ou perte d'emploi.</w:t>
      </w:r>
    </w:p>
    <w:p>
      <w:pPr>
        <w:pStyle w:val="Heading2"/>
      </w:pPr>
      <w:r>
        <w:t>Comparatif des garanties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F4E78"/>
          </w:tcPr>
          <w:p>
            <w:r>
              <w:rPr>
                <w:b/>
                <w:color w:val="FFFFFF"/>
              </w:rPr>
              <w:t>Garantie</w:t>
            </w:r>
          </w:p>
        </w:tc>
        <w:tc>
          <w:tcPr>
            <w:tcW w:type="dxa" w:w="2351"/>
            <w:shd w:fill="1F4E78"/>
          </w:tcPr>
          <w:p>
            <w:r>
              <w:rPr>
                <w:b/>
                <w:color w:val="FFFFFF"/>
              </w:rPr>
              <w:t>Couverture</w:t>
            </w:r>
          </w:p>
        </w:tc>
        <w:tc>
          <w:tcPr>
            <w:tcW w:type="dxa" w:w="2351"/>
            <w:shd w:fill="1F4E78"/>
          </w:tcPr>
          <w:p>
            <w:r>
              <w:rPr>
                <w:b/>
                <w:color w:val="FFFFFF"/>
              </w:rPr>
              <w:t>Taux indicatif 2026</w:t>
            </w:r>
          </w:p>
        </w:tc>
        <w:tc>
          <w:tcPr>
            <w:tcW w:type="dxa" w:w="2351"/>
            <w:shd w:fill="1F4E78"/>
          </w:tcPr>
          <w:p>
            <w:r>
              <w:rPr>
                <w:b/>
                <w:color w:val="FFFFFF"/>
              </w:rPr>
              <w:t>Recommandation</w:t>
            </w:r>
          </w:p>
        </w:tc>
      </w:tr>
      <w:tr>
        <w:tc>
          <w:tcPr>
            <w:tcW w:type="dxa" w:w="2351"/>
          </w:tcPr>
          <w:p>
            <w:r>
              <w:t>Décès</w:t>
            </w:r>
          </w:p>
        </w:tc>
        <w:tc>
          <w:tcPr>
            <w:tcW w:type="dxa" w:w="2351"/>
          </w:tcPr>
          <w:p>
            <w:r>
              <w:t>Remboursement intégral du capital restant dû</w:t>
            </w:r>
          </w:p>
        </w:tc>
        <w:tc>
          <w:tcPr>
            <w:tcW w:type="dxa" w:w="2351"/>
          </w:tcPr>
          <w:p>
            <w:r>
              <w:t>0,15% - 0,25%</w:t>
            </w:r>
          </w:p>
        </w:tc>
        <w:tc>
          <w:tcPr>
            <w:tcW w:type="dxa" w:w="2351"/>
          </w:tcPr>
          <w:p>
            <w:r>
              <w:t>OBLIGATOIRE</w:t>
            </w:r>
          </w:p>
        </w:tc>
      </w:tr>
      <w:tr>
        <w:tc>
          <w:tcPr>
            <w:tcW w:type="dxa" w:w="2351"/>
          </w:tcPr>
          <w:p>
            <w:r>
              <w:t>Invalidité permanente/totale (IPT/ITT)</w:t>
            </w:r>
          </w:p>
        </w:tc>
        <w:tc>
          <w:tcPr>
            <w:tcW w:type="dxa" w:w="2351"/>
          </w:tcPr>
          <w:p>
            <w:r>
              <w:t>Remboursement selon taux d'invalidité</w:t>
            </w:r>
          </w:p>
        </w:tc>
        <w:tc>
          <w:tcPr>
            <w:tcW w:type="dxa" w:w="2351"/>
          </w:tcPr>
          <w:p>
            <w:r>
              <w:t>0,10% - 0,20%</w:t>
            </w:r>
          </w:p>
        </w:tc>
        <w:tc>
          <w:tcPr>
            <w:tcW w:type="dxa" w:w="2351"/>
          </w:tcPr>
          <w:p>
            <w:r>
              <w:t>OBLIGATOIRE</w:t>
            </w:r>
          </w:p>
        </w:tc>
      </w:tr>
      <w:tr>
        <w:tc>
          <w:tcPr>
            <w:tcW w:type="dxa" w:w="2351"/>
          </w:tcPr>
          <w:p>
            <w:r>
              <w:t>Incapacité temporaire de travail (ITT)</w:t>
            </w:r>
          </w:p>
        </w:tc>
        <w:tc>
          <w:tcPr>
            <w:tcW w:type="dxa" w:w="2351"/>
          </w:tcPr>
          <w:p>
            <w:r>
              <w:t>Prise en charge des mensualités pendant l'arrêt</w:t>
            </w:r>
          </w:p>
        </w:tc>
        <w:tc>
          <w:tcPr>
            <w:tcW w:type="dxa" w:w="2351"/>
          </w:tcPr>
          <w:p>
            <w:r>
              <w:t>0,05% - 0,15%</w:t>
            </w:r>
          </w:p>
        </w:tc>
        <w:tc>
          <w:tcPr>
            <w:tcW w:type="dxa" w:w="2351"/>
          </w:tcPr>
          <w:p>
            <w:r>
              <w:t>Recommandé</w:t>
            </w:r>
          </w:p>
        </w:tc>
      </w:tr>
      <w:tr>
        <w:tc>
          <w:tcPr>
            <w:tcW w:type="dxa" w:w="2351"/>
          </w:tcPr>
          <w:p>
            <w:r>
              <w:t>Perte d'emploi (PE)</w:t>
            </w:r>
          </w:p>
        </w:tc>
        <w:tc>
          <w:tcPr>
            <w:tcW w:type="dxa" w:w="2351"/>
          </w:tcPr>
          <w:p>
            <w:r>
              <w:t>Prise en charge mensualités (12-24 mois max)</w:t>
            </w:r>
          </w:p>
        </w:tc>
        <w:tc>
          <w:tcPr>
            <w:tcW w:type="dxa" w:w="2351"/>
          </w:tcPr>
          <w:p>
            <w:r>
              <w:t>0,15% - 0,30%</w:t>
            </w:r>
          </w:p>
        </w:tc>
        <w:tc>
          <w:tcPr>
            <w:tcW w:type="dxa" w:w="2351"/>
          </w:tcPr>
          <w:p>
            <w:r>
              <w:t>Optionnel</w:t>
            </w:r>
          </w:p>
        </w:tc>
      </w:tr>
      <w:tr>
        <w:tc>
          <w:tcPr>
            <w:tcW w:type="dxa" w:w="2351"/>
          </w:tcPr>
          <w:p>
            <w:r>
              <w:t>Franchise</w:t>
            </w:r>
          </w:p>
        </w:tc>
        <w:tc>
          <w:tcPr>
            <w:tcW w:type="dxa" w:w="2351"/>
          </w:tcPr>
          <w:p>
            <w:r>
              <w:t>Délai avant prise en charge</w:t>
            </w:r>
          </w:p>
        </w:tc>
        <w:tc>
          <w:tcPr>
            <w:tcW w:type="dxa" w:w="2351"/>
          </w:tcPr>
          <w:p>
            <w:r>
              <w:t>3-6 mois</w:t>
            </w:r>
          </w:p>
        </w:tc>
        <w:tc>
          <w:tcPr>
            <w:tcW w:type="dxa" w:w="2351"/>
          </w:tcPr>
          <w:p>
            <w:r>
              <w:t>À négocier</w:t>
            </w:r>
          </w:p>
        </w:tc>
      </w:tr>
    </w:tbl>
    <w:p>
      <w:pPr>
        <w:pStyle w:val="Heading2"/>
      </w:pPr>
      <w:r>
        <w:t>Questions à poser à votre courtier</w:t>
      </w:r>
    </w:p>
    <w:p>
      <w:pPr>
        <w:pStyle w:val="ListBullet"/>
      </w:pPr>
      <w:r>
        <w:t>• Quel est le taux d'assurance global (décès + invalidité) ?</w:t>
      </w:r>
    </w:p>
    <w:p>
      <w:pPr>
        <w:pStyle w:val="ListBullet"/>
      </w:pPr>
      <w:r>
        <w:t>• Le contrat est-il sur le capital initial ou le capital restant dû ?</w:t>
      </w:r>
    </w:p>
    <w:p>
      <w:pPr>
        <w:pStyle w:val="ListBullet"/>
      </w:pPr>
      <w:r>
        <w:t>• Quelle est la durée de la franchise en cas d'invalidité ?</w:t>
      </w:r>
    </w:p>
    <w:p>
      <w:pPr>
        <w:pStyle w:val="ListBullet"/>
      </w:pPr>
      <w:r>
        <w:t>• La perte d'emploi est-elle incluse ? Quelles sont les exclusions ?</w:t>
      </w:r>
    </w:p>
    <w:p>
      <w:pPr>
        <w:pStyle w:val="ListBullet"/>
      </w:pPr>
      <w:r>
        <w:t>• Le contrat est-il résiliable à tout moment (Loi Lemoine) ?</w:t>
      </w:r>
    </w:p>
    <w:p>
      <w:pPr>
        <w:pStyle w:val="ListBullet"/>
      </w:pPr>
      <w:r>
        <w:t>• Puis-je changer d'assurance en cours de prêt (Loi Bourquin) ?</w:t>
      </w:r>
    </w:p>
    <w:p>
      <w:pPr>
        <w:pStyle w:val="ListBullet"/>
      </w:pPr>
      <w:r>
        <w:t>• Quels sont les délais de carence et les exclusions de garantie ?</w:t>
      </w:r>
    </w:p>
    <w:p>
      <w:pPr>
        <w:pStyle w:val="Heading2"/>
      </w:pPr>
      <w:r>
        <w:t>Loi Lemoine (depuis 2022)</w:t>
      </w:r>
    </w:p>
    <w:p>
      <w:r>
        <w:t>La Loi Lemoine permet de résilier son assurance emprunteur à tout moment, sans frais et sans nouvelle questionnaire médical, pour souscrire un contrat présentant une garantie équivalente à un coût moindre.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ASSURANCE PROPRIÉTAIRE NON OCCUPANT (PNO)</w:t>
      </w:r>
    </w:p>
    <w:p>
      <w:r>
        <w:t xml:space="preserve">L'assurance PNO est </w:t>
      </w:r>
      <w:r>
        <w:rPr>
          <w:b/>
        </w:rPr>
        <w:t>OBLIGATOIRE</w:t>
      </w:r>
      <w:r>
        <w:t xml:space="preserve"> pour tout propriétaire bailleur. Elle couvre les dommages au bien immobilier loué.</w:t>
      </w:r>
    </w:p>
    <w:p>
      <w:pPr>
        <w:pStyle w:val="Heading2"/>
      </w:pPr>
      <w:r>
        <w:t>Garanties essentielles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b/>
                <w:color w:val="FFFFFF"/>
              </w:rPr>
              <w:t>Garantie</w:t>
            </w:r>
          </w:p>
        </w:tc>
        <w:tc>
          <w:tcPr>
            <w:tcW w:type="dxa" w:w="3135"/>
            <w:shd w:fill="2E75B6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2E75B6"/>
          </w:tcPr>
          <w:p>
            <w:r>
              <w:rPr>
                <w:b/>
                <w:color w:val="FFFFFF"/>
              </w:rPr>
              <w:t>Montant indicatif annuel</w:t>
            </w:r>
          </w:p>
        </w:tc>
      </w:tr>
      <w:tr>
        <w:tc>
          <w:tcPr>
            <w:tcW w:type="dxa" w:w="3135"/>
          </w:tcPr>
          <w:p>
            <w:r>
              <w:t>Dommages aux biens</w:t>
            </w:r>
          </w:p>
        </w:tc>
        <w:tc>
          <w:tcPr>
            <w:tcW w:type="dxa" w:w="3135"/>
          </w:tcPr>
          <w:p>
            <w:r>
              <w:t>Incendie, explosion, dégâts des eaux, tempête...</w:t>
            </w:r>
          </w:p>
        </w:tc>
        <w:tc>
          <w:tcPr>
            <w:tcW w:type="dxa" w:w="3135"/>
          </w:tcPr>
          <w:p>
            <w:r>
              <w:t>150€ - 400€</w:t>
            </w:r>
          </w:p>
        </w:tc>
      </w:tr>
      <w:tr>
        <w:tc>
          <w:tcPr>
            <w:tcW w:type="dxa" w:w="3135"/>
          </w:tcPr>
          <w:p>
            <w:r>
              <w:t>Responsabilité civile propriétaire</w:t>
            </w:r>
          </w:p>
        </w:tc>
        <w:tc>
          <w:tcPr>
            <w:tcW w:type="dxa" w:w="3135"/>
          </w:tcPr>
          <w:p>
            <w:r>
              <w:t>Dommages causés aux tiers par le bien</w:t>
            </w:r>
          </w:p>
        </w:tc>
        <w:tc>
          <w:tcPr>
            <w:tcW w:type="dxa" w:w="3135"/>
          </w:tcPr>
          <w:p>
            <w:r>
              <w:t>Inclus</w:t>
            </w:r>
          </w:p>
        </w:tc>
      </w:tr>
      <w:tr>
        <w:tc>
          <w:tcPr>
            <w:tcW w:type="dxa" w:w="3135"/>
          </w:tcPr>
          <w:p>
            <w:r>
              <w:t>Responsabilité civile vie privée</w:t>
            </w:r>
          </w:p>
        </w:tc>
        <w:tc>
          <w:tcPr>
            <w:tcW w:type="dxa" w:w="3135"/>
          </w:tcPr>
          <w:p>
            <w:r>
              <w:t>Dommages causés par le propriétaire</w:t>
            </w:r>
          </w:p>
        </w:tc>
        <w:tc>
          <w:tcPr>
            <w:tcW w:type="dxa" w:w="3135"/>
          </w:tcPr>
          <w:p>
            <w:r>
              <w:t>Inclus</w:t>
            </w:r>
          </w:p>
        </w:tc>
      </w:tr>
      <w:tr>
        <w:tc>
          <w:tcPr>
            <w:tcW w:type="dxa" w:w="3135"/>
          </w:tcPr>
          <w:p>
            <w:r>
              <w:t>Protection juridique</w:t>
            </w:r>
          </w:p>
        </w:tc>
        <w:tc>
          <w:tcPr>
            <w:tcW w:type="dxa" w:w="3135"/>
          </w:tcPr>
          <w:p>
            <w:r>
              <w:t>Défense en cas de litige avec locataire</w:t>
            </w:r>
          </w:p>
        </w:tc>
        <w:tc>
          <w:tcPr>
            <w:tcW w:type="dxa" w:w="3135"/>
          </w:tcPr>
          <w:p>
            <w:r>
              <w:t>50€ - 100€</w:t>
            </w:r>
          </w:p>
        </w:tc>
      </w:tr>
      <w:tr>
        <w:tc>
          <w:tcPr>
            <w:tcW w:type="dxa" w:w="3135"/>
          </w:tcPr>
          <w:p>
            <w:r>
              <w:t>Assistance</w:t>
            </w:r>
          </w:p>
        </w:tc>
        <w:tc>
          <w:tcPr>
            <w:tcW w:type="dxa" w:w="3135"/>
          </w:tcPr>
          <w:p>
            <w:r>
              <w:t>Dépannage d'urgence (serrurier, plombier...)</w:t>
            </w:r>
          </w:p>
        </w:tc>
        <w:tc>
          <w:tcPr>
            <w:tcW w:type="dxa" w:w="3135"/>
          </w:tcPr>
          <w:p>
            <w:r>
              <w:t>30€ - 60€</w:t>
            </w:r>
          </w:p>
        </w:tc>
      </w:tr>
      <w:tr>
        <w:tc>
          <w:tcPr>
            <w:tcW w:type="dxa" w:w="3135"/>
          </w:tcPr>
          <w:p>
            <w:r>
              <w:t>Valeur à neuf</w:t>
            </w:r>
          </w:p>
        </w:tc>
        <w:tc>
          <w:tcPr>
            <w:tcW w:type="dxa" w:w="3135"/>
          </w:tcPr>
          <w:p>
            <w:r>
              <w:t>Remplacement des biens à neuf (sans vétusté)</w:t>
            </w:r>
          </w:p>
        </w:tc>
        <w:tc>
          <w:tcPr>
            <w:tcW w:type="dxa" w:w="3135"/>
          </w:tcPr>
          <w:p>
            <w:r>
              <w:t>Option +20%</w:t>
            </w:r>
          </w:p>
        </w:tc>
      </w:tr>
    </w:tbl>
    <w:p>
      <w:pPr>
        <w:pStyle w:val="Heading2"/>
      </w:pPr>
      <w:r>
        <w:t>Exclusions principales</w:t>
      </w:r>
    </w:p>
    <w:p>
      <w:pPr>
        <w:pStyle w:val="ListBullet"/>
      </w:pPr>
      <w:r>
        <w:t>• Vétusté et usure normale des équipements</w:t>
      </w:r>
    </w:p>
    <w:p>
      <w:pPr>
        <w:pStyle w:val="ListBullet"/>
      </w:pPr>
      <w:r>
        <w:t>• Dommages intentionnels du locataire (sauf GLI)</w:t>
      </w:r>
    </w:p>
    <w:p>
      <w:pPr>
        <w:pStyle w:val="ListBullet"/>
      </w:pPr>
      <w:r>
        <w:t>• Travaux de rénovation non déclarés</w:t>
      </w:r>
    </w:p>
    <w:p>
      <w:pPr>
        <w:pStyle w:val="ListBullet"/>
      </w:pPr>
      <w:r>
        <w:t>• Biens mobiliers du locataire</w:t>
      </w:r>
    </w:p>
    <w:p>
      <w:pPr>
        <w:pStyle w:val="ListBullet"/>
      </w:pPr>
      <w:r>
        <w:t>• Sinistres survenus pendant une période de vacance prolongée (&gt;90 jours)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GARANTIE DES LOYERS IMPAYÉS (GLI)</w:t>
      </w:r>
    </w:p>
    <w:p>
      <w:r>
        <w:t xml:space="preserve">La GLI est </w:t>
      </w:r>
      <w:r>
        <w:rPr>
          <w:b/>
        </w:rPr>
        <w:t>FORTEMENT RECOMMANDÉE</w:t>
      </w:r>
      <w:r>
        <w:t xml:space="preserve"> pour tout investissement locatif. Elle protège contre les loyers impayés et les dégradations.</w:t>
      </w:r>
    </w:p>
    <w:p>
      <w:pPr>
        <w:pStyle w:val="Heading2"/>
      </w:pPr>
      <w:r>
        <w:t>Fonctionnement de la GLI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7E6E6"/>
          </w:tcPr>
          <w:p>
            <w:r>
              <w:t>Franchise</w:t>
            </w:r>
          </w:p>
        </w:tc>
        <w:tc>
          <w:tcPr>
            <w:tcW w:type="dxa" w:w="4703"/>
          </w:tcPr>
          <w:p>
            <w:r>
              <w:t>Généralement 1 à 3 mois de loyers</w:t>
            </w:r>
          </w:p>
        </w:tc>
      </w:tr>
      <w:tr>
        <w:tc>
          <w:tcPr>
            <w:tcW w:type="dxa" w:w="4703"/>
            <w:shd w:fill="E7E6E6"/>
          </w:tcPr>
          <w:p>
            <w:r>
              <w:t>Plafond de garantie</w:t>
            </w:r>
          </w:p>
        </w:tc>
        <w:tc>
          <w:tcPr>
            <w:tcW w:type="dxa" w:w="4703"/>
          </w:tcPr>
          <w:p>
            <w:r>
              <w:t>12 à 36 mois de loyers selon contrat</w:t>
            </w:r>
          </w:p>
        </w:tc>
      </w:tr>
      <w:tr>
        <w:tc>
          <w:tcPr>
            <w:tcW w:type="dxa" w:w="4703"/>
            <w:shd w:fill="E7E6E6"/>
          </w:tcPr>
          <w:p>
            <w:r>
              <w:t>Délai de carence</w:t>
            </w:r>
          </w:p>
        </w:tc>
        <w:tc>
          <w:tcPr>
            <w:tcW w:type="dxa" w:w="4703"/>
          </w:tcPr>
          <w:p>
            <w:r>
              <w:t>Aucun (prise en charge dès le 1er impayé)</w:t>
            </w:r>
          </w:p>
        </w:tc>
      </w:tr>
      <w:tr>
        <w:tc>
          <w:tcPr>
            <w:tcW w:type="dxa" w:w="4703"/>
            <w:shd w:fill="E7E6E6"/>
          </w:tcPr>
          <w:p>
            <w:r>
              <w:t>Délais de déclaration</w:t>
            </w:r>
          </w:p>
        </w:tc>
        <w:tc>
          <w:tcPr>
            <w:tcW w:type="dxa" w:w="4703"/>
          </w:tcPr>
          <w:p>
            <w:r>
              <w:t>Dans les 10 jours suivant l'impayé</w:t>
            </w:r>
          </w:p>
        </w:tc>
      </w:tr>
      <w:tr>
        <w:tc>
          <w:tcPr>
            <w:tcW w:type="dxa" w:w="4703"/>
            <w:shd w:fill="E7E6E6"/>
          </w:tcPr>
          <w:p>
            <w:r>
              <w:t>Coût annuel</w:t>
            </w:r>
          </w:p>
        </w:tc>
        <w:tc>
          <w:tcPr>
            <w:tcW w:type="dxa" w:w="4703"/>
          </w:tcPr>
          <w:p>
            <w:r>
              <w:t>2,5% à 4% des loyers annuels HC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>
      <w:pPr>
        <w:pStyle w:val="Heading2"/>
      </w:pPr>
      <w:r>
        <w:t>Garanties complémentaires souvent incluses</w:t>
      </w:r>
    </w:p>
    <w:p>
      <w:pPr>
        <w:pStyle w:val="ListBullet"/>
      </w:pPr>
      <w:r>
        <w:t>• Protection juridique locative : défense et recours contre le locataire</w:t>
      </w:r>
    </w:p>
    <w:p>
      <w:pPr>
        <w:pStyle w:val="ListBullet"/>
      </w:pPr>
      <w:r>
        <w:t>• Indemnisation des dégradations : jusqu'à 2 000€ - 10 000€</w:t>
      </w:r>
    </w:p>
    <w:p>
      <w:pPr>
        <w:pStyle w:val="ListBullet"/>
      </w:pPr>
      <w:r>
        <w:t>• Frais d'expulsion : prise en charge des frais d'huissier et avocat</w:t>
      </w:r>
    </w:p>
    <w:p>
      <w:pPr>
        <w:pStyle w:val="ListBullet"/>
      </w:pPr>
      <w:r>
        <w:t>• Assistance vacance locative : aide à la relocation (optionnel)</w:t>
      </w:r>
    </w:p>
    <w:p>
      <w:pPr>
        <w:pStyle w:val="Heading2"/>
      </w:pPr>
      <w:r>
        <w:t>Conditions d'éligibilité du locataire</w:t>
      </w:r>
    </w:p>
    <w:p>
      <w:pPr>
        <w:pStyle w:val="ListBullet"/>
      </w:pPr>
      <w:r>
        <w:t>• Revenus nets mensuels ≥ 3 fois le montant du loyer CC</w:t>
      </w:r>
    </w:p>
    <w:p>
      <w:pPr>
        <w:pStyle w:val="ListBullet"/>
      </w:pPr>
      <w:r>
        <w:t>• CDI ou fonctionnaire (CDD selon ancienneté)</w:t>
      </w:r>
    </w:p>
    <w:p>
      <w:pPr>
        <w:pStyle w:val="ListBullet"/>
      </w:pPr>
      <w:r>
        <w:t>• Pas de fichage FICP (Fichier des Incidents de Crédit)</w:t>
      </w:r>
    </w:p>
    <w:p>
      <w:pPr>
        <w:pStyle w:val="ListBullet"/>
      </w:pPr>
      <w:r>
        <w:t>• Caution solidaire possible pour les profils atypiques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RESPONSABILITÉ CIVILE PROFESSIONNELLE (RC PRO)</w:t>
      </w:r>
    </w:p>
    <w:p>
      <w:r>
        <w:t xml:space="preserve">La RC Pro est </w:t>
      </w:r>
      <w:r>
        <w:rPr>
          <w:b/>
        </w:rPr>
        <w:t>OBLIGATOIRE</w:t>
      </w:r>
      <w:r>
        <w:t xml:space="preserve"> pour les agents immobiliers (Loi Hoguet). Elle couvre les dommages causés aux clients.</w:t>
      </w:r>
    </w:p>
    <w:p>
      <w:pPr>
        <w:pStyle w:val="Heading2"/>
      </w:pPr>
      <w:r>
        <w:t>Garanties RC Pro agent immobilier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70AD47"/>
          </w:tcPr>
          <w:p>
            <w:r>
              <w:rPr>
                <w:b/>
                <w:color w:val="FFFFFF"/>
              </w:rPr>
              <w:t>Garantie</w:t>
            </w:r>
          </w:p>
        </w:tc>
        <w:tc>
          <w:tcPr>
            <w:tcW w:type="dxa" w:w="3135"/>
            <w:shd w:fill="70AD47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135"/>
            <w:shd w:fill="70AD47"/>
          </w:tcPr>
          <w:p>
            <w:r>
              <w:rPr>
                <w:b/>
                <w:color w:val="FFFFFF"/>
              </w:rPr>
              <w:t>Plafond indicatif</w:t>
            </w:r>
          </w:p>
        </w:tc>
      </w:tr>
      <w:tr>
        <w:tc>
          <w:tcPr>
            <w:tcW w:type="dxa" w:w="3135"/>
          </w:tcPr>
          <w:p>
            <w:r>
              <w:t>Responsabilité civile professionnelle</w:t>
            </w:r>
          </w:p>
        </w:tc>
        <w:tc>
          <w:tcPr>
            <w:tcW w:type="dxa" w:w="3135"/>
          </w:tcPr>
          <w:p>
            <w:r>
              <w:t>Erreurs, omissions, négligences professionnelles</w:t>
            </w:r>
          </w:p>
        </w:tc>
        <w:tc>
          <w:tcPr>
            <w:tcW w:type="dxa" w:w="3135"/>
          </w:tcPr>
          <w:p>
            <w:r>
              <w:t>500 000€ - 2M€</w:t>
            </w:r>
          </w:p>
        </w:tc>
      </w:tr>
      <w:tr>
        <w:tc>
          <w:tcPr>
            <w:tcW w:type="dxa" w:w="3135"/>
          </w:tcPr>
          <w:p>
            <w:r>
              <w:t>Défense et recours</w:t>
            </w:r>
          </w:p>
        </w:tc>
        <w:tc>
          <w:tcPr>
            <w:tcW w:type="dxa" w:w="3135"/>
          </w:tcPr>
          <w:p>
            <w:r>
              <w:t>Frais d'avocat et de procédure</w:t>
            </w:r>
          </w:p>
        </w:tc>
        <w:tc>
          <w:tcPr>
            <w:tcW w:type="dxa" w:w="3135"/>
          </w:tcPr>
          <w:p>
            <w:r>
              <w:t>Inclus</w:t>
            </w:r>
          </w:p>
        </w:tc>
      </w:tr>
      <w:tr>
        <w:tc>
          <w:tcPr>
            <w:tcW w:type="dxa" w:w="3135"/>
          </w:tcPr>
          <w:p>
            <w:r>
              <w:t>Protection juridique</w:t>
            </w:r>
          </w:p>
        </w:tc>
        <w:tc>
          <w:tcPr>
            <w:tcW w:type="dxa" w:w="3135"/>
          </w:tcPr>
          <w:p>
            <w:r>
              <w:t>Assistance en cas de litige</w:t>
            </w:r>
          </w:p>
        </w:tc>
        <w:tc>
          <w:tcPr>
            <w:tcW w:type="dxa" w:w="3135"/>
          </w:tcPr>
          <w:p>
            <w:r>
              <w:t>Option</w:t>
            </w:r>
          </w:p>
        </w:tc>
      </w:tr>
      <w:tr>
        <w:tc>
          <w:tcPr>
            <w:tcW w:type="dxa" w:w="3135"/>
          </w:tcPr>
          <w:p>
            <w:r>
              <w:t>Cyber-risques</w:t>
            </w:r>
          </w:p>
        </w:tc>
        <w:tc>
          <w:tcPr>
            <w:tcW w:type="dxa" w:w="3135"/>
          </w:tcPr>
          <w:p>
            <w:r>
              <w:t>Piratage informatique, vol de données</w:t>
            </w:r>
          </w:p>
        </w:tc>
        <w:tc>
          <w:tcPr>
            <w:tcW w:type="dxa" w:w="3135"/>
          </w:tcPr>
          <w:p>
            <w:r>
              <w:t>Option</w:t>
            </w:r>
          </w:p>
        </w:tc>
      </w:tr>
    </w:tbl>
    <w:p>
      <w:pPr>
        <w:pStyle w:val="Heading2"/>
      </w:pPr>
      <w:r>
        <w:t>Coût indicatif annuel</w:t>
      </w:r>
    </w:p>
    <w:p>
      <w:r>
        <w:t>Agent immobilier individuel : 300€ - 800€/an</w:t>
      </w:r>
    </w:p>
    <w:p>
      <w:r>
        <w:t>Agence avec salariés : 1 500€ - 5 000€/an selon CA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TABLEAU RÉCAPITULATIF DES ASSURANCES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F4E78"/>
          </w:tcPr>
          <w:p>
            <w:r>
              <w:rPr>
                <w:b/>
                <w:color w:val="FFFFFF"/>
              </w:rPr>
              <w:t>Type d'assurance</w:t>
            </w:r>
          </w:p>
        </w:tc>
        <w:tc>
          <w:tcPr>
            <w:tcW w:type="dxa" w:w="1881"/>
            <w:shd w:fill="1F4E78"/>
          </w:tcPr>
          <w:p>
            <w:r>
              <w:rPr>
                <w:b/>
                <w:color w:val="FFFFFF"/>
              </w:rPr>
              <w:t>Obligatoire ?</w:t>
            </w:r>
          </w:p>
        </w:tc>
        <w:tc>
          <w:tcPr>
            <w:tcW w:type="dxa" w:w="1881"/>
            <w:shd w:fill="1F4E78"/>
          </w:tcPr>
          <w:p>
            <w:r>
              <w:rPr>
                <w:b/>
                <w:color w:val="FFFFFF"/>
              </w:rPr>
              <w:t>Pour qui ?</w:t>
            </w:r>
          </w:p>
        </w:tc>
        <w:tc>
          <w:tcPr>
            <w:tcW w:type="dxa" w:w="1881"/>
            <w:shd w:fill="1F4E78"/>
          </w:tcPr>
          <w:p>
            <w:r>
              <w:rPr>
                <w:b/>
                <w:color w:val="FFFFFF"/>
              </w:rPr>
              <w:t>Coût indicatif 2026</w:t>
            </w:r>
          </w:p>
        </w:tc>
        <w:tc>
          <w:tcPr>
            <w:tcW w:type="dxa" w:w="1881"/>
            <w:shd w:fill="1F4E78"/>
          </w:tcPr>
          <w:p>
            <w:r>
              <w:rPr>
                <w:b/>
                <w:color w:val="FFFFFF"/>
              </w:rPr>
              <w:t>Fréquence principale</w:t>
            </w:r>
          </w:p>
        </w:tc>
      </w:tr>
      <w:tr>
        <w:tc>
          <w:tcPr>
            <w:tcW w:type="dxa" w:w="1881"/>
          </w:tcPr>
          <w:p>
            <w:r>
              <w:t>Assurance emprunteur</w:t>
            </w:r>
          </w:p>
        </w:tc>
        <w:tc>
          <w:tcPr>
            <w:tcW w:type="dxa" w:w="1881"/>
          </w:tcPr>
          <w:p>
            <w:r>
              <w:t>OUI (crédit)</w:t>
            </w:r>
          </w:p>
        </w:tc>
        <w:tc>
          <w:tcPr>
            <w:tcW w:type="dxa" w:w="1881"/>
          </w:tcPr>
          <w:p>
            <w:r>
              <w:t>Emprunteur</w:t>
            </w:r>
          </w:p>
        </w:tc>
        <w:tc>
          <w:tcPr>
            <w:tcW w:type="dxa" w:w="1881"/>
          </w:tcPr>
          <w:p>
            <w:r>
              <w:t>0,25% - 0,45% du capital</w:t>
            </w:r>
          </w:p>
        </w:tc>
        <w:tc>
          <w:tcPr>
            <w:tcW w:type="dxa" w:w="1881"/>
          </w:tcPr>
          <w:p>
            <w:r>
              <w:t>Décès/Invalidité</w:t>
            </w:r>
          </w:p>
        </w:tc>
      </w:tr>
      <w:tr>
        <w:tc>
          <w:tcPr>
            <w:tcW w:type="dxa" w:w="1881"/>
          </w:tcPr>
          <w:p>
            <w:r>
              <w:t>PNO</w:t>
            </w:r>
          </w:p>
        </w:tc>
        <w:tc>
          <w:tcPr>
            <w:tcW w:type="dxa" w:w="1881"/>
          </w:tcPr>
          <w:p>
            <w:r>
              <w:t>OUI (bailleur)</w:t>
            </w:r>
          </w:p>
        </w:tc>
        <w:tc>
          <w:tcPr>
            <w:tcW w:type="dxa" w:w="1881"/>
          </w:tcPr>
          <w:p>
            <w:r>
              <w:t>Propriétaire louant</w:t>
            </w:r>
          </w:p>
        </w:tc>
        <w:tc>
          <w:tcPr>
            <w:tcW w:type="dxa" w:w="1881"/>
          </w:tcPr>
          <w:p>
            <w:r>
              <w:t>150€ - 400€/an</w:t>
            </w:r>
          </w:p>
        </w:tc>
        <w:tc>
          <w:tcPr>
            <w:tcW w:type="dxa" w:w="1881"/>
          </w:tcPr>
          <w:p>
            <w:r>
              <w:t>Dommages au bien</w:t>
            </w:r>
          </w:p>
        </w:tc>
      </w:tr>
      <w:tr>
        <w:tc>
          <w:tcPr>
            <w:tcW w:type="dxa" w:w="1881"/>
          </w:tcPr>
          <w:p>
            <w:r>
              <w:t>GLI</w:t>
            </w:r>
          </w:p>
        </w:tc>
        <w:tc>
          <w:tcPr>
            <w:tcW w:type="dxa" w:w="1881"/>
          </w:tcPr>
          <w:p>
            <w:r>
              <w:t>Non (recommandé)</w:t>
            </w:r>
          </w:p>
        </w:tc>
        <w:tc>
          <w:tcPr>
            <w:tcW w:type="dxa" w:w="1881"/>
          </w:tcPr>
          <w:p>
            <w:r>
              <w:t>Propriétaire bailleur</w:t>
            </w:r>
          </w:p>
        </w:tc>
        <w:tc>
          <w:tcPr>
            <w:tcW w:type="dxa" w:w="1881"/>
          </w:tcPr>
          <w:p>
            <w:r>
              <w:t>2,5% - 4% des loyers</w:t>
            </w:r>
          </w:p>
        </w:tc>
        <w:tc>
          <w:tcPr>
            <w:tcW w:type="dxa" w:w="1881"/>
          </w:tcPr>
          <w:p>
            <w:r>
              <w:t>Loyers impayés</w:t>
            </w:r>
          </w:p>
        </w:tc>
      </w:tr>
      <w:tr>
        <w:tc>
          <w:tcPr>
            <w:tcW w:type="dxa" w:w="1881"/>
          </w:tcPr>
          <w:p>
            <w:r>
              <w:t>RC Pro</w:t>
            </w:r>
          </w:p>
        </w:tc>
        <w:tc>
          <w:tcPr>
            <w:tcW w:type="dxa" w:w="1881"/>
          </w:tcPr>
          <w:p>
            <w:r>
              <w:t>OUI (agent)</w:t>
            </w:r>
          </w:p>
        </w:tc>
        <w:tc>
          <w:tcPr>
            <w:tcW w:type="dxa" w:w="1881"/>
          </w:tcPr>
          <w:p>
            <w:r>
              <w:t>Agent immobilier</w:t>
            </w:r>
          </w:p>
        </w:tc>
        <w:tc>
          <w:tcPr>
            <w:tcW w:type="dxa" w:w="1881"/>
          </w:tcPr>
          <w:p>
            <w:r>
              <w:t>300€ - 5 000€/an</w:t>
            </w:r>
          </w:p>
        </w:tc>
        <w:tc>
          <w:tcPr>
            <w:tcW w:type="dxa" w:w="1881"/>
          </w:tcPr>
          <w:p>
            <w:r>
              <w:t>Erreur professionnelle</w:t>
            </w:r>
          </w:p>
        </w:tc>
      </w:tr>
      <w:tr>
        <w:tc>
          <w:tcPr>
            <w:tcW w:type="dxa" w:w="1881"/>
          </w:tcPr>
          <w:p>
            <w:r>
              <w:t>Multirisque habitation</w:t>
            </w:r>
          </w:p>
        </w:tc>
        <w:tc>
          <w:tcPr>
            <w:tcW w:type="dxa" w:w="1881"/>
          </w:tcPr>
          <w:p>
            <w:r>
              <w:t>OUI (locataire)</w:t>
            </w:r>
          </w:p>
        </w:tc>
        <w:tc>
          <w:tcPr>
            <w:tcW w:type="dxa" w:w="1881"/>
          </w:tcPr>
          <w:p>
            <w:r>
              <w:t>Locataire</w:t>
            </w:r>
          </w:p>
        </w:tc>
        <w:tc>
          <w:tcPr>
            <w:tcW w:type="dxa" w:w="1881"/>
          </w:tcPr>
          <w:p>
            <w:r>
              <w:t>100€ - 250€/an</w:t>
            </w:r>
          </w:p>
        </w:tc>
        <w:tc>
          <w:tcPr>
            <w:tcW w:type="dxa" w:w="1881"/>
          </w:tcPr>
          <w:p>
            <w:r>
              <w:t>Responsabilité civile</w:t>
            </w:r>
          </w:p>
        </w:tc>
      </w:tr>
    </w:tbl>
    <w:p>
      <w:r>
        <w:t>________________________________________________________________________________</w:t>
      </w:r>
    </w:p>
    <w:p>
      <w:pPr>
        <w:pStyle w:val="Heading1"/>
      </w:pPr>
      <w:r>
        <w:t>6. CHECKLIST - AVANT DE SIGNER UN CONTRAT</w:t>
      </w:r>
    </w:p>
    <w:p>
      <w:r>
        <w:t>☐ Comparer au moins 3 devis d'assureurs différents</w:t>
      </w:r>
    </w:p>
    <w:p>
      <w:r>
        <w:t>☐ Vérifier les franchises et délais de carence</w:t>
      </w:r>
    </w:p>
    <w:p>
      <w:r>
        <w:t>☐ Lire attentivement les exclusions de garantie</w:t>
      </w:r>
    </w:p>
    <w:p>
      <w:r>
        <w:t>☐ Vérifier les plafonds de garantie suffisants</w:t>
      </w:r>
    </w:p>
    <w:p>
      <w:r>
        <w:t>☐ S'assurer de la possibilité de résiliation (Loi Lemoine)</w:t>
      </w:r>
    </w:p>
    <w:p>
      <w:r>
        <w:t>☐ Vérifier la réputation et la solvabilité de l'assureur</w:t>
      </w:r>
    </w:p>
    <w:p>
      <w:r>
        <w:t>☐ Demander une simulation sur la durée totale du prêt</w:t>
      </w:r>
    </w:p>
    <w:p>
      <w:r>
        <w:t>☐ Vérifier si l'assurance est délégable (changement en cours)</w:t>
      </w:r>
    </w:p>
    <w:p>
      <w:r>
        <w:t>☐ Prendre en compte l'âge et l'état de santé pour l'emprunteur</w:t>
      </w:r>
    </w:p>
    <w:p>
      <w:r>
        <w:t>☐ Conserver une copie du contrat et des conditions générales</w:t>
      </w:r>
    </w:p>
    <w:p>
      <w:r>
        <w:t>________________________________________________________________________________</w:t>
      </w:r>
    </w:p>
    <w:p>
      <w:pPr>
        <w:pStyle w:val="Heading1"/>
      </w:pPr>
      <w:r>
        <w:t>7. CONTACTS ET RESSOURCES UTILES</w:t>
      </w:r>
    </w:p>
    <w:p>
      <w:r>
        <w:rPr>
          <w:b/>
        </w:rPr>
        <w:t>ACPR (Autorité de Contrôle Prudentiel)</w:t>
      </w:r>
      <w:r>
        <w:t xml:space="preserve"> - www.acpr.banque-france.fr - Vérifier la solvabilité des assureurs</w:t>
      </w:r>
    </w:p>
    <w:p>
      <w:r>
        <w:rPr>
          <w:b/>
        </w:rPr>
        <w:t>Médiation de l'assurance</w:t>
      </w:r>
      <w:r>
        <w:t xml:space="preserve"> - www.mediation-assurance.org - En cas de litige avec l'assureur</w:t>
      </w:r>
    </w:p>
    <w:p>
      <w:r>
        <w:rPr>
          <w:b/>
        </w:rPr>
        <w:t>FNAIM</w:t>
      </w:r>
      <w:r>
        <w:t xml:space="preserve"> - www.fnaim.fr - Informations agents immobiliers</w:t>
      </w:r>
    </w:p>
    <w:p>
      <w:r>
        <w:rPr>
          <w:b/>
        </w:rPr>
        <w:t>Service-Public.fr</w:t>
      </w:r>
      <w:r>
        <w:t xml:space="preserve"> - www.service-public.fr - Informations légales sur les assurances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</w:rPr>
        <w:t>Document à usage pédagogique - Les tarifs sont indicatifs et susceptibles de variation</w:t>
        <w:br/>
      </w:r>
      <w:r>
        <w:rPr>
          <w:i/>
        </w:rPr>
        <w:t>Dernière mise à jour : Janvier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