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Data Processing Agreement</w:t>
      </w:r>
    </w:p>
    <w:p>
      <w:pPr>
        <w:spacing w:after="400"/>
        <w:jc w:val="center"/>
      </w:pPr>
      <w:r>
        <w:rPr>
          <w:color w:val="666666"/>
          <w:sz w:val="22"/>
          <w:szCs w:val="22"/>
        </w:rPr>
        <w:t xml:space="preserve">Eternal Fitness — Decoded Ops</w:t>
      </w:r>
    </w:p>
    <w:p>
      <w:pPr>
        <w:spacing w:after="100"/>
      </w:pPr>
      <w:r>
        <w:rPr>
          <w:b/>
          <w:bCs/>
        </w:rPr>
        <w:t xml:space="preserve">Between:  </w:t>
      </w:r>
      <w:r>
        <w:t xml:space="preserve">Esther Fair, trading as Eternal Fitness, of Worthing, West Sussex (the “Controller”)</w:t>
      </w:r>
    </w:p>
    <w:p>
      <w:pPr>
        <w:spacing w:after="100"/>
      </w:pPr>
      <w:r>
        <w:rPr>
          <w:b/>
          <w:bCs/>
        </w:rPr>
        <w:t xml:space="preserve">And:  </w:t>
      </w:r>
      <w:r>
        <w:t xml:space="preserve">Craig Blackman, trading as Decoded Ops (the “Processor”)</w:t>
      </w:r>
    </w:p>
    <w:p>
      <w:pPr>
        <w:spacing w:after="300"/>
      </w:pPr>
      <w:r>
        <w:rPr>
          <w:b/>
          <w:bCs/>
        </w:rPr>
        <w:t xml:space="preserve">Effective date:  </w:t>
      </w:r>
      <w:r>
        <w:t xml:space="preserve">7 August 2026</w:t>
      </w:r>
    </w:p>
    <w:p>
      <w:pPr>
        <w:pStyle w:val="Heading1"/>
        <w:spacing w:after="150" w:before="300"/>
      </w:pPr>
      <w:r>
        <w:rPr>
          <w:b/>
          <w:bCs/>
        </w:rPr>
        <w:t xml:space="preserve">1. Background</w:t>
      </w:r>
    </w:p>
    <w:p>
      <w:pPr>
        <w:spacing w:after="200"/>
      </w:pPr>
      <w:r>
        <w:t xml:space="preserve">1.1. The Controller operates Eternal Fitness, a personal training business, and engages the Processor to build, host, and maintain the software systems the business runs on — the public website, the staff hub, and the client portal (together, the “Services”).</w:t>
      </w:r>
    </w:p>
    <w:p>
      <w:pPr>
        <w:spacing w:after="200"/>
      </w:pPr>
      <w:r>
        <w:t xml:space="preserve">1.2. In the course of providing the Services, the Processor has administrative access to the Controller's production database, which contains personal data — including special category health data (PAR-Q answers, medical conditions, session notes) — about the Controller's clients (the “Personal Data”).</w:t>
      </w:r>
    </w:p>
    <w:p>
      <w:pPr>
        <w:spacing w:after="200"/>
      </w:pPr>
      <w:r>
        <w:t xml:space="preserve">1.3. This Agreement sets out the terms on which the Processor processes Personal Data on the Controller's behalf, as required by Article 28 of the UK GDPR.</w:t>
      </w:r>
    </w:p>
    <w:p>
      <w:pPr>
        <w:spacing w:after="200"/>
      </w:pPr>
      <w:r>
        <w:t xml:space="preserve">1.4. This Agreement is proportionate to the scale of the relationship — a sole trader engaging a single freelance developer — and is intended to be a genuine, workable record of what already happens in practice, not a generic template neither party will actually follow.</w:t>
      </w:r>
    </w:p>
    <w:p>
      <w:pPr>
        <w:pStyle w:val="Heading1"/>
        <w:spacing w:after="150" w:before="300"/>
      </w:pPr>
      <w:r>
        <w:rPr>
          <w:b/>
          <w:bCs/>
        </w:rPr>
        <w:t xml:space="preserve">2. Subject matter, duration, nature and purpose of processing</w:t>
      </w:r>
    </w:p>
    <w:p>
      <w:pPr>
        <w:spacing w:after="200"/>
      </w:pPr>
      <w:r>
        <w:t xml:space="preserve">2.1. Subject matter: development, hosting, and maintenance of the Eternal Fitness website, staff hub, and client portal, including the underlying database.</w:t>
      </w:r>
    </w:p>
    <w:p>
      <w:pPr>
        <w:spacing w:after="200"/>
      </w:pPr>
      <w:r>
        <w:t xml:space="preserve">2.2. Duration: for as long as the Processor provides development/maintenance services to the Controller. On termination, clause 8 (return/deletion of data) applies.</w:t>
      </w:r>
    </w:p>
    <w:p>
      <w:pPr>
        <w:spacing w:after="200"/>
      </w:pPr>
      <w:r>
        <w:t xml:space="preserve">2.3. Nature of processing: the Processor may access, view, query, back up, and modify the database and its contents as reasonably necessary to build features, fix bugs, run migrations, investigate issues, and otherwise maintain the Services. The Processor does not routinely browse client records for any purpose unrelated to this technical work.</w:t>
      </w:r>
    </w:p>
    <w:p>
      <w:pPr>
        <w:spacing w:after="200"/>
      </w:pPr>
      <w:r>
        <w:t xml:space="preserve">2.4. Purpose: solely to provide the Services described in clause 1.1 — never for marketing, never for any purpose of the Processor's own business, and never disclosed to any third party except as this Agreement or the law requires.</w:t>
      </w:r>
    </w:p>
    <w:p>
      <w:pPr>
        <w:pStyle w:val="Heading1"/>
        <w:spacing w:after="150" w:before="300"/>
      </w:pPr>
      <w:r>
        <w:rPr>
          <w:b/>
          <w:bCs/>
        </w:rPr>
        <w:t xml:space="preserve">3. Categories of data subjects and types of Personal Data</w:t>
      </w:r>
    </w:p>
    <w:p>
      <w:pPr>
        <w:spacing w:after="200"/>
      </w:pPr>
      <w:r>
        <w:t xml:space="preserve">3.1. Data subjects: website enquirers, consultation bookers, Eternal Fitness clients, and client portal users.</w:t>
      </w:r>
    </w:p>
    <w:p>
      <w:pPr>
        <w:spacing w:after="200"/>
      </w:pPr>
      <w:r>
        <w:t xml:space="preserve">3.2. Categories of Personal Data: name, contact details, emergency contact, booking/enquiry content; client agreements and signed consent forms; session notes and training programme data; portal login and session/exercise history.</w:t>
      </w:r>
    </w:p>
    <w:p>
      <w:pPr>
        <w:spacing w:after="200"/>
      </w:pPr>
      <w:r>
        <w:t xml:space="preserve">3.3. Special category data: PAR-Q health information — diagnosed medical conditions, medications, implanted medical devices, and surgical/hospital history — processed under Article 9 UK GDPR on the basis that it is necessary for reasons of substantial public interest / explicit consent as already set out in the Controller's Privacy Policy, and handled by the Processor with the same care as any other special category data under this Agreement.</w:t>
      </w:r>
    </w:p>
    <w:p>
      <w:pPr>
        <w:pStyle w:val="Heading1"/>
        <w:spacing w:after="150" w:before="300"/>
      </w:pPr>
      <w:r>
        <w:rPr>
          <w:b/>
          <w:bCs/>
        </w:rPr>
        <w:t xml:space="preserve">4. Processor obligations</w:t>
      </w:r>
    </w:p>
    <w:p>
      <w:pPr>
        <w:spacing w:after="200"/>
      </w:pPr>
      <w:r>
        <w:t xml:space="preserve">The Processor shall:</w:t>
      </w:r>
    </w:p>
    <w:p>
      <w:pPr>
        <w:pStyle w:val="ListParagraph"/>
        <w:numPr>
          <w:ilvl w:val="0"/>
          <w:numId w:val="1"/>
        </w:numPr>
        <w:spacing w:after="120"/>
      </w:pPr>
      <w:r>
        <w:t xml:space="preserve">Process only on instructions. Process Personal Data only on the Controller's documented instructions (which include the ordinary, agreed scope of building and maintaining the Services under clause 2), unless required to do otherwise by UK law — in which case the Processor will inform the Controller of that legal requirement first, unless the law prohibits this.</w:t>
      </w:r>
    </w:p>
    <w:p>
      <w:pPr>
        <w:pStyle w:val="ListParagraph"/>
        <w:numPr>
          <w:ilvl w:val="0"/>
          <w:numId w:val="1"/>
        </w:numPr>
        <w:spacing w:after="120"/>
      </w:pPr>
      <w:r>
        <w:t xml:space="preserve">Confidentiality. Keep all Personal Data confidential, and not access, use, or disclose it for any purpose outside the Services. As the Processor is a sole individual, this obligation binds Craig Blackman personally; if Decoded Ops ever engages a subcontractor with database access, the sub-processor clause below applies first.</w:t>
      </w:r>
    </w:p>
    <w:p>
      <w:pPr>
        <w:pStyle w:val="ListParagraph"/>
        <w:numPr>
          <w:ilvl w:val="0"/>
          <w:numId w:val="1"/>
        </w:numPr>
        <w:spacing w:after="120"/>
      </w:pPr>
      <w:r>
        <w:t xml:space="preserve">Security. Take appropriate technical and organisational measures against unauthorised or unlawful processing and against accidental loss, destruction, or damage — proportionate to the sensitivity of the data, including restricting database credentials, using secure connections, and not storing copies of client data outside the Controller's own systems.</w:t>
      </w:r>
    </w:p>
    <w:p>
      <w:pPr>
        <w:pStyle w:val="ListParagraph"/>
        <w:numPr>
          <w:ilvl w:val="0"/>
          <w:numId w:val="1"/>
        </w:numPr>
        <w:spacing w:after="120"/>
      </w:pPr>
      <w:r>
        <w:t xml:space="preserve">Assistance with data subject rights. Provide reasonable assistance to the Controller in responding to access, rectification, erasure, restriction, portability, or objection requests, given the Processor's technical access to the systems where the data lives.</w:t>
      </w:r>
    </w:p>
    <w:p>
      <w:pPr>
        <w:pStyle w:val="ListParagraph"/>
        <w:numPr>
          <w:ilvl w:val="0"/>
          <w:numId w:val="1"/>
        </w:numPr>
        <w:spacing w:after="120"/>
      </w:pPr>
      <w:r>
        <w:t xml:space="preserve">Sub-processors. Not engage any sub-processor with access to Personal Data without the Controller's prior written consent (email is sufficient). Current infrastructure sub-processors used to host/run the Services are disclosed to the Controller separately in the Processor / Data-Sharing Register (SOP-015) and are approved as of this Agreement's effective date; any new one requires fresh consent.</w:t>
      </w:r>
    </w:p>
    <w:p>
      <w:pPr>
        <w:pStyle w:val="ListParagraph"/>
        <w:numPr>
          <w:ilvl w:val="0"/>
          <w:numId w:val="1"/>
        </w:numPr>
        <w:spacing w:after="120"/>
      </w:pPr>
      <w:r>
        <w:t xml:space="preserve">Breach notification. Notify the Controller without undue delay, and in any event within 24 hours of becoming aware, of any actual or suspected personal data breach involving the systems the Processor manages, to allow the Controller to meet the 72-hour ICO notification window under the Data Breach Response Procedure (SOP-012).</w:t>
      </w:r>
    </w:p>
    <w:p>
      <w:pPr>
        <w:pStyle w:val="ListParagraph"/>
        <w:numPr>
          <w:ilvl w:val="0"/>
          <w:numId w:val="1"/>
        </w:numPr>
        <w:spacing w:after="120"/>
      </w:pPr>
      <w:r>
        <w:t xml:space="preserve">Assistance with security/DPIA obligations. Provide reasonable assistance to the Controller with its own security and data protection impact assessment obligations, where relevant to the systems the Processor builds or maintains.</w:t>
      </w:r>
    </w:p>
    <w:p>
      <w:pPr>
        <w:pStyle w:val="ListParagraph"/>
        <w:numPr>
          <w:ilvl w:val="0"/>
          <w:numId w:val="1"/>
        </w:numPr>
        <w:spacing w:after="120"/>
      </w:pPr>
      <w:r>
        <w:t xml:space="preserve">Deletion or return. At the end of the engagement, at the Controller's choice, delete or return all Personal Data the Processor holds outside the Controller's own production systems, except where UK law requires retention.</w:t>
      </w:r>
    </w:p>
    <w:p>
      <w:pPr>
        <w:pStyle w:val="ListParagraph"/>
        <w:numPr>
          <w:ilvl w:val="0"/>
          <w:numId w:val="1"/>
        </w:numPr>
        <w:spacing w:after="120"/>
      </w:pPr>
      <w:r>
        <w:t xml:space="preserve">Demonstrate compliance. Make available to the Controller the information reasonably necessary to demonstrate compliance with this Agreement, and allow for and contribute to reviews or audits conducted by the Controller, on reasonable notice.</w:t>
      </w:r>
    </w:p>
    <w:p>
      <w:pPr>
        <w:pStyle w:val="Heading1"/>
        <w:spacing w:after="150" w:before="300"/>
      </w:pPr>
      <w:r>
        <w:rPr>
          <w:b/>
          <w:bCs/>
        </w:rPr>
        <w:t xml:space="preserve">5. Controller obligations</w:t>
      </w:r>
    </w:p>
    <w:p>
      <w:pPr>
        <w:spacing w:after="200"/>
      </w:pPr>
      <w:r>
        <w:t xml:space="preserve">5.1. The Controller confirms it has a lawful basis for the Personal Data it holds and instructs the Processor to process it, as set out in the Controller's Privacy Policy and Record of Processing Activities (SOP-011).</w:t>
      </w:r>
    </w:p>
    <w:p>
      <w:pPr>
        <w:spacing w:after="200"/>
      </w:pPr>
      <w:r>
        <w:t xml:space="preserve">5.2. The Controller will give the Processor timely instructions reasonably necessary for the Processor to comply with its obligations under this Agreement.</w:t>
      </w:r>
    </w:p>
    <w:p>
      <w:pPr>
        <w:pStyle w:val="Heading1"/>
        <w:spacing w:after="150" w:before="300"/>
      </w:pPr>
      <w:r>
        <w:rPr>
          <w:b/>
          <w:bCs/>
        </w:rPr>
        <w:t xml:space="preserve">6. International transfers</w:t>
      </w:r>
    </w:p>
    <w:p>
      <w:pPr>
        <w:spacing w:after="200"/>
      </w:pPr>
      <w:r>
        <w:t xml:space="preserve">6.1. Personal Data is processed within the UK. Where any sub-processor disclosed under clause 4 processes data outside the UK, the safeguards described in the Controller's Privacy Policy (International transfers) apply.</w:t>
      </w:r>
    </w:p>
    <w:p>
      <w:pPr>
        <w:pStyle w:val="Heading1"/>
        <w:spacing w:after="150" w:before="300"/>
      </w:pPr>
      <w:r>
        <w:rPr>
          <w:b/>
          <w:bCs/>
        </w:rPr>
        <w:t xml:space="preserve">7. Liability</w:t>
      </w:r>
    </w:p>
    <w:p>
      <w:pPr>
        <w:spacing w:after="200"/>
      </w:pPr>
      <w:r>
        <w:t xml:space="preserve">7.1. Each party is responsible for its own compliance with UK GDPR. Nothing in this Agreement limits either party's liability for a breach of Personal Data obligations that cannot lawfully be limited.</w:t>
      </w:r>
    </w:p>
    <w:p>
      <w:pPr>
        <w:pStyle w:val="Heading1"/>
        <w:spacing w:after="150" w:before="300"/>
      </w:pPr>
      <w:r>
        <w:rPr>
          <w:b/>
          <w:bCs/>
        </w:rPr>
        <w:t xml:space="preserve">8. Term and termination</w:t>
      </w:r>
    </w:p>
    <w:p>
      <w:pPr>
        <w:spacing w:after="200"/>
      </w:pPr>
      <w:r>
        <w:t xml:space="preserve">8.1. This Agreement remains in effect for as long as the Processor provides the Services, and survives termination of the wider working relationship to the extent needed to cover the Processor's obligations regarding data already processed (e.g. clause 4, deletion/return).</w:t>
      </w:r>
    </w:p>
    <w:p>
      <w:pPr>
        <w:pStyle w:val="Heading1"/>
        <w:spacing w:after="150" w:before="300"/>
      </w:pPr>
      <w:r>
        <w:rPr>
          <w:b/>
          <w:bCs/>
        </w:rPr>
        <w:t xml:space="preserve">9. Review</w:t>
      </w:r>
    </w:p>
    <w:p>
      <w:pPr>
        <w:spacing w:after="200"/>
      </w:pPr>
      <w:r>
        <w:t xml:space="preserve">9.1. This Agreement should be reviewed whenever the scope of the Processor's access changes materially, or at least annually, alongside the Controller's other GDPR documentation (SOP-010 through SOP-015).</w:t>
      </w:r>
    </w:p>
    <w:p>
      <w:pPr>
        <w:pBdr>
          <w:top w:val="single" w:color="999999" w:sz="6" w:space="8"/>
        </w:pBdr>
        <w:spacing w:before="500"/>
      </w:pPr>
    </w:p>
    <w:p>
      <w:pPr>
        <w:pStyle w:val="Heading1"/>
        <w:spacing w:after="150" w:before="300"/>
      </w:pPr>
      <w:r>
        <w:rPr>
          <w:b/>
          <w:bCs/>
        </w:rPr>
        <w:t xml:space="preserve">Signed</w:t>
      </w:r>
    </w:p>
    <w:p>
      <w:pPr>
        <w:spacing w:after="60" w:before="300"/>
      </w:pPr>
      <w:r>
        <w:t xml:space="preserve">Esther Fair (Controller) — Eternal Fitness</w:t>
      </w:r>
    </w:p>
    <w:p>
      <w:pPr>
        <w:spacing w:after="300"/>
      </w:pPr>
      <w:r>
        <w:t xml:space="preserve">Date: _______________</w:t>
      </w:r>
    </w:p>
    <w:p>
      <w:pPr>
        <w:spacing w:after="60"/>
      </w:pPr>
      <w:r>
        <w:t xml:space="preserve">Craig Blackman (Processor) — Decoded Ops</w:t>
      </w:r>
    </w:p>
    <w:p>
      <w: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2026-08-07T11:23:55.209Z</dcterms:created>
  <dcterms:modified xsi:type="dcterms:W3CDTF">2026-08-07T11:23:55.209Z</dcterms:modified>
</cp:coreProperties>
</file>

<file path=docProps/custom.xml><?xml version="1.0" encoding="utf-8"?>
<Properties xmlns="http://schemas.openxmlformats.org/officeDocument/2006/custom-properties" xmlns:vt="http://schemas.openxmlformats.org/officeDocument/2006/docPropsVTypes"/>
</file>