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2E056" w14:textId="77777777" w:rsidR="001A2A89" w:rsidRDefault="00106551">
      <w:pPr>
        <w:pStyle w:val="Title"/>
      </w:pPr>
      <w:r>
        <w:t>Remotely sensing river greenhouse gas exchange velocity using the SWOT satellite</w:t>
      </w:r>
    </w:p>
    <w:p w14:paraId="03DBBCAA" w14:textId="77777777" w:rsidR="00897893" w:rsidRDefault="00897893" w:rsidP="00897893">
      <w:pPr>
        <w:pStyle w:val="Author"/>
      </w:pPr>
      <w:bookmarkStart w:id="0" w:name="key-points"/>
      <w:r>
        <w:t>Craig B Brinkerhoff</w:t>
      </w:r>
      <w:r>
        <w:rPr>
          <w:vertAlign w:val="superscript"/>
        </w:rPr>
        <w:t>1,*</w:t>
      </w:r>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1FE17138" w14:textId="77777777" w:rsidR="00897893" w:rsidRDefault="00897893" w:rsidP="00897893">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32E5CA23" w14:textId="355C5124" w:rsidR="00AC7715" w:rsidRDefault="00AC7715" w:rsidP="00AC7715">
      <w:pPr>
        <w:pStyle w:val="BodyText"/>
        <w:spacing w:line="240" w:lineRule="auto"/>
        <w:jc w:val="left"/>
      </w:pPr>
      <w:bookmarkStart w:id="1" w:name="_GoBack"/>
      <w:bookmarkEnd w:id="1"/>
      <w:r>
        <w:rPr>
          <w:vertAlign w:val="superscript"/>
        </w:rPr>
        <w:t>*</w:t>
      </w:r>
      <w:r>
        <w:t xml:space="preserve"> Correspondence: </w:t>
      </w:r>
      <w:hyperlink r:id="rId7">
        <w:r>
          <w:rPr>
            <w:rStyle w:val="Hyperlink"/>
          </w:rPr>
          <w:t>Craig B Brinkerhoff &lt;</w:t>
        </w:r>
        <w:hyperlink r:id="rId8">
          <w:r>
            <w:rPr>
              <w:rStyle w:val="Hyperlink"/>
            </w:rPr>
            <w:t>cbrinkerhoff@umass.edu</w:t>
          </w:r>
        </w:hyperlink>
        <w:r>
          <w:rPr>
            <w:rStyle w:val="Hyperlink"/>
          </w:rPr>
          <w:t>&gt;</w:t>
        </w:r>
      </w:hyperlink>
    </w:p>
    <w:p w14:paraId="0A02E057" w14:textId="0D3E87A0" w:rsidR="001A2A89" w:rsidRDefault="00106551">
      <w:pPr>
        <w:pStyle w:val="Heading2"/>
      </w:pPr>
      <w:r>
        <w:t>Key Points</w:t>
      </w:r>
    </w:p>
    <w:p w14:paraId="0A02E058" w14:textId="77777777" w:rsidR="001A2A89" w:rsidRDefault="00106551">
      <w:pPr>
        <w:pStyle w:val="Compact"/>
        <w:numPr>
          <w:ilvl w:val="0"/>
          <w:numId w:val="14"/>
        </w:numPr>
      </w:pPr>
      <w:r>
        <w:t xml:space="preserve">The BIKER algorithm predicts gas exchange velocity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solely from simulated SWOT data without calibration</w:t>
      </w:r>
    </w:p>
    <w:p w14:paraId="0A02E059" w14:textId="77777777" w:rsidR="001A2A89" w:rsidRDefault="00106551">
      <w:pPr>
        <w:pStyle w:val="Compact"/>
        <w:numPr>
          <w:ilvl w:val="0"/>
          <w:numId w:val="14"/>
        </w:numPr>
      </w:pPr>
      <w:r>
        <w:t>BIKER is robust to SWOT measurement errors</w:t>
      </w:r>
    </w:p>
    <w:p w14:paraId="0A02E05A" w14:textId="77777777" w:rsidR="001A2A89" w:rsidRDefault="00106551">
      <w:pPr>
        <w:pStyle w:val="Compact"/>
        <w:numPr>
          <w:ilvl w:val="0"/>
          <w:numId w:val="14"/>
        </w:numPr>
      </w:pPr>
      <w:r>
        <w:t xml:space="preserve">BIKER will allow for novel study of </w:t>
      </w:r>
      <w:r w:rsidRPr="00B6028A">
        <w:rPr>
          <w:vertAlign w:val="subscript"/>
        </w:rPr>
        <w:t>gas</w:t>
      </w:r>
      <w:r>
        <w:t xml:space="preserve"> exchange spatiotemporal dynamics after SWOT’s launch</w:t>
      </w:r>
    </w:p>
    <w:p w14:paraId="0A02E05B" w14:textId="77777777" w:rsidR="001A2A89" w:rsidRDefault="00106551">
      <w:pPr>
        <w:pStyle w:val="Heading2"/>
      </w:pPr>
      <w:bookmarkStart w:id="2" w:name="keywords"/>
      <w:bookmarkEnd w:id="0"/>
      <w:r>
        <w:t>Keywords</w:t>
      </w:r>
    </w:p>
    <w:p w14:paraId="0A02E05C" w14:textId="77777777" w:rsidR="001A2A89" w:rsidRDefault="00106551">
      <w:pPr>
        <w:pStyle w:val="FirstParagraph"/>
      </w:pPr>
      <w:r>
        <w:t>gas exchange, fluvial geomorphology, remote sensing, open-channel flow, SWOT, biogeochemistry</w:t>
      </w:r>
    </w:p>
    <w:p w14:paraId="0A02E05D" w14:textId="77777777" w:rsidR="001A2A89" w:rsidRDefault="00106551">
      <w:pPr>
        <w:pStyle w:val="Heading2"/>
      </w:pPr>
      <w:bookmarkStart w:id="3" w:name="abstract"/>
      <w:bookmarkEnd w:id="2"/>
      <w:r>
        <w:t>Abstract</w:t>
      </w:r>
    </w:p>
    <w:p w14:paraId="0A02E05E" w14:textId="77777777" w:rsidR="001A2A89" w:rsidRDefault="00106551">
      <w:pPr>
        <w:pStyle w:val="FirstParagraph"/>
      </w:pPr>
      <w:r>
        <w:t xml:space="preserve">Extensive research over the past two decades has shown that the global river network emits significant amounts of greenhouse gas. Despite much progress, there is still large uncertainty in the temporal dynamics of gas exchange and thus carbon emissions to the atmosphere. Much of this uncertainty stems from uncertainty in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 rate of this diffusive transport). We propose that the NASA/CNES/USKA/CSA SWOT satellite can provide new insights to fluvial gas exchange modeling upon launch in 2022. Here, we present 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synthetic future SWOT observations without in situ calibration. We exploit the unique geomorphology of SWOT-observable rivers to develop a physical model of gas exchange that is remotely sensible and explains 70% of variation across 166 field measurement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We validate BIKER on 47 SWOT-simulated rivers,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solely from SWOT observations with a by-river median Kling-Gupta Efficiency of 0.37. Similar to remote sensing algorithms for SWOT, BIKER is better at explaining the temporal variation of gas exchange (median correlation coefficient of 0.91), than reproducing the absolute rates of exchange (median normalized RMSE of 37%). Finally, BIKER is robust to measurement errors implicit in the SWOT data. Upon SWOT’s launch, we suggest that BIKER will be useful in mapping global-scale fluvial gas exchange and improving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emissions estimates when coupled with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models.</w:t>
      </w:r>
    </w:p>
    <w:p w14:paraId="0A02E05F" w14:textId="77777777" w:rsidR="001A2A89" w:rsidRDefault="00106551">
      <w:pPr>
        <w:pStyle w:val="Heading2"/>
      </w:pPr>
      <w:bookmarkStart w:id="4" w:name="introduction"/>
      <w:bookmarkEnd w:id="3"/>
      <w:r>
        <w:t>1 Introduction</w:t>
      </w:r>
    </w:p>
    <w:p w14:paraId="0A02E060" w14:textId="77777777" w:rsidR="001A2A89" w:rsidRDefault="00106551">
      <w:pPr>
        <w:pStyle w:val="FirstParagraph"/>
      </w:pPr>
      <w:r>
        <w:t>Natural systems play a critical role in the budgeting and accounting of the global carbon cycle under climate change. Following Cole et al. (2007), the global river network is recognized to emit substantial amounts of carbon to the atmosphere via evasion (gas exchange driven by diffusion and near-surface turbulence at th air/water interface), in addition to their long understood role in transporting carbon to the oceans via downstream advection. Current estimates of total carbon dioxide evasion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the atmosphere from the global river network vary from 650-2000 Tg C/yr (Lauerwald et al., 2015; Liu et al., 2022; Raymond et al., 2013), with 167 Tg-C/yr coming from mountain streams alone (Horgby et al., 2019). Despite rivers’ small percentage of </w:t>
      </w:r>
      <w:r>
        <w:lastRenderedPageBreak/>
        <w:t xml:space="preserve">the global land surface (0.67%- Liu et al., 2022), this carbon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uptake rate (Gruber et al., 2019; Horgby et al., 2019) and the global forest carbon uptake rate (Pan et al., 2011).</w:t>
      </w:r>
    </w:p>
    <w:p w14:paraId="0A02E061" w14:textId="77777777" w:rsidR="001A2A89" w:rsidRDefault="00106551">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 air-water flux between the water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the air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and the gas exchange velocity </w:t>
      </w:r>
      <w:r>
        <w:rPr>
          <w:i/>
          <w:iCs/>
        </w:rPr>
        <w:t>k</w:t>
      </w:r>
      <w:r>
        <w:t>. Consult Appendix A for variable nomenclature used throughout this study.</w:t>
      </w:r>
    </w:p>
    <w:p w14:paraId="0A02E062" w14:textId="77777777" w:rsidR="001A2A89" w:rsidRDefault="00106551">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kδC</m:t>
          </m:r>
          <m:sSub>
            <m:sSubPr>
              <m:ctrlPr>
                <w:rPr>
                  <w:rFonts w:ascii="Cambria Math" w:hAnsi="Cambria Math"/>
                </w:rPr>
              </m:ctrlPr>
            </m:sSubPr>
            <m:e>
              <m:r>
                <w:rPr>
                  <w:rFonts w:ascii="Cambria Math" w:hAnsi="Cambria Math"/>
                </w:rPr>
                <m:t>O</m:t>
              </m:r>
            </m:e>
            <m:sub>
              <m:r>
                <w:rPr>
                  <w:rFonts w:ascii="Cambria Math" w:hAnsi="Cambria Math"/>
                </w:rPr>
                <m:t>2</m:t>
              </m:r>
            </m:sub>
          </m:sSub>
          <m:d>
            <m:dPr>
              <m:ctrlPr>
                <w:rPr>
                  <w:rFonts w:ascii="Cambria Math" w:hAnsi="Cambria Math"/>
                </w:rPr>
              </m:ctrlPr>
            </m:dPr>
            <m:e>
              <m:r>
                <m:rPr>
                  <m:sty m:val="b"/>
                </m:rPr>
                <w:rPr>
                  <w:rFonts w:ascii="Cambria Math" w:hAnsi="Cambria Math"/>
                </w:rPr>
                <m:t>1</m:t>
              </m:r>
            </m:e>
          </m:d>
        </m:oMath>
      </m:oMathPara>
    </w:p>
    <w:p w14:paraId="0A02E063" w14:textId="77777777" w:rsidR="001A2A89" w:rsidRDefault="00106551">
      <w:pPr>
        <w:pStyle w:val="FirstParagraph"/>
      </w:pPr>
      <w:r>
        <w:t xml:space="preserve">There is a robust existing literature exploring spatiotemporal patterns in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(e.g. Aho, Fair, et al., 2021; Aho &amp; Raymond, 2019; Crawford et al., 2017; Liu &amp; Raymond, 2018; Peter et al., 2014; Ran et al., 2017; Raymond et al., 2000; Rocher‐Ros et al., 2019). This work has lead to recent river-reach explicit modeling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global hydrography datasets at up to monthly temporal resolutions (Brinkerhoff et al., 2021; Horgby et al., 2019; Liu et al., 2022; Saccardi &amp; Winnick, 2021),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0A02E064" w14:textId="77777777" w:rsidR="001A2A89" w:rsidRDefault="00106551">
      <w:pPr>
        <w:pStyle w:val="BodyText"/>
      </w:pPr>
      <w:r>
        <w:t xml:space="preserve">The structure of Equation 1 necessitates that calculations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are highly sensitive to measurements/estimates of </w:t>
      </w:r>
      <w:r>
        <w:rPr>
          <w:i/>
          <w:iCs/>
        </w:rPr>
        <w:t>k</w:t>
      </w:r>
      <w:r>
        <w:t xml:space="preserve">. However, </w:t>
      </w:r>
      <w:r>
        <w:rPr>
          <w:i/>
          <w:iCs/>
        </w:rPr>
        <w:t>k</w:t>
      </w:r>
      <w:r>
        <w:t xml:space="preserve"> can only be directly calculated via a known gas flux, eddy-covariance measurements, or tracer additions to the stream (Hall &amp; Ulseth, 2020). In trying to constrain the global fluvial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across millions of rivers, this calculation is impossible and necessitates the use of predictive models for </w:t>
      </w:r>
      <w:r>
        <w:rPr>
          <w:i/>
          <w:iCs/>
        </w:rPr>
        <w:t>k</w:t>
      </w:r>
      <w:r>
        <w:t xml:space="preserve"> that are based on easily obtained river hydraulic </w:t>
      </w:r>
      <w:r>
        <w:lastRenderedPageBreak/>
        <w:t xml:space="preserve">properties. In that vein, there have been over 20 empirical models developed 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xml:space="preserve">) of 600. This is to remove the effect of water temperature and gas type from predictive models, as warmer waters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physical explanations for variation in </w:t>
      </w:r>
      <w:r>
        <w:rPr>
          <w:i/>
          <w:iCs/>
        </w:rPr>
        <w:t>k</w:t>
      </w:r>
      <w:r>
        <w:t xml:space="preserve"> (Hall &amp; Ulseth, 2020).</w:t>
      </w:r>
    </w:p>
    <w:p w14:paraId="0A02E065" w14:textId="77777777" w:rsidR="001A2A89" w:rsidRDefault="00106551">
      <w:pPr>
        <w:pStyle w:val="BodyText"/>
      </w:pPr>
      <w:r>
        <w:t xml:space="preserve">Applying these </w:t>
      </w:r>
      <w:r>
        <w:rPr>
          <w:i/>
          <w:iCs/>
        </w:rPr>
        <w:t>k</w:t>
      </w:r>
      <w:r>
        <w:t xml:space="preserve"> models across watersheds, regions, or continents is called ‘upscaling.’ This upscaling allows for estimating the difficult-to-measure </w:t>
      </w:r>
      <w:r>
        <w:rPr>
          <w:i/>
          <w:iCs/>
        </w:rPr>
        <w:t>k</w:t>
      </w:r>
      <w:r>
        <w:t xml:space="preserve"> term in Equation 1 for any arbitrary number of rivers, but also changes the base parameters that ultimately control the final estimate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That is, by making </w:t>
      </w:r>
      <w:r>
        <w:rPr>
          <w:i/>
          <w:iCs/>
        </w:rPr>
        <w:t>k</w:t>
      </w:r>
      <w:r>
        <w:t xml:space="preserve"> a function of hydraulics,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is now a direct function of river hydraulics. This functional relationship is described in equation 2. It suggests that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are not only at the mercy of the accuracy and spatiotemporal resolution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but also the accuracy and resolution of our river hydraulics estimates.</w:t>
      </w:r>
    </w:p>
    <w:p w14:paraId="0A02E066" w14:textId="77777777" w:rsidR="001A2A89" w:rsidRDefault="00106551">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2</m:t>
              </m:r>
            </m:e>
          </m:d>
        </m:oMath>
      </m:oMathPara>
    </w:p>
    <w:p w14:paraId="0A02E067" w14:textId="77777777" w:rsidR="001A2A89" w:rsidRDefault="00106551">
      <w:pPr>
        <w:pStyle w:val="FirstParagraph"/>
      </w:pPr>
      <w:r>
        <w:t xml:space="preserve">Global upscaling has been performed in the literature.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More recently, Liu et al. (2022) performed a first upscaling assessment of monthly temporal dynamics in global river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 to achieve this. In all of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were ignored because of hydraulic data limitations.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0A02E068" w14:textId="77777777" w:rsidR="001A2A89" w:rsidRDefault="00106551">
      <w:pPr>
        <w:pStyle w:val="BodyText"/>
      </w:pPr>
      <w:r>
        <w:t xml:space="preserve">Wang et al. (2021) recently attempted to address this global </w:t>
      </w:r>
      <w:r>
        <w:rPr>
          <w:i/>
          <w:iCs/>
        </w:rPr>
        <w:t>k</w:t>
      </w:r>
      <w:r>
        <w:t xml:space="preserve"> problem by simulating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35 rivers of many sizes (widths ranging from 0.23–349m) using a stream metabolism model (Appling et al., 2018) and in situ dissolved oxygen (DO)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compared this simulated dataset against direct measurements of </w:t>
      </w:r>
      <w:r>
        <w:rPr>
          <w:i/>
          <w:iCs/>
        </w:rPr>
        <w:t>k</w:t>
      </w:r>
      <w:r>
        <w:t>, finding similar performance and parameter values for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 fidelity in situ DO data for every river (Hall &amp; Ulseth, 2020).</w:t>
      </w:r>
    </w:p>
    <w:p w14:paraId="0A02E069" w14:textId="77777777" w:rsidR="001A2A89" w:rsidRDefault="00106551">
      <w:pPr>
        <w:pStyle w:val="BodyText"/>
      </w:pPr>
      <w:r>
        <w:t xml:space="preserve">We have established that literature has a reasonably good understanding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theory, the discrepancy between the quality of our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w:t>
      </w:r>
      <w:r>
        <w:lastRenderedPageBreak/>
        <w:t xml:space="preserve">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available at the global scale at a sufficient temporal resolution. Spatially and temporally dynamic hydraulic measurements in turn would also address the uncertainty regarding continental-to-global scale temporal dynamics of gas exchange noted earlier.</w:t>
      </w:r>
    </w:p>
    <w:p w14:paraId="0A02E06A" w14:textId="77777777" w:rsidR="001A2A89" w:rsidRDefault="00106551">
      <w:pPr>
        <w:pStyle w:val="BodyText"/>
      </w:pPr>
      <w:r>
        <w:t xml:space="preserve">Conveniently, these hydraulic data will soon be available via the upcoming NASA/CNES/UKSA/CSA Surface Water and Ocean Topography (SWOT) satellite mission. SWOT is expected to launch in late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this to rivers at least 50m wide (Biancamaria et al., 2016). Via its direct hydraulic measurements, SWOT is expected to usher in a sea change in global-scale hydrology, and could similarly influence fluvial biogeochemsitry if techniques are developed to ingest SWOT data and infer </w:t>
      </w:r>
      <w:r>
        <w:rPr>
          <w:i/>
          <w:iCs/>
        </w:rPr>
        <w:t>k</w:t>
      </w:r>
      <w:r>
        <w:t>. In this context, we borrow tools from fluvial geomorphology and existing SWOT algorithms to answer the following two questions:</w:t>
      </w:r>
    </w:p>
    <w:p w14:paraId="0A02E06B" w14:textId="77777777" w:rsidR="001A2A89" w:rsidRDefault="00106551">
      <w:pPr>
        <w:numPr>
          <w:ilvl w:val="0"/>
          <w:numId w:val="15"/>
        </w:numPr>
      </w:pPr>
      <w:r>
        <w:t xml:space="preserve">Can we develop a physically-based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SWOT-observed rivers?</w:t>
      </w:r>
    </w:p>
    <w:p w14:paraId="0A02E06C" w14:textId="77777777" w:rsidR="001A2A89" w:rsidRDefault="00106551">
      <w:pPr>
        <w:numPr>
          <w:ilvl w:val="0"/>
          <w:numId w:val="15"/>
        </w:numPr>
      </w:pPr>
      <w:r>
        <w:t xml:space="preserve">Can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uncertainty) solely from SWOT observations?</w:t>
      </w:r>
    </w:p>
    <w:p w14:paraId="0A02E06D" w14:textId="77777777" w:rsidR="001A2A89" w:rsidRDefault="00106551">
      <w:pPr>
        <w:pStyle w:val="FirstParagraph"/>
      </w:pPr>
      <w:r>
        <w:lastRenderedPageBreak/>
        <w:t xml:space="preserve">To answer this first question, we use hydraulic geometry- the fundamental geomorphic relationships between streamflow and channel shape (Gleason, 2015; Leopold &amp; Maddock, 1953) 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predict gas fluxes and compare these against established literature methods that rely on in situ hydraulic measurements.</w:t>
      </w:r>
    </w:p>
    <w:p w14:paraId="0A02E06E" w14:textId="77777777" w:rsidR="001A2A89" w:rsidRDefault="00106551">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p>
    <w:p w14:paraId="0A02E06F" w14:textId="77777777" w:rsidR="001A2A89" w:rsidRDefault="00106551">
      <w:r>
        <w:rPr>
          <w:noProof/>
        </w:rPr>
        <w:lastRenderedPageBreak/>
        <w:drawing>
          <wp:inline distT="0" distB="0" distL="0" distR="0" wp14:anchorId="0A02E1F5" wp14:editId="0A02E1F6">
            <wp:extent cx="5943600" cy="4254769"/>
            <wp:effectExtent l="0" t="0" r="0" b="0"/>
            <wp:docPr id="24"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5" name="Picture" descr="cache/maps/diagram.tif"/>
                    <pic:cNvPicPr>
                      <a:picLocks noChangeAspect="1" noChangeArrowheads="1"/>
                    </pic:cNvPicPr>
                  </pic:nvPicPr>
                  <pic:blipFill>
                    <a:blip r:embed="rId9"/>
                    <a:stretch>
                      <a:fillRect/>
                    </a:stretch>
                  </pic:blipFill>
                  <pic:spPr bwMode="auto">
                    <a:xfrm>
                      <a:off x="0" y="0"/>
                      <a:ext cx="5943600" cy="4254769"/>
                    </a:xfrm>
                    <a:prstGeom prst="rect">
                      <a:avLst/>
                    </a:prstGeom>
                    <a:noFill/>
                    <a:ln w="9525">
                      <a:noFill/>
                      <a:headEnd/>
                      <a:tailEnd/>
                    </a:ln>
                  </pic:spPr>
                </pic:pic>
              </a:graphicData>
            </a:graphic>
          </wp:inline>
        </w:drawing>
      </w:r>
    </w:p>
    <w:p w14:paraId="0A02E070" w14:textId="77777777" w:rsidR="001A2A89" w:rsidRDefault="00106551">
      <w:pPr>
        <w:pStyle w:val="ImageCaption"/>
      </w:pPr>
      <w:r>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0A02E071" w14:textId="77777777" w:rsidR="001A2A89" w:rsidRDefault="00106551">
      <w:pPr>
        <w:pStyle w:val="Heading2"/>
      </w:pPr>
      <w:bookmarkStart w:id="5" w:name="X4831ebf674333345ac8c9234669e9cb0d80a09d"/>
      <w:bookmarkEnd w:id="4"/>
      <w:r>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0A02E072" w14:textId="77777777" w:rsidR="001A2A89" w:rsidRDefault="00106551">
      <w:pPr>
        <w:pStyle w:val="FirstParagraph"/>
      </w:pPr>
      <w:r>
        <w:t xml:space="preserve">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the large rivers that SWOT will observe, we start from an established process-based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impose hydraulic assumptions that are valid in SWOT-observable </w:t>
      </w:r>
      <w:r>
        <w:lastRenderedPageBreak/>
        <w:t>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2.4)</w:t>
      </w:r>
    </w:p>
    <w:p w14:paraId="0A02E073" w14:textId="77777777" w:rsidR="001A2A89" w:rsidRDefault="00106551">
      <w:pPr>
        <w:pStyle w:val="Heading3"/>
      </w:pPr>
      <w:bookmarkStart w:id="6" w:name="data"/>
      <w:r>
        <w:t>2.1 Data</w:t>
      </w:r>
    </w:p>
    <w:p w14:paraId="0A02E074" w14:textId="77777777" w:rsidR="001A2A89" w:rsidRDefault="00106551">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collected from the literature.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Raymond et al. (2012) and Ulseth et al. (2019). The remaining measurements come from Churchill et al. (1964)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0A02E075" w14:textId="77777777" w:rsidR="001A2A89" w:rsidRDefault="00106551">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made to calibrate United States Geological Survey (USGS) stream gauge rating curves and made public by the USGS. This dataset is used to calculate how frequently SWOT observable rivers meet our large-river hydraulic assumptions (Section 2.3).</w:t>
      </w:r>
    </w:p>
    <w:p w14:paraId="0A02E076" w14:textId="77777777" w:rsidR="001A2A89" w:rsidRDefault="00106551">
      <w:pPr>
        <w:pStyle w:val="Heading3"/>
      </w:pPr>
      <w:bookmarkStart w:id="7" w:name="Xe0474c0723719b4b4d9a03c02561ac56c964d77"/>
      <w:bookmarkEnd w:id="6"/>
      <w:r>
        <w:lastRenderedPageBreak/>
        <w:t xml:space="preserve">2.2 Process-based hydraulic modeling of river </w:t>
      </w:r>
      <w:r>
        <w:rPr>
          <w:i/>
          <w:iCs/>
        </w:rPr>
        <w:t>k</w:t>
      </w:r>
    </w:p>
    <w:p w14:paraId="0A02E077" w14:textId="77777777" w:rsidR="001A2A89" w:rsidRDefault="00106551">
      <w:pPr>
        <w:pStyle w:val="FirstParagraph"/>
      </w:pPr>
      <w:r>
        <w:rPr>
          <w:i/>
          <w:iCs/>
        </w:rPr>
        <w:t>k</w:t>
      </w:r>
      <w:r>
        <w:t xml:space="preserve"> scales with near-surface turbulence in turbulent streamflows (Hall &amp; Ulseth, 2020), and extensive field and laboratory experiments have converged on the ‘small-eddy model’ for </w:t>
      </w:r>
      <w:r>
        <w:rPr>
          <w:i/>
          <w:iCs/>
        </w:rPr>
        <w:t>k</w:t>
      </w:r>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(e.g. Katul et al., 2018; Lorke &amp; Peeters, 2006; Moog &amp; Jirka, 1999b; Tokoro et al., 2008; Vachon et al., 2010; Wang et al., 2021; Zappa et al., 2003, 2007).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0A02E078" w14:textId="77777777"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3</m:t>
              </m:r>
            </m:e>
          </m:d>
        </m:oMath>
      </m:oMathPara>
    </w:p>
    <w:p w14:paraId="0A02E079" w14:textId="77777777" w:rsidR="001A2A89" w:rsidRDefault="00106551">
      <w:pPr>
        <w:pStyle w:val="FirstParagraph"/>
      </w:pPr>
      <w:r>
        <w:t xml:space="preserve">Some laboratory and field observations additionally suggest that open channel flows with small bed roughness do not exhibit homogeneous surface dissipation across the entire reach’s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formulation. This is Equation 4 and is referred to here as the ‘Reynolds extension’ model. The Reynolds model is hypothetically useful in low-turbulence scenarios where a relative lack of large-scale eddies effectively ‘filter out’ the number of small-eddies that actually reach the interface and initiate gas exchange (Talke et al., 2013). While scaling </w:t>
      </w:r>
      <w:r>
        <w:rPr>
          <w:i/>
          <w:iCs/>
        </w:rPr>
        <w:t>k</w:t>
      </w:r>
      <w:r>
        <w:t xml:space="preserve"> via a shear Reynold’s formulation is sometimes done to parameterize wave-breaking gas exchange models in the open ocean (e.g. Brumer et al., 2017; Zhao et al., 2003; Zhao &amp; Toba, 2001), it is infrequently done in rivers. In the context of BIKER, we chose to test this model because large, SWOT-</w:t>
      </w:r>
      <w:r>
        <w:lastRenderedPageBreak/>
        <w:t xml:space="preserve">observable rivers are generally the smoothest, least-turbulent flows along the stream-to-ocean continuum where small eddies might not reach the surface. Further, to our knowledge, this Reynolds extension model has never been empirically tested in predicting river </w:t>
      </w:r>
      <w:r>
        <w:rPr>
          <w:i/>
          <w:iCs/>
        </w:rPr>
        <w:t>k</w:t>
      </w:r>
      <w:r>
        <w:t>, aside from confirming that large-scale eddies differentially move turbulence to the surface in a large river (Talke et al., 2013).</w:t>
      </w:r>
    </w:p>
    <w:p w14:paraId="0A02E07A" w14:textId="77777777"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e>
              </m:d>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4</m:t>
              </m:r>
            </m:e>
          </m:d>
        </m:oMath>
      </m:oMathPara>
    </w:p>
    <w:p w14:paraId="0A02E07B" w14:textId="77777777" w:rsidR="001A2A89" w:rsidRDefault="00106551">
      <w:pPr>
        <w:pStyle w:val="FirstParagraph"/>
      </w:pPr>
      <w:r>
        <w:t xml:space="preserve">Equations 3 and 4 both rely on </w:t>
      </w:r>
      <m:oMath>
        <m:r>
          <w:rPr>
            <w:rFonts w:ascii="Cambria Math" w:hAnsi="Cambria Math"/>
          </w:rPr>
          <m:t>ϵ</m:t>
        </m:r>
      </m:oMath>
      <w:r>
        <w:t xml:space="preserve">, which is non-trivial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fluvial systems (Moog &amp; Jirka, 1999b). Authors have since shown that Equation 6 can reasonably predict </w:t>
      </w:r>
      <w:r>
        <w:rPr>
          <w:i/>
          <w:iCs/>
        </w:rPr>
        <w:t>k</w:t>
      </w:r>
      <w:r>
        <w:t xml:space="preserve"> in rivers and streams (Raymond et al., 2012; Ulseth et al., 2019; Wang et al., 2021).</w:t>
      </w:r>
    </w:p>
    <w:p w14:paraId="0A02E07C" w14:textId="77777777" w:rsidR="001A2A89" w:rsidRDefault="00106551">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d>
            <m:dPr>
              <m:ctrlPr>
                <w:rPr>
                  <w:rFonts w:ascii="Cambria Math" w:hAnsi="Cambria Math"/>
                </w:rPr>
              </m:ctrlPr>
            </m:dPr>
            <m:e>
              <m:r>
                <m:rPr>
                  <m:sty m:val="b"/>
                </m:rPr>
                <w:rPr>
                  <w:rFonts w:ascii="Cambria Math" w:hAnsi="Cambria Math"/>
                </w:rPr>
                <m:t>5</m:t>
              </m:r>
            </m:e>
          </m:d>
        </m:oMath>
      </m:oMathPara>
    </w:p>
    <w:p w14:paraId="0A02E07D" w14:textId="77777777" w:rsidR="001A2A89" w:rsidRDefault="00106551">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d>
            <m:dPr>
              <m:ctrlPr>
                <w:rPr>
                  <w:rFonts w:ascii="Cambria Math" w:hAnsi="Cambria Math"/>
                </w:rPr>
              </m:ctrlPr>
            </m:dPr>
            <m:e>
              <m:r>
                <m:rPr>
                  <m:sty m:val="b"/>
                </m:rPr>
                <w:rPr>
                  <w:rFonts w:ascii="Cambria Math" w:hAnsi="Cambria Math"/>
                </w:rPr>
                <m:t>6</m:t>
              </m:r>
            </m:e>
          </m:d>
        </m:oMath>
      </m:oMathPara>
    </w:p>
    <w:p w14:paraId="0A02E07E" w14:textId="77777777" w:rsidR="001A2A89" w:rsidRDefault="00106551">
      <w:pPr>
        <w:pStyle w:val="Heading3"/>
      </w:pPr>
      <w:bookmarkStart w:id="8" w:name="deriving-a-large-river-k_600-model"/>
      <w:bookmarkEnd w:id="7"/>
      <w:r>
        <w:lastRenderedPageBreak/>
        <w:t xml:space="preserve">2.3 Deriving a large-river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0A02E07F" w14:textId="77777777" w:rsidR="001A2A89" w:rsidRDefault="00106551">
      <w:pPr>
        <w:pStyle w:val="FirstParagraph"/>
      </w:pPr>
      <w:r>
        <w:t xml:space="preserve">Given the theoretical context provided in Section 2.2, we now turn to SWOT-observable systems specifically. Rivers and streams change predictably along their longitudinal profile from source to sea, and we can exploit the hydraulic geometry of large rivers at the end of this continumn to estimate </w:t>
      </w:r>
      <w:r>
        <w:rPr>
          <w:i/>
          <w:iCs/>
        </w:rPr>
        <w:t>k</w:t>
      </w:r>
      <w:r>
        <w:t xml:space="preserve"> in SWOT rivers. In general, as river size increases, channels become more rectangular, their shapes elongate (becoming wider quicker than they become deeper) and their hydraulic radii begin to approximate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 This is 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of only 0.02 (n = 22452; see Text S1 for how we built this dataset). We refer to these rivers as ‘hydraulically-wide’.</w:t>
      </w:r>
    </w:p>
    <w:p w14:paraId="0A02E080" w14:textId="77777777" w:rsidR="001A2A89" w:rsidRDefault="00106551">
      <w:pPr>
        <w:pStyle w:val="BodyText"/>
      </w:pPr>
      <w:r>
        <w:t xml:space="preserve">We therefore assume that all SWOT-observable rivers are hydraulically-wide to derive a model for gas exchange. The overall goal is to reduce the equations down to their fundamental parameters, identifying which terms are SWOT observable and limiting the number of terms not directly measurable via SWOT. To do this, we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(Equation 4) and 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 This is theoretically valid only in a hydraulically-wide channel.</w:t>
      </w:r>
    </w:p>
    <w:p w14:paraId="0A02E081" w14:textId="77777777" w:rsidR="001A2A89" w:rsidRDefault="00897893">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7</m:t>
              </m:r>
            </m:e>
          </m:d>
        </m:oMath>
      </m:oMathPara>
    </w:p>
    <w:p w14:paraId="0A02E082" w14:textId="77777777" w:rsidR="001A2A89" w:rsidRDefault="00106551">
      <w:pPr>
        <w:pStyle w:val="FirstParagraph"/>
      </w:pPr>
      <w:r>
        <w:lastRenderedPageBreak/>
        <w:t xml:space="preserve">We also test the performance of three other models for predicting </w:t>
      </w:r>
      <w:r>
        <w:rPr>
          <w:i/>
          <w:iCs/>
        </w:rPr>
        <w:t>k</w:t>
      </w:r>
      <w:r>
        <w:t xml:space="preserve"> in hydraulically-wide channels via the other three unique combinations of Equations 3-4 and Equations 5-6. While the complete model derivations and results for all four models are provided in Text S2 and Figure S1, the final and best-performing model (Equation 7) is presented and used below.</w:t>
      </w:r>
    </w:p>
    <w:p w14:paraId="0A02E083" w14:textId="77777777" w:rsidR="001A2A89" w:rsidRDefault="00106551">
      <w:pPr>
        <w:pStyle w:val="Heading3"/>
      </w:pPr>
      <w:bookmarkStart w:id="9" w:name="model-validation"/>
      <w:bookmarkEnd w:id="8"/>
      <w:r>
        <w:t>2.4 Model validation</w:t>
      </w:r>
    </w:p>
    <w:p w14:paraId="0A02E084" w14:textId="77777777" w:rsidR="001A2A89" w:rsidRDefault="00106551">
      <w:pPr>
        <w:pStyle w:val="FirstParagraph"/>
      </w:pPr>
      <w:r>
        <w:t xml:space="preserve">With Equation 7 derived, we now empirically test its strength of fit in hydraulically-wide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made in hydraulically-wide channels, which was defined as flows whose hydraulic radius was within 1% of their mean flow depth. All told, this amounts to 166 measurements 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plotted in Figure 2. Note that Figure 2 axes are plotted in logarithmic space only for visualization: model fit and validation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 as their models dictate.</w:t>
      </w:r>
    </w:p>
    <w:p w14:paraId="0A02E085" w14:textId="77777777" w:rsidR="001A2A89" w:rsidRDefault="00106551">
      <w:r>
        <w:rPr>
          <w:noProof/>
        </w:rPr>
        <w:lastRenderedPageBreak/>
        <w:drawing>
          <wp:inline distT="0" distB="0" distL="0" distR="0" wp14:anchorId="0A02E1F7" wp14:editId="0A02E1F8">
            <wp:extent cx="5486400" cy="5486400"/>
            <wp:effectExtent l="0" t="0" r="0" b="0"/>
            <wp:docPr id="31" name="Picture" descr="Figure 2: Empirical testing of our large-river k_{600} model on 166 measurements made in hydraulically-wide rivers. Dashed grey line denotes the 1:1 line. Note that axes are plotted in logarithmic space just for visualization: model fit and validation (via the coefficient of determination r^2) were calculated in linear space."/>
            <wp:cNvGraphicFramePr/>
            <a:graphic xmlns:a="http://schemas.openxmlformats.org/drawingml/2006/main">
              <a:graphicData uri="http://schemas.openxmlformats.org/drawingml/2006/picture">
                <pic:pic xmlns:pic="http://schemas.openxmlformats.org/drawingml/2006/picture">
                  <pic:nvPicPr>
                    <pic:cNvPr id="32" name="Picture" descr="cache/k600_theory/fig2.jpg"/>
                    <pic:cNvPicPr>
                      <a:picLocks noChangeAspect="1" noChangeArrowheads="1"/>
                    </pic:cNvPicPr>
                  </pic:nvPicPr>
                  <pic:blipFill>
                    <a:blip r:embed="rId10"/>
                    <a:stretch>
                      <a:fillRect/>
                    </a:stretch>
                  </pic:blipFill>
                  <pic:spPr bwMode="auto">
                    <a:xfrm>
                      <a:off x="0" y="0"/>
                      <a:ext cx="5486400" cy="5486400"/>
                    </a:xfrm>
                    <a:prstGeom prst="rect">
                      <a:avLst/>
                    </a:prstGeom>
                    <a:noFill/>
                    <a:ln w="9525">
                      <a:noFill/>
                      <a:headEnd/>
                      <a:tailEnd/>
                    </a:ln>
                  </pic:spPr>
                </pic:pic>
              </a:graphicData>
            </a:graphic>
          </wp:inline>
        </w:drawing>
      </w:r>
    </w:p>
    <w:p w14:paraId="0A02E086" w14:textId="77777777" w:rsidR="001A2A89" w:rsidRDefault="00106551">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hydraulically-wide rivers. Dashed grey line denotes the 1:1 line. Note that axes are plotted in logarithmic space just for visualization: model fit and validation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w:t>
      </w:r>
    </w:p>
    <w:p w14:paraId="0A02E087" w14:textId="77777777" w:rsidR="001A2A89" w:rsidRDefault="00106551">
      <w:pPr>
        <w:pStyle w:val="BodyText"/>
      </w:pPr>
      <w:r>
        <w:lastRenderedPageBreak/>
        <w:t xml:space="preserve">Figure 2 shows that Equation 7 explains 70% of variation in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hydraulically-wide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 The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62.8, which is similar the fitted parameters in other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and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models for river </w:t>
      </w:r>
      <w:r>
        <w:rPr>
          <w:i/>
          <w:iCs/>
        </w:rPr>
        <w:t>k</w:t>
      </w:r>
      <w:r>
        <w:t xml:space="preserve"> (Wang et al., 2021). While the individual residuals can be quite large, the overall 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remembering that Figure 2 is plotted in logarithmic space. Compared to other combinations of Equations 3-6 (Figure S1), there is also a better fit with the estimates thanks to the addition of the Reynold’s number scaling for low-turbulent flows (as expected). The success of this model in hydraulically-wide channels provides us with a strong physical-model for gas evasion built with SWOT in mind. The river hydraulics terms in Equation 7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w:t>
      </w:r>
    </w:p>
    <w:p w14:paraId="0A02E088" w14:textId="77777777" w:rsidR="001A2A89" w:rsidRDefault="00106551">
      <w:pPr>
        <w:pStyle w:val="Heading2"/>
      </w:pPr>
      <w:bookmarkStart w:id="10" w:name="X9f36865864406baa190293deab00ca0a73726c3"/>
      <w:bookmarkEnd w:id="5"/>
      <w:bookmarkEnd w:id="9"/>
      <w:r>
        <w:t>3 Exploiting Equation 7 to remotely sense gas exchange velocity</w:t>
      </w:r>
    </w:p>
    <w:p w14:paraId="0A02E089" w14:textId="77777777" w:rsidR="001A2A89" w:rsidRDefault="00106551">
      <w:pPr>
        <w:pStyle w:val="FirstParagraph"/>
      </w:pPr>
      <w:r>
        <w:t xml:space="preserve">We have shown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Equation 7 is useful in hydraulically-wide rivers. Further, Equation 7 has only three non-directly-remotely-sensible terms: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mean flow depth, and mean flow velocity. Conveniently, techniques to simultaneously infer mean flow depth and velocity from SWOT data (among other parameters) have been established over the last decade to infer streamflow from SWOT’s measurements (e.g. Andreadis et al., 2020; Brinkerhoff et al., 2020; Brisset et al., 2018; Durand et al., 2014; P.-A. Garambois et al., 2020; P.-A. Garambois &amp; Monnier, 2015; Gleason et al., 2014; Gleason &amp; Smith, 2014; Hagemann et al., 2017; Larnier et al., 2020; Oubanas et al., 2018). For BIKER, we follow the work developed by Hagemann et al. (2017), Brinkerhoff et al. (2020), and Durand et al. (2014)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channel depth and velocity </w:t>
      </w:r>
      <w:r>
        <w:lastRenderedPageBreak/>
        <w:t>from SWOT observations using a modified form of Manning’s equation. Following a description of the data used (Section 3.1), we detail algorithm development and experimental design (Section 3.2) and then we present the validation results (Section 3.3).</w:t>
      </w:r>
    </w:p>
    <w:p w14:paraId="0A02E08A" w14:textId="77777777" w:rsidR="001A2A89" w:rsidRDefault="00106551">
      <w:pPr>
        <w:pStyle w:val="Heading3"/>
      </w:pPr>
      <w:bookmarkStart w:id="11" w:name="data-1"/>
      <w:r>
        <w:t>3.1 Data</w:t>
      </w:r>
    </w:p>
    <w:p w14:paraId="0A02E08B" w14:textId="77777777" w:rsidR="001A2A89" w:rsidRDefault="00106551">
      <w:pPr>
        <w:pStyle w:val="FirstParagraph"/>
      </w:pPr>
      <w:r>
        <w:t>To validate BIKER, we cannot use actual SWOT measurements as SWOT has yet to launch. In the hydrology literature, it has become standard practice to benchmark SWOT-related algorithms on “SWOT-like” data (Durand et al., 2016). We use 47 SWOT-simulated rivers for validation, where these simulated rivers are simply reach-averaged hydraulic model outputs where the water surface heights, slopes, and widths are labelled as RS observations and are used as the sole inputs to BIKER.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 Frasson et al. (2021) and Durand et al. (2016). See Figure S2 for a map of these river’s locations along the global SWOT river network (Altenau et al., 2021). This river network corresponds to every river that BIKER will be run on once SWOT launches.</w:t>
      </w:r>
    </w:p>
    <w:p w14:paraId="0A02E08C" w14:textId="77777777" w:rsidR="001A2A89" w:rsidRDefault="00106551">
      <w:pPr>
        <w:pStyle w:val="BodyText"/>
      </w:pPr>
      <w:r>
        <w:t xml:space="preserve">We validate BIKER under two different ‘error scenarios’. While SWOT will provide river surface measurements of novel quality and resolution, as with all remote sensing products there are expected errors that will be implicit in these measurements. Here, we validate BIKER under a ‘no-measurement-error’ scenario that reflects an unrealistic measurement as if SWOT has perfect accuracy and precision: we use the hydraulic model output directly as a first test of algorithm </w:t>
      </w:r>
      <w:r>
        <w:lastRenderedPageBreak/>
        <w:t>validity. 16 of these rivers are then additionally validated under a ‘measurement-error’ scenario that more closely mimics expected SWOT by adding realistic radar errors and sampling along the satellite’s future ground track. SWOT river error modeling was developed by Durand et al. (2020) and then applied to these 16 rivers by Frasson et al. (2021). This error modelling is non-trivial and computationally expensive, and thus we rely on these previously published data.</w:t>
      </w:r>
    </w:p>
    <w:p w14:paraId="0A02E08D" w14:textId="77777777" w:rsidR="001A2A89" w:rsidRDefault="00106551">
      <w:pPr>
        <w:pStyle w:val="BodyText"/>
      </w:pPr>
      <w:r>
        <w:t xml:space="preserve">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and carbon emissions calculations, we use 26 bi-weekly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collected by Beaulieu et al. (2012) at one location in the Ohio River (Figure S2) for one calender year from 2008-2009 (Figure S3).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Ohio River only but was applied to all rivers to provide a physically realistic signal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with meaningful seasonality and dynamics. Therefore, the raw carbon emissions estimates presented in this paper are meaningless in the context of actually measured carbon emissions from these rivers, but are better than specifying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Therefore, applying these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values allows for such a comparison by providing a realistic timeseries.</w:t>
      </w:r>
    </w:p>
    <w:p w14:paraId="0A02E08E" w14:textId="77777777" w:rsidR="001A2A89" w:rsidRDefault="00106551">
      <w:pPr>
        <w:pStyle w:val="Heading3"/>
      </w:pPr>
      <w:bookmarkStart w:id="12" w:name="section-3-methods"/>
      <w:bookmarkEnd w:id="11"/>
      <w:r>
        <w:t>3.2 Section 3 methods</w:t>
      </w:r>
    </w:p>
    <w:p w14:paraId="0A02E08F" w14:textId="77777777" w:rsidR="001A2A89" w:rsidRDefault="00106551">
      <w:pPr>
        <w:pStyle w:val="Heading4"/>
      </w:pPr>
      <w:bookmarkStart w:id="13" w:name="biker"/>
      <w:r>
        <w:t>3.2.1 BIKER</w:t>
      </w:r>
    </w:p>
    <w:p w14:paraId="0A02E090" w14:textId="77777777" w:rsidR="001A2A89" w:rsidRDefault="00106551">
      <w:pPr>
        <w:pStyle w:val="FirstParagraph"/>
      </w:pPr>
      <w:r>
        <w:t xml:space="preserve">BIKER, and Bayesian inference in general, starts from Bayes rule (Equation 8), where </w:t>
      </w:r>
      <m:oMath>
        <m:r>
          <w:rPr>
            <w:rFonts w:ascii="Cambria Math" w:hAnsi="Cambria Math"/>
          </w:rPr>
          <m:t>Θ</m:t>
        </m:r>
      </m:oMath>
      <w:r>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 on the parameters, and </w:t>
      </w:r>
      <m:oMath>
        <m:r>
          <w:rPr>
            <w:rFonts w:ascii="Cambria Math" w:hAnsi="Cambria Math"/>
          </w:rPr>
          <w:lastRenderedPageBreak/>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inference requires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Sampling algorithms are then used to approximate the actual posterior distribution, as is done in BIKER.</w:t>
      </w:r>
    </w:p>
    <w:p w14:paraId="0A02E091" w14:textId="77777777" w:rsidR="001A2A89" w:rsidRDefault="00106551">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d>
            <m:dPr>
              <m:ctrlPr>
                <w:rPr>
                  <w:rFonts w:ascii="Cambria Math" w:hAnsi="Cambria Math"/>
                </w:rPr>
              </m:ctrlPr>
            </m:dPr>
            <m:e>
              <m:r>
                <m:rPr>
                  <m:sty m:val="b"/>
                </m:rPr>
                <w:rPr>
                  <w:rFonts w:ascii="Cambria Math" w:hAnsi="Cambria Math"/>
                </w:rPr>
                <m:t>8</m:t>
              </m:r>
            </m:e>
          </m:d>
        </m:oMath>
      </m:oMathPara>
    </w:p>
    <w:p w14:paraId="0A02E092" w14:textId="77777777" w:rsidR="001A2A89" w:rsidRDefault="00106551">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as a Bayesian sampling model that is conditional on the non-remotely-sensible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is similar to the ‘McFLI’ (Mass-Conserved Flow Law Inversion) logic used in some SWOT RSQ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7, the fitted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2 (62.82),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r>
        <w:rPr>
          <w:i/>
          <w:iCs/>
        </w:rPr>
        <w:t>i</w:t>
      </w:r>
      <w:r>
        <w:t xml:space="preserve"> and timestep </w:t>
      </w:r>
      <w:r>
        <w:rPr>
          <w:i/>
          <w:iCs/>
        </w:rPr>
        <w:t>t</w:t>
      </w:r>
      <w:r>
        <w:t xml:space="preserve"> within a mass-conserved river reach.</w:t>
      </w:r>
    </w:p>
    <w:p w14:paraId="0A02E093" w14:textId="77777777" w:rsidR="001A2A89" w:rsidRDefault="00106551">
      <w:pPr>
        <w:pStyle w:val="BodyText"/>
      </w:pPr>
      <w:r>
        <w:t xml:space="preserve">All of this algebra simplifies to Equation 9.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Therefore, </w:t>
      </w:r>
      <w:r>
        <w:lastRenderedPageBreak/>
        <w:t xml:space="preserve">Equations 7 and 9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This lowers the number of parameters BIKER must infer and makes the problem much better constrained.</w:t>
      </w:r>
    </w:p>
    <w:p w14:paraId="0A02E094" w14:textId="77777777" w:rsidR="001A2A89" w:rsidRDefault="00897893">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r>
                      <w:rPr>
                        <w:rFonts w:ascii="Cambria Math" w:hAnsi="Cambria Math"/>
                      </w:rPr>
                      <m:t>g</m:t>
                    </m:r>
                  </m:e>
                  <m:sup>
                    <m:r>
                      <w:rPr>
                        <w:rFonts w:ascii="Cambria Math" w:hAnsi="Cambria Math"/>
                      </w:rPr>
                      <m:t>7</m:t>
                    </m:r>
                    <m:r>
                      <m:rPr>
                        <m:sty m:val="p"/>
                      </m:rPr>
                      <w:rPr>
                        <w:rFonts w:ascii="Cambria Math" w:hAnsi="Cambria Math"/>
                      </w:rPr>
                      <m:t>/</m:t>
                    </m:r>
                    <m:r>
                      <w:rPr>
                        <w:rFonts w:ascii="Cambria Math" w:hAnsi="Cambria Math"/>
                      </w:rPr>
                      <m:t>16</m:t>
                    </m:r>
                  </m:sup>
                </m:sSup>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9</m:t>
                    </m:r>
                    <m:r>
                      <m:rPr>
                        <m:sty m:val="p"/>
                      </m:rPr>
                      <w:rPr>
                        <w:rFonts w:ascii="Cambria Math" w:hAnsi="Cambria Math"/>
                      </w:rPr>
                      <m:t>/</m:t>
                    </m:r>
                    <m:r>
                      <w:rPr>
                        <w:rFonts w:ascii="Cambria Math" w:hAnsi="Cambria Math"/>
                      </w:rPr>
                      <m:t>16</m:t>
                    </m:r>
                  </m:sup>
                </m:sSubSup>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num>
                          <m:den>
                            <m:sSub>
                              <m:sSubPr>
                                <m:ctrlPr>
                                  <w:rPr>
                                    <w:rFonts w:ascii="Cambria Math" w:hAnsi="Cambria Math"/>
                                  </w:rPr>
                                </m:ctrlPr>
                              </m:sSubPr>
                              <m:e>
                                <m:r>
                                  <w:rPr>
                                    <w:rFonts w:ascii="Cambria Math" w:hAnsi="Cambria Math"/>
                                  </w:rPr>
                                  <m:t>W</m:t>
                                </m:r>
                              </m:e>
                              <m:sub>
                                <m:r>
                                  <w:rPr>
                                    <w:rFonts w:ascii="Cambria Math" w:hAnsi="Cambria Math"/>
                                  </w:rPr>
                                  <m:t>it</m:t>
                                </m:r>
                              </m:sub>
                            </m:sSub>
                          </m:den>
                        </m:f>
                      </m:e>
                    </m:d>
                  </m:e>
                  <m:sup>
                    <m:r>
                      <w:rPr>
                        <w:rFonts w:ascii="Cambria Math" w:hAnsi="Cambria Math"/>
                      </w:rPr>
                      <m:t>35</m:t>
                    </m:r>
                    <m:r>
                      <m:rPr>
                        <m:sty m:val="p"/>
                      </m:rPr>
                      <w:rPr>
                        <w:rFonts w:ascii="Cambria Math" w:hAnsi="Cambria Math"/>
                      </w:rPr>
                      <m:t>/</m:t>
                    </m:r>
                    <m:r>
                      <w:rPr>
                        <w:rFonts w:ascii="Cambria Math" w:hAnsi="Cambria Math"/>
                      </w:rPr>
                      <m:t>48</m:t>
                    </m:r>
                  </m:sup>
                </m:sSup>
              </m:e>
            </m:mr>
          </m:m>
          <m:d>
            <m:dPr>
              <m:ctrlPr>
                <w:rPr>
                  <w:rFonts w:ascii="Cambria Math" w:hAnsi="Cambria Math"/>
                </w:rPr>
              </m:ctrlPr>
            </m:dPr>
            <m:e>
              <m:r>
                <m:rPr>
                  <m:sty m:val="b"/>
                </m:rPr>
                <w:rPr>
                  <w:rFonts w:ascii="Cambria Math" w:hAnsi="Cambria Math"/>
                </w:rPr>
                <m:t>9</m:t>
              </m:r>
            </m:e>
          </m:d>
        </m:oMath>
      </m:oMathPara>
    </w:p>
    <w:p w14:paraId="0A02E095" w14:textId="77777777" w:rsidR="001A2A89" w:rsidRDefault="00106551">
      <w:pPr>
        <w:pStyle w:val="FirstParagraph"/>
      </w:pPr>
      <w:r>
        <w:t>Next, Equation 9 is written as a Bayesian sampling model, in which all of the SWOT observations are sampled from the unknown model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This is Equation 10 after describing everything as normal distributions of the log-transformed terms.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refers to the total uncertainty implicit in Equation 9. This uncertainty arises from 1) parameter uncertainty in Equation 7, 2) Manning’s equation, and 3) the rectangular channel assumption.</w:t>
      </w:r>
    </w:p>
    <w:p w14:paraId="0A02E096" w14:textId="77777777" w:rsidR="001A2A89" w:rsidRDefault="00897893">
      <w:pPr>
        <w:pStyle w:val="BodyText"/>
      </w:pPr>
      <m:oMathPara>
        <m:oMathParaPr>
          <m:jc m:val="center"/>
        </m:oMathParaPr>
        <m:oMath>
          <m:d>
            <m:dPr>
              <m:begChr m:val="["/>
              <m:endChr m:val="]"/>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62.82</m:t>
                  </m:r>
                </m:e>
              </m:d>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r>
            <w:rPr>
              <w:rFonts w:ascii="Cambria Math" w:hAnsi="Cambria Math"/>
            </w:rPr>
            <m:t>normal</m:t>
          </m:r>
          <m:d>
            <m:dPr>
              <m:ctrlPr>
                <w:rPr>
                  <w:rFonts w:ascii="Cambria Math" w:hAnsi="Cambria Math"/>
                </w:rPr>
              </m:ctrlPr>
            </m:dPr>
            <m:e>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d>
            <m:dPr>
              <m:ctrlPr>
                <w:rPr>
                  <w:rFonts w:ascii="Cambria Math" w:hAnsi="Cambria Math"/>
                </w:rPr>
              </m:ctrlPr>
            </m:dPr>
            <m:e>
              <m:r>
                <m:rPr>
                  <m:sty m:val="b"/>
                </m:rPr>
                <w:rPr>
                  <w:rFonts w:ascii="Cambria Math" w:hAnsi="Cambria Math"/>
                </w:rPr>
                <m:t>10</m:t>
              </m:r>
            </m:e>
          </m:d>
        </m:oMath>
      </m:oMathPara>
    </w:p>
    <w:p w14:paraId="0A02E097" w14:textId="77777777" w:rsidR="001A2A89" w:rsidRDefault="00106551">
      <w:pPr>
        <w:pStyle w:val="FirstParagraph"/>
      </w:pPr>
      <w:r>
        <w:t xml:space="preserve">Equations 8 and 10 also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Prior distributions formalize the a priori estimates and uncertainties for the non-remotely-sensed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is analogous to the ‘empirical Bayes approach’ to Bayesian inference (Hoff, 2009). Our goal in prior specification was to rely on absolutely no in situ information such that we could run this method on any river on Earth solely using SWOT observations. In theory, more informed priors via various a priori information about a specific river will improve BIKER performance, but here </w:t>
      </w:r>
      <w:r>
        <w:lastRenderedPageBreak/>
        <w:t xml:space="preserve">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xml:space="preserve">, therefore meeting our needs for complete global implementability.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on in Text S3).</w:t>
      </w:r>
    </w:p>
    <w:p w14:paraId="0A02E098" w14:textId="77777777" w:rsidR="001A2A89" w:rsidRDefault="00106551">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10) and priors </w:t>
      </w:r>
      <m:oMath>
        <m:r>
          <w:rPr>
            <w:rFonts w:ascii="Cambria Math" w:hAnsi="Cambria Math"/>
          </w:rPr>
          <m:t>p</m:t>
        </m:r>
        <m:r>
          <m:rPr>
            <m:sty m:val="p"/>
          </m:rPr>
          <w:rPr>
            <w:rFonts w:ascii="Cambria Math" w:hAnsi="Cambria Math"/>
          </w:rPr>
          <m:t>(</m:t>
        </m:r>
        <m:r>
          <w:rPr>
            <w:rFonts w:ascii="Cambria Math" w:hAnsi="Cambria Math"/>
          </w:rPr>
          <m:t>x</m:t>
        </m:r>
      </m:oMath>
      <w:r>
        <w:t>) specified (Text S3),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 (Hagemann et al., 2017).</w:t>
      </w:r>
    </w:p>
    <w:p w14:paraId="0A02E099" w14:textId="77777777" w:rsidR="001A2A89" w:rsidRDefault="00106551">
      <w:pPr>
        <w:pStyle w:val="Heading4"/>
      </w:pPr>
      <w:bookmarkStart w:id="14" w:name="biker-validation"/>
      <w:bookmarkEnd w:id="13"/>
      <w:r>
        <w:t>3.2.2 BIKER validation</w:t>
      </w:r>
    </w:p>
    <w:p w14:paraId="0A02E09A" w14:textId="77777777" w:rsidR="001A2A89" w:rsidRDefault="00106551">
      <w:pPr>
        <w:pStyle w:val="FirstParagraph"/>
      </w:pPr>
      <w:r>
        <w:t>We validate BIKER, assuming no measurement error, on 47 SWOT-simulated rivers using daily simulated hydraulics. We also re-validate BIKER under the ‘measurement-error’ scenario using the 16 rivers with Frasson et al. (2021)’s SWOT error model to corrupt the hydraulics to mimic realistic SWOT measurements (widths, heights, and slopes). These data were outlined in Section 3.1.</w:t>
      </w:r>
    </w:p>
    <w:p w14:paraId="0A02E09B" w14:textId="77777777" w:rsidR="001A2A89" w:rsidRDefault="00106551">
      <w:pPr>
        <w:pStyle w:val="BodyText"/>
      </w:pPr>
      <w:r>
        <w:lastRenderedPageBreak/>
        <w:t xml:space="preserve">BIKER is unique in that it can provide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7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7. Remember that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9), and that all SWOT observations contain errors in both space and time (hence Equation 10). We acknowledge that there is error in Equation 7 as shown in Figure 2, but this error can be explicitly parameterized in our Bayesian system (this is elaborated on in Text S4).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9 and uncertainty in the data itself. Note also that we have already empirically validated Equation 7 in Figure 2.</w:t>
      </w:r>
    </w:p>
    <w:p w14:paraId="0A02E09C" w14:textId="77777777" w:rsidR="001A2A89" w:rsidRDefault="00106551">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1. They consist of the correlation coefficient </w:t>
      </w:r>
      <w:r>
        <w:rPr>
          <w:i/>
          <w:iCs/>
        </w:rPr>
        <w:t>r</w:t>
      </w:r>
      <w:r>
        <w:t xml:space="preserve"> to quantify accuracy of BIKER’s temporal dynamics, the root mean square error normalized by the observed mean (NRMSE) and normalized mean absolute residual error (NMAE) to assess bias, and the Kling-Gupta Efficiency (KGE). KGE is frequently used to assess streamflow prediction and simultaneously assesses accuracy in both bias and dynamics. While a value greater than -0.41 means the model outperforms a uniform </w:t>
      </w:r>
      <w:r>
        <w:lastRenderedPageBreak/>
        <w:t>prediction of the mean (Knoben et al., 2019), generally KGE scores are interpreted as being meaningful in ungauged settings if &gt; 0.</w:t>
      </w:r>
    </w:p>
    <w:p w14:paraId="0A02E09D" w14:textId="77777777" w:rsidR="001A2A89" w:rsidRDefault="00106551">
      <w:pPr>
        <w:pStyle w:val="BodyText"/>
      </w:pPr>
      <w:r>
        <w:rPr>
          <w:i/>
          <w:iCs/>
        </w:rPr>
        <w:t>Table 1: Validation metrics used in this study, where Nt is number of observations and i is the specific observation. σ refers to the variance of the sample and μ refers to the mean of the sample. Carrot accents indicate the predicted value.</w:t>
      </w:r>
    </w:p>
    <w:tbl>
      <w:tblPr>
        <w:tblW w:w="5000" w:type="pct"/>
        <w:tblLook w:val="0020" w:firstRow="1" w:lastRow="0" w:firstColumn="0" w:lastColumn="0" w:noHBand="0" w:noVBand="0"/>
      </w:tblPr>
      <w:tblGrid>
        <w:gridCol w:w="1206"/>
        <w:gridCol w:w="1016"/>
        <w:gridCol w:w="5539"/>
        <w:gridCol w:w="694"/>
        <w:gridCol w:w="905"/>
      </w:tblGrid>
      <w:tr w:rsidR="001A2A89" w14:paraId="0A02E0A3" w14:textId="77777777">
        <w:trPr>
          <w:tblHeader/>
        </w:trPr>
        <w:tc>
          <w:tcPr>
            <w:tcW w:w="0" w:type="auto"/>
          </w:tcPr>
          <w:p w14:paraId="0A02E09E" w14:textId="77777777" w:rsidR="001A2A89" w:rsidRDefault="00106551">
            <w:pPr>
              <w:pStyle w:val="Compact"/>
              <w:jc w:val="left"/>
            </w:pPr>
            <w:r>
              <w:rPr>
                <w:b/>
                <w:bCs/>
              </w:rPr>
              <w:t>Description</w:t>
            </w:r>
          </w:p>
        </w:tc>
        <w:tc>
          <w:tcPr>
            <w:tcW w:w="0" w:type="auto"/>
          </w:tcPr>
          <w:p w14:paraId="0A02E09F" w14:textId="77777777" w:rsidR="001A2A89" w:rsidRDefault="00106551">
            <w:pPr>
              <w:pStyle w:val="Compact"/>
              <w:jc w:val="left"/>
            </w:pPr>
            <w:r>
              <w:rPr>
                <w:b/>
                <w:bCs/>
              </w:rPr>
              <w:t>Acronym</w:t>
            </w:r>
          </w:p>
        </w:tc>
        <w:tc>
          <w:tcPr>
            <w:tcW w:w="0" w:type="auto"/>
          </w:tcPr>
          <w:p w14:paraId="0A02E0A0" w14:textId="77777777" w:rsidR="001A2A89" w:rsidRDefault="00106551">
            <w:pPr>
              <w:pStyle w:val="Compact"/>
              <w:jc w:val="left"/>
            </w:pPr>
            <w:r>
              <w:rPr>
                <w:b/>
                <w:bCs/>
              </w:rPr>
              <w:t>Definition</w:t>
            </w:r>
          </w:p>
        </w:tc>
        <w:tc>
          <w:tcPr>
            <w:tcW w:w="0" w:type="auto"/>
          </w:tcPr>
          <w:p w14:paraId="0A02E0A1" w14:textId="77777777" w:rsidR="001A2A89" w:rsidRDefault="00106551">
            <w:pPr>
              <w:pStyle w:val="Compact"/>
              <w:jc w:val="left"/>
            </w:pPr>
            <w:r>
              <w:rPr>
                <w:b/>
                <w:bCs/>
              </w:rPr>
              <w:t>Ideal Score</w:t>
            </w:r>
          </w:p>
        </w:tc>
        <w:tc>
          <w:tcPr>
            <w:tcW w:w="0" w:type="auto"/>
          </w:tcPr>
          <w:p w14:paraId="0A02E0A2" w14:textId="77777777" w:rsidR="001A2A89" w:rsidRDefault="00106551">
            <w:pPr>
              <w:pStyle w:val="Compact"/>
              <w:jc w:val="left"/>
            </w:pPr>
            <w:r>
              <w:rPr>
                <w:b/>
                <w:bCs/>
              </w:rPr>
              <w:t>Possible Range</w:t>
            </w:r>
          </w:p>
        </w:tc>
      </w:tr>
      <w:tr w:rsidR="001A2A89" w14:paraId="0A02E0A9" w14:textId="77777777">
        <w:tc>
          <w:tcPr>
            <w:tcW w:w="0" w:type="auto"/>
          </w:tcPr>
          <w:p w14:paraId="0A02E0A4" w14:textId="77777777" w:rsidR="001A2A89" w:rsidRDefault="00106551">
            <w:pPr>
              <w:pStyle w:val="Compact"/>
              <w:jc w:val="left"/>
            </w:pPr>
            <w:r>
              <w:t>Correlation Coefficient</w:t>
            </w:r>
          </w:p>
        </w:tc>
        <w:tc>
          <w:tcPr>
            <w:tcW w:w="0" w:type="auto"/>
          </w:tcPr>
          <w:p w14:paraId="0A02E0A5" w14:textId="77777777" w:rsidR="001A2A89" w:rsidRDefault="00106551">
            <w:pPr>
              <w:pStyle w:val="Compact"/>
              <w:jc w:val="left"/>
            </w:pPr>
            <m:oMathPara>
              <m:oMath>
                <m:r>
                  <w:rPr>
                    <w:rFonts w:ascii="Cambria Math" w:hAnsi="Cambria Math"/>
                  </w:rPr>
                  <m:t>r</m:t>
                </m:r>
              </m:oMath>
            </m:oMathPara>
          </w:p>
        </w:tc>
        <w:tc>
          <w:tcPr>
            <w:tcW w:w="0" w:type="auto"/>
          </w:tcPr>
          <w:p w14:paraId="0A02E0A6" w14:textId="77777777" w:rsidR="001A2A89" w:rsidRDefault="00897893">
            <w:pPr>
              <w:pStyle w:val="Compact"/>
              <w:jc w:val="left"/>
            </w:pPr>
            <m:oMathPara>
              <m:oMath>
                <m:rad>
                  <m:radPr>
                    <m:degHide m:val="1"/>
                    <m:ctrlPr>
                      <w:rPr>
                        <w:rFonts w:ascii="Cambria Math" w:hAnsi="Cambria Math"/>
                      </w:rPr>
                    </m:ctrlPr>
                  </m:radPr>
                  <m:deg/>
                  <m:e>
                    <m:r>
                      <w:rPr>
                        <w:rFonts w:ascii="Cambria Math" w:hAnsi="Cambria Math"/>
                      </w:rPr>
                      <m:t>1</m:t>
                    </m:r>
                    <m:r>
                      <m:rPr>
                        <m:sty m:val="p"/>
                      </m:rPr>
                      <w:rPr>
                        <w:rFonts w:ascii="Cambria Math" w:hAnsi="Cambria Math"/>
                      </w:rPr>
                      <m:t>-</m:t>
                    </m:r>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e>
                                        </m:acc>
                                      </m:e>
                                    </m:d>
                                  </m:e>
                                  <m:sup>
                                    <m:r>
                                      <w:rPr>
                                        <w:rFonts w:ascii="Cambria Math" w:hAnsi="Cambria Math"/>
                                      </w:rPr>
                                      <m:t>2</m:t>
                                    </m:r>
                                  </m:sup>
                                </m:sSup>
                              </m:e>
                            </m:nary>
                          </m:num>
                          <m:den>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e>
                                </m:d>
                              </m:e>
                              <m:sup>
                                <m:r>
                                  <w:rPr>
                                    <w:rFonts w:ascii="Cambria Math" w:hAnsi="Cambria Math"/>
                                  </w:rPr>
                                  <m:t>2</m:t>
                                </m:r>
                              </m:sup>
                            </m:sSup>
                          </m:den>
                        </m:f>
                      </m:e>
                    </m:d>
                  </m:e>
                </m:rad>
              </m:oMath>
            </m:oMathPara>
          </w:p>
        </w:tc>
        <w:tc>
          <w:tcPr>
            <w:tcW w:w="0" w:type="auto"/>
          </w:tcPr>
          <w:p w14:paraId="0A02E0A7" w14:textId="77777777" w:rsidR="001A2A89" w:rsidRDefault="00106551">
            <w:pPr>
              <w:pStyle w:val="Compact"/>
              <w:jc w:val="left"/>
            </w:pPr>
            <w:r>
              <w:t>1</w:t>
            </w:r>
          </w:p>
        </w:tc>
        <w:tc>
          <w:tcPr>
            <w:tcW w:w="0" w:type="auto"/>
          </w:tcPr>
          <w:p w14:paraId="0A02E0A8" w14:textId="77777777" w:rsidR="001A2A89" w:rsidRDefault="00106551">
            <w:pPr>
              <w:pStyle w:val="Compact"/>
              <w:jc w:val="left"/>
            </w:pPr>
            <w:r>
              <w:t>-1 to 1</w:t>
            </w:r>
          </w:p>
        </w:tc>
      </w:tr>
      <w:tr w:rsidR="001A2A89" w14:paraId="0A02E0AF" w14:textId="77777777">
        <w:tc>
          <w:tcPr>
            <w:tcW w:w="0" w:type="auto"/>
          </w:tcPr>
          <w:p w14:paraId="0A02E0AA" w14:textId="77777777" w:rsidR="001A2A89" w:rsidRDefault="00106551">
            <w:pPr>
              <w:pStyle w:val="Compact"/>
              <w:jc w:val="left"/>
            </w:pPr>
            <w:r>
              <w:t>Normalized root-mean-square error</w:t>
            </w:r>
          </w:p>
        </w:tc>
        <w:tc>
          <w:tcPr>
            <w:tcW w:w="0" w:type="auto"/>
          </w:tcPr>
          <w:p w14:paraId="0A02E0AB" w14:textId="77777777" w:rsidR="001A2A89" w:rsidRDefault="00106551">
            <w:pPr>
              <w:pStyle w:val="Compact"/>
              <w:jc w:val="left"/>
            </w:pPr>
            <w:r>
              <w:t>NRMSE</w:t>
            </w:r>
          </w:p>
        </w:tc>
        <w:tc>
          <w:tcPr>
            <w:tcW w:w="0" w:type="auto"/>
          </w:tcPr>
          <w:p w14:paraId="0A02E0AC" w14:textId="77777777" w:rsidR="001A2A89" w:rsidRDefault="00897893">
            <w:pPr>
              <w:pStyle w:val="Compact"/>
              <w:jc w:val="left"/>
            </w:pPr>
            <m:oMathPara>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acc>
                                      <m:accPr>
                                        <m:ctrlPr>
                                          <w:rPr>
                                            <w:rFonts w:ascii="Cambria Math" w:hAnsi="Cambria Math"/>
                                          </w:rPr>
                                        </m:ctrlPr>
                                      </m:accPr>
                                      <m:e>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num>
                                  <m:den>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sub>
                                    </m:sSub>
                                  </m:den>
                                </m:f>
                              </m:e>
                            </m:d>
                          </m:e>
                          <m:sup>
                            <m:r>
                              <w:rPr>
                                <w:rFonts w:ascii="Cambria Math" w:hAnsi="Cambria Math"/>
                              </w:rPr>
                              <m:t>2</m:t>
                            </m:r>
                          </m:sup>
                        </m:sSup>
                      </m:e>
                    </m:nary>
                  </m:e>
                </m:rad>
              </m:oMath>
            </m:oMathPara>
          </w:p>
        </w:tc>
        <w:tc>
          <w:tcPr>
            <w:tcW w:w="0" w:type="auto"/>
          </w:tcPr>
          <w:p w14:paraId="0A02E0AD" w14:textId="77777777" w:rsidR="001A2A89" w:rsidRDefault="00106551">
            <w:pPr>
              <w:pStyle w:val="Compact"/>
              <w:jc w:val="left"/>
            </w:pPr>
            <w:r>
              <w:t>0</w:t>
            </w:r>
          </w:p>
        </w:tc>
        <w:tc>
          <w:tcPr>
            <w:tcW w:w="0" w:type="auto"/>
          </w:tcPr>
          <w:p w14:paraId="0A02E0AE" w14:textId="77777777" w:rsidR="001A2A89" w:rsidRDefault="00106551">
            <w:pPr>
              <w:pStyle w:val="Compact"/>
              <w:jc w:val="left"/>
            </w:pPr>
            <w:r>
              <w:t>0 to ∞</w:t>
            </w:r>
          </w:p>
        </w:tc>
      </w:tr>
      <w:tr w:rsidR="001A2A89" w14:paraId="0A02E0B5" w14:textId="77777777">
        <w:tc>
          <w:tcPr>
            <w:tcW w:w="0" w:type="auto"/>
          </w:tcPr>
          <w:p w14:paraId="0A02E0B0" w14:textId="77777777" w:rsidR="001A2A89" w:rsidRDefault="00106551">
            <w:pPr>
              <w:pStyle w:val="Compact"/>
              <w:jc w:val="left"/>
            </w:pPr>
            <w:r>
              <w:t>Kling-Gupta Efficiency</w:t>
            </w:r>
          </w:p>
        </w:tc>
        <w:tc>
          <w:tcPr>
            <w:tcW w:w="0" w:type="auto"/>
          </w:tcPr>
          <w:p w14:paraId="0A02E0B1" w14:textId="77777777" w:rsidR="001A2A89" w:rsidRDefault="00106551">
            <w:pPr>
              <w:pStyle w:val="Compact"/>
              <w:jc w:val="left"/>
            </w:pPr>
            <w:r>
              <w:t>KGE</w:t>
            </w:r>
          </w:p>
        </w:tc>
        <w:tc>
          <w:tcPr>
            <w:tcW w:w="0" w:type="auto"/>
          </w:tcPr>
          <w:p w14:paraId="0A02E0B2" w14:textId="77777777" w:rsidR="001A2A89" w:rsidRDefault="00106551">
            <w:pPr>
              <w:pStyle w:val="Compact"/>
              <w:jc w:val="left"/>
            </w:pPr>
            <m:oMathPara>
              <m:oMath>
                <m:r>
                  <w:rPr>
                    <w:rFonts w:ascii="Cambria Math" w:hAnsi="Cambria Math"/>
                  </w:rPr>
                  <m:t>1</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e>
                                </m:acc>
                              </m:e>
                            </m:d>
                            <m:r>
                              <m:rPr>
                                <m:sty m:val="p"/>
                              </m:rPr>
                              <w:rPr>
                                <w:rFonts w:ascii="Cambria Math" w:hAnsi="Cambria Math"/>
                              </w:rPr>
                              <m:t>-</m:t>
                            </m:r>
                            <m:r>
                              <w:rPr>
                                <w:rFonts w:ascii="Cambria Math" w:hAnsi="Cambria Math"/>
                              </w:rPr>
                              <m:t>1</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acc>
                                      <m:accPr>
                                        <m:ctrlPr>
                                          <w:rPr>
                                            <w:rFonts w:ascii="Cambria Math" w:hAnsi="Cambria Math"/>
                                          </w:rPr>
                                        </m:ctrlPr>
                                      </m:accPr>
                                      <m:e>
                                        <m:sSub>
                                          <m:sSubPr>
                                            <m:ctrlPr>
                                              <w:rPr>
                                                <w:rFonts w:ascii="Cambria Math" w:hAnsi="Cambria Math"/>
                                              </w:rPr>
                                            </m:ctrlPr>
                                          </m:sSubPr>
                                          <m:e>
                                            <m:r>
                                              <w:rPr>
                                                <w:rFonts w:ascii="Cambria Math" w:hAnsi="Cambria Math"/>
                                              </w:rPr>
                                              <m:t>k</m:t>
                                            </m:r>
                                          </m:e>
                                          <m:sub>
                                            <m:r>
                                              <w:rPr>
                                                <w:rFonts w:ascii="Cambria Math" w:hAnsi="Cambria Math"/>
                                              </w:rPr>
                                              <m:t>600</m:t>
                                            </m:r>
                                          </m:sub>
                                        </m:sSub>
                                      </m:e>
                                    </m:acc>
                                  </m:sub>
                                </m:sSub>
                              </m:num>
                              <m:den>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den>
                            </m:f>
                            <m:r>
                              <m:rPr>
                                <m:sty m:val="p"/>
                              </m:rPr>
                              <w:rPr>
                                <w:rFonts w:ascii="Cambria Math" w:hAnsi="Cambria Math"/>
                              </w:rPr>
                              <m:t>-</m:t>
                            </m:r>
                            <m:r>
                              <w:rPr>
                                <w:rFonts w:ascii="Cambria Math" w:hAnsi="Cambria Math"/>
                              </w:rPr>
                              <m:t>1</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σ</m:t>
                                    </m:r>
                                  </m:e>
                                  <m:sub>
                                    <m:acc>
                                      <m:accPr>
                                        <m:ctrlPr>
                                          <w:rPr>
                                            <w:rFonts w:ascii="Cambria Math" w:hAnsi="Cambria Math"/>
                                          </w:rPr>
                                        </m:ctrlPr>
                                      </m:accPr>
                                      <m:e>
                                        <m:sSub>
                                          <m:sSubPr>
                                            <m:ctrlPr>
                                              <w:rPr>
                                                <w:rFonts w:ascii="Cambria Math" w:hAnsi="Cambria Math"/>
                                              </w:rPr>
                                            </m:ctrlPr>
                                          </m:sSubPr>
                                          <m:e>
                                            <m:r>
                                              <w:rPr>
                                                <w:rFonts w:ascii="Cambria Math" w:hAnsi="Cambria Math"/>
                                              </w:rPr>
                                              <m:t>k</m:t>
                                            </m:r>
                                          </m:e>
                                          <m:sub>
                                            <m:r>
                                              <w:rPr>
                                                <w:rFonts w:ascii="Cambria Math" w:hAnsi="Cambria Math"/>
                                              </w:rPr>
                                              <m:t>600</m:t>
                                            </m:r>
                                          </m:sub>
                                        </m:sSub>
                                      </m:e>
                                    </m:acc>
                                  </m:sub>
                                </m:sSub>
                                <m:r>
                                  <m:rPr>
                                    <m:sty m:val="p"/>
                                  </m:rPr>
                                  <w:rPr>
                                    <w:rFonts w:ascii="Cambria Math" w:hAnsi="Cambria Math"/>
                                  </w:rPr>
                                  <m:t>/</m:t>
                                </m:r>
                                <m:sSub>
                                  <m:sSubPr>
                                    <m:ctrlPr>
                                      <w:rPr>
                                        <w:rFonts w:ascii="Cambria Math" w:hAnsi="Cambria Math"/>
                                      </w:rPr>
                                    </m:ctrlPr>
                                  </m:sSubPr>
                                  <m:e>
                                    <m:r>
                                      <w:rPr>
                                        <w:rFonts w:ascii="Cambria Math" w:hAnsi="Cambria Math"/>
                                      </w:rPr>
                                      <m:t>μ</m:t>
                                    </m:r>
                                  </m:e>
                                  <m:sub>
                                    <m:acc>
                                      <m:accPr>
                                        <m:ctrlPr>
                                          <w:rPr>
                                            <w:rFonts w:ascii="Cambria Math" w:hAnsi="Cambria Math"/>
                                          </w:rPr>
                                        </m:ctrlPr>
                                      </m:accPr>
                                      <m:e>
                                        <m:sSub>
                                          <m:sSubPr>
                                            <m:ctrlPr>
                                              <w:rPr>
                                                <w:rFonts w:ascii="Cambria Math" w:hAnsi="Cambria Math"/>
                                              </w:rPr>
                                            </m:ctrlPr>
                                          </m:sSubPr>
                                          <m:e>
                                            <m:r>
                                              <w:rPr>
                                                <w:rFonts w:ascii="Cambria Math" w:hAnsi="Cambria Math"/>
                                              </w:rPr>
                                              <m:t>k</m:t>
                                            </m:r>
                                          </m:e>
                                          <m:sub>
                                            <m:r>
                                              <w:rPr>
                                                <w:rFonts w:ascii="Cambria Math" w:hAnsi="Cambria Math"/>
                                              </w:rPr>
                                              <m:t>600</m:t>
                                            </m:r>
                                          </m:sub>
                                        </m:sSub>
                                      </m:e>
                                    </m:acc>
                                  </m:sub>
                                </m:sSub>
                              </m:num>
                              <m:den>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r>
                                  <m:rPr>
                                    <m:sty m:val="p"/>
                                  </m:rPr>
                                  <w:rPr>
                                    <w:rFonts w:ascii="Cambria Math" w:hAnsi="Cambria Math"/>
                                  </w:rPr>
                                  <m:t>/</m:t>
                                </m:r>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den>
                            </m:f>
                            <m:r>
                              <m:rPr>
                                <m:sty m:val="p"/>
                              </m:rPr>
                              <w:rPr>
                                <w:rFonts w:ascii="Cambria Math" w:hAnsi="Cambria Math"/>
                              </w:rPr>
                              <m:t>-</m:t>
                            </m:r>
                            <m:r>
                              <w:rPr>
                                <w:rFonts w:ascii="Cambria Math" w:hAnsi="Cambria Math"/>
                              </w:rPr>
                              <m:t>1</m:t>
                            </m:r>
                          </m:e>
                        </m:d>
                      </m:e>
                      <m:sup>
                        <m:r>
                          <w:rPr>
                            <w:rFonts w:ascii="Cambria Math" w:hAnsi="Cambria Math"/>
                          </w:rPr>
                          <m:t>2</m:t>
                        </m:r>
                      </m:sup>
                    </m:sSup>
                  </m:e>
                </m:rad>
              </m:oMath>
            </m:oMathPara>
          </w:p>
        </w:tc>
        <w:tc>
          <w:tcPr>
            <w:tcW w:w="0" w:type="auto"/>
          </w:tcPr>
          <w:p w14:paraId="0A02E0B3" w14:textId="77777777" w:rsidR="001A2A89" w:rsidRDefault="00106551">
            <w:pPr>
              <w:pStyle w:val="Compact"/>
              <w:jc w:val="left"/>
            </w:pPr>
            <w:r>
              <w:t>1</w:t>
            </w:r>
          </w:p>
        </w:tc>
        <w:tc>
          <w:tcPr>
            <w:tcW w:w="0" w:type="auto"/>
          </w:tcPr>
          <w:p w14:paraId="0A02E0B4" w14:textId="77777777" w:rsidR="001A2A89" w:rsidRDefault="00106551">
            <w:pPr>
              <w:pStyle w:val="Compact"/>
              <w:jc w:val="left"/>
            </w:pPr>
            <w:r>
              <w:t>-∞ to 1</w:t>
            </w:r>
          </w:p>
        </w:tc>
      </w:tr>
      <w:tr w:rsidR="001A2A89" w14:paraId="0A02E0BB" w14:textId="77777777">
        <w:tc>
          <w:tcPr>
            <w:tcW w:w="0" w:type="auto"/>
          </w:tcPr>
          <w:p w14:paraId="0A02E0B6" w14:textId="77777777" w:rsidR="001A2A89" w:rsidRDefault="00106551">
            <w:pPr>
              <w:pStyle w:val="Compact"/>
              <w:jc w:val="left"/>
            </w:pPr>
            <w:r>
              <w:t>Normalized Mean Absolute Error</w:t>
            </w:r>
          </w:p>
        </w:tc>
        <w:tc>
          <w:tcPr>
            <w:tcW w:w="0" w:type="auto"/>
          </w:tcPr>
          <w:p w14:paraId="0A02E0B7" w14:textId="77777777" w:rsidR="001A2A89" w:rsidRDefault="00106551">
            <w:pPr>
              <w:pStyle w:val="Compact"/>
              <w:jc w:val="left"/>
            </w:pPr>
            <w:r>
              <w:t>MAE</w:t>
            </w:r>
          </w:p>
        </w:tc>
        <w:tc>
          <w:tcPr>
            <w:tcW w:w="0" w:type="auto"/>
          </w:tcPr>
          <w:p w14:paraId="0A02E0B8" w14:textId="77777777" w:rsidR="001A2A89" w:rsidRDefault="00897893">
            <w:pPr>
              <w:pStyle w:val="Compact"/>
              <w:jc w:val="left"/>
            </w:pPr>
            <m:oMathPara>
              <m:oMath>
                <m:f>
                  <m:fPr>
                    <m:ctrlPr>
                      <w:rPr>
                        <w:rFonts w:ascii="Cambria Math" w:hAnsi="Cambria Math"/>
                      </w:rPr>
                    </m:ctrlPr>
                  </m:fPr>
                  <m:num>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d>
                              <m:dPr>
                                <m:ctrlPr>
                                  <w:rPr>
                                    <w:rFonts w:ascii="Cambria Math" w:hAnsi="Cambria Math"/>
                                  </w:rPr>
                                </m:ctrlPr>
                              </m:dPr>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e>
                                    </m:acc>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e>
                                </m:d>
                              </m:e>
                            </m:d>
                          </m:e>
                        </m:nary>
                      </m:num>
                      <m:den>
                        <m:r>
                          <w:rPr>
                            <w:rFonts w:ascii="Cambria Math" w:hAnsi="Cambria Math"/>
                          </w:rPr>
                          <m:t>n</m:t>
                        </m:r>
                      </m:den>
                    </m:f>
                    <m:r>
                      <m:rPr>
                        <m:sty m:val="p"/>
                      </m:rPr>
                      <w:rPr>
                        <w:rFonts w:ascii="Cambria Math" w:hAnsi="Cambria Math"/>
                      </w:rPr>
                      <m:t>)</m:t>
                    </m:r>
                  </m:num>
                  <m:den>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den>
                </m:f>
              </m:oMath>
            </m:oMathPara>
          </w:p>
        </w:tc>
        <w:tc>
          <w:tcPr>
            <w:tcW w:w="0" w:type="auto"/>
          </w:tcPr>
          <w:p w14:paraId="0A02E0B9" w14:textId="77777777" w:rsidR="001A2A89" w:rsidRDefault="00106551">
            <w:pPr>
              <w:pStyle w:val="Compact"/>
              <w:jc w:val="left"/>
            </w:pPr>
            <w:r>
              <w:t>0</w:t>
            </w:r>
          </w:p>
        </w:tc>
        <w:tc>
          <w:tcPr>
            <w:tcW w:w="0" w:type="auto"/>
          </w:tcPr>
          <w:p w14:paraId="0A02E0BA" w14:textId="77777777" w:rsidR="001A2A89" w:rsidRDefault="00106551">
            <w:pPr>
              <w:pStyle w:val="Compact"/>
              <w:jc w:val="left"/>
            </w:pPr>
            <w:r>
              <w:t>0 to ∞</w:t>
            </w:r>
          </w:p>
        </w:tc>
      </w:tr>
    </w:tbl>
    <w:p w14:paraId="0A02E0BC" w14:textId="77777777" w:rsidR="001A2A89" w:rsidRDefault="00106551">
      <w:pPr>
        <w:pStyle w:val="Heading4"/>
      </w:pPr>
      <w:bookmarkStart w:id="15" w:name="carbon-emissions-validation"/>
      <w:bookmarkEnd w:id="14"/>
      <w:r>
        <w:t>3.2.3 Carbon emissions validation</w:t>
      </w:r>
    </w:p>
    <w:p w14:paraId="0A02E0BD" w14:textId="77777777" w:rsidR="001A2A89" w:rsidRDefault="00106551">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this 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However, </w:t>
      </w:r>
      <w:r>
        <w:lastRenderedPageBreak/>
        <w:t xml:space="preserve">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scaling relationships. This effectively reduces Equation 2 to Equation 11. It is worth stressing that these literature upscaling workflows rely on in situ streamflow records and/or high-quality streamflow models.</w:t>
      </w:r>
    </w:p>
    <w:p w14:paraId="0A02E0BE" w14:textId="77777777" w:rsidR="001A2A89" w:rsidRDefault="00106551">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11</m:t>
              </m:r>
            </m:e>
          </m:d>
        </m:oMath>
      </m:oMathPara>
    </w:p>
    <w:p w14:paraId="0A02E0BF" w14:textId="77777777" w:rsidR="001A2A89" w:rsidRDefault="00106551">
      <w:pPr>
        <w:pStyle w:val="FirstParagraph"/>
      </w:pPr>
      <w:r>
        <w:t xml:space="preserve">Conversely, BIKER represents a new way of approaching Equation 11 compared to existing literature models: BIKER has no reliance on a streamflow model nor hydraulic geometry scaling relationships and only requires that a river is SWOT-observable. We are therefore interested in how the final carbon emissions that result from BIKER compare against literature methods that use Equation 11.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as a realistic timeseries to yield fluxes per Equation 11. In all three approaches, these observed hydraulics are streamflow, while BIKER uses only SWOT observations. Therefore, the advantage of BIKER is in its ease of application, as SWOT will observe all global rivers wider than 50m while streamflow observations are extremely geographically limited. But, BIKER is only attractive if it can produce fluxes with similar errors to published methods. Text S5 and Table S2 fully describe these three literature models.</w:t>
      </w:r>
    </w:p>
    <w:p w14:paraId="0A02E0C0" w14:textId="77777777" w:rsidR="001A2A89" w:rsidRDefault="00106551">
      <w:pPr>
        <w:pStyle w:val="BodyText"/>
      </w:pPr>
      <w:r>
        <w:t xml:space="preserve">To benchmark BIKER against these literature methods, we pair the 26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water temperature samples from Beaulieu et al. (2012) (Section 3.1, Figure S3) with every 14th </w:t>
      </w:r>
      <w:r>
        <w:lastRenderedPageBreak/>
        <w:t xml:space="preserve">set of daily SWOT observations (as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bi-weekly). We then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Equation 1, an atmospheric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of 400 uatm, and a </w:t>
      </w:r>
      <w:r>
        <w:rPr>
          <w:i/>
          <w:iCs/>
        </w:rPr>
        <w:t>Sc</w:t>
      </w:r>
      <w:r>
        <w:t xml:space="preserve"> estimated following Raymond et al. (2012). The </w:t>
      </w:r>
      <w:r>
        <w:rPr>
          <w:i/>
          <w:iCs/>
        </w:rPr>
        <w:t>k</w:t>
      </w:r>
      <w:r>
        <w:t xml:space="preserve"> in Equation 1 is obtained using BIKER or the three literature models (Table S2 and Text S5). Finally, we estimate a pseudo yearly total carbon emission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by applying each river’s mean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over the river’s surface area and summing all rates across rivers, remembering that we are applying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to all rivers.</w:t>
      </w:r>
    </w:p>
    <w:p w14:paraId="0A02E0C1" w14:textId="77777777" w:rsidR="001A2A89" w:rsidRDefault="00106551">
      <w:pPr>
        <w:pStyle w:val="Heading3"/>
      </w:pPr>
      <w:bookmarkStart w:id="16" w:name="section-3-results"/>
      <w:bookmarkEnd w:id="12"/>
      <w:bookmarkEnd w:id="15"/>
      <w:r>
        <w:t>3.3 Section 3 results</w:t>
      </w:r>
    </w:p>
    <w:p w14:paraId="0A02E0C2" w14:textId="77777777" w:rsidR="001A2A89" w:rsidRDefault="00106551">
      <w:pPr>
        <w:pStyle w:val="Heading4"/>
      </w:pPr>
      <w:bookmarkStart w:id="17" w:name="biker-1"/>
      <w:r>
        <w:t>3.3.1 BIKER</w:t>
      </w:r>
    </w:p>
    <w:p w14:paraId="0A02E0C3" w14:textId="77777777" w:rsidR="001A2A89" w:rsidRDefault="00106551">
      <w:pPr>
        <w:pStyle w:val="FirstParagraph"/>
      </w:pPr>
      <w:r>
        <w:t xml:space="preserve">Figure 3 plots a representative set of the 47 timeseries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assuming no SWOT measurement error. Two rivers each were sampled from the three tertiles of river </w:t>
      </w:r>
      <w:r>
        <w:rPr>
          <w:i/>
          <w:iCs/>
        </w:rPr>
        <w:t>KGE</w:t>
      </w:r>
      <w:r>
        <w:t xml:space="preserve"> scores (Table 1) for display. Consult Figure S4 for all 47 timeseries plots (assuming no measurement error) and Figure S5 for the 16 rivers with measurement errors. Note that the y axis is normalized by maximum observed values to compare across rivers. 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 with the highs and lows of evasion correctly inferred by BIKER in the better-performing rivers. Notably, there is sometimes positive bias in the estimates (e.g. the Connecticut and Missouri Midsection rivers). Some rivers yield the correct temporal dynamics, but the magnitude of these values is stretched relative to the observed (e.g. Ohio River). In this example, temporal trends are still reasonably inferred even though the magnitude of the estimates is quite off.</w:t>
      </w:r>
    </w:p>
    <w:p w14:paraId="0A02E0C4" w14:textId="77777777" w:rsidR="001A2A89" w:rsidRDefault="00106551">
      <w:r>
        <w:rPr>
          <w:noProof/>
        </w:rPr>
        <w:lastRenderedPageBreak/>
        <w:drawing>
          <wp:inline distT="0" distB="0" distL="0" distR="0" wp14:anchorId="0A02E1F9" wp14:editId="0A02E1FA">
            <wp:extent cx="5943600" cy="4754880"/>
            <wp:effectExtent l="0" t="0" r="0" b="0"/>
            <wp:docPr id="41" name="Picture" descr="Figure 3. Representative river timeseries plots of k_{600}. Orange is observed, while green is BIKER and uses SWOT measurements as its sole input. The green ribbon indicates the 95% CIs for the BIKER posteriors. Rivers are sampled from the three tertiles of KGE scores. (a-b) are poorest performing rivers, (c-d) are in the middle, and (e-f) are the best performing rivers. Y axis is normalized by maximum observed values to compare visually."/>
            <wp:cNvGraphicFramePr/>
            <a:graphic xmlns:a="http://schemas.openxmlformats.org/drawingml/2006/main">
              <a:graphicData uri="http://schemas.openxmlformats.org/drawingml/2006/picture">
                <pic:pic xmlns:pic="http://schemas.openxmlformats.org/drawingml/2006/picture">
                  <pic:nvPicPr>
                    <pic:cNvPr id="42" name="Picture" descr="cache/validation/fig3.jp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0A02E0C5" w14:textId="77777777" w:rsidR="001A2A89" w:rsidRDefault="00106551">
      <w:pPr>
        <w:pStyle w:val="ImageCaption"/>
      </w:pPr>
      <w:r>
        <w:t xml:space="preserve">Figure 3. Representative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Orange is observed, while green is BIKER and uses SWOT measurements as its sole input. The green ribbon indicates the 95% CIs for the BIKER posteriors. Rivers are sampled from the three tertiles of KGE scores. (a-b) are poorest performing rivers, (c-d) are in the middle, and (e-f) are the best performing rivers. Y axis is normalized by maximum observed values to compare visually.</w:t>
      </w:r>
    </w:p>
    <w:p w14:paraId="0A02E0C6" w14:textId="77777777" w:rsidR="001A2A89" w:rsidRDefault="00106551">
      <w:pPr>
        <w:pStyle w:val="BodyText"/>
      </w:pPr>
      <w:r>
        <w:t xml:space="preserve">Next, we calculate performance metrics following Section 3.2.2 and Table 1. These are presented in Figure 4, which plots the scores for the 47 rivers with no measurement errors as </w:t>
      </w:r>
      <w:r>
        <w:lastRenderedPageBreak/>
        <w:t xml:space="preserve">empirical cumulative density functions (eCDFs). Median river </w:t>
      </w:r>
      <m:oMath>
        <m:r>
          <w:rPr>
            <w:rFonts w:ascii="Cambria Math" w:hAnsi="Cambria Math"/>
          </w:rPr>
          <m:t>KGE</m:t>
        </m:r>
      </m:oMath>
      <w:r>
        <w:t xml:space="preserve"> is 0.37 and median river </w:t>
      </w:r>
      <w:r>
        <w:rPr>
          <w:i/>
          <w:iCs/>
        </w:rPr>
        <w:t>r</w:t>
      </w:r>
      <w:r>
        <w:t xml:space="preserve"> is 0.91. Further, 38/47 rivers outperform a uniform prediction of the mean (KGE = -0.41). This indicates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NRMSE has a median score of 0.37, highlighting many rivers which have notable positive biases (Figure 3 also confirms this visually). Median NMAE is 35%. Taken in aggregate, Figures 3-4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often positive bias in its estimates.</w:t>
      </w:r>
    </w:p>
    <w:p w14:paraId="0A02E0C7" w14:textId="77777777" w:rsidR="001A2A89" w:rsidRDefault="00106551">
      <w:r>
        <w:rPr>
          <w:noProof/>
        </w:rPr>
        <w:lastRenderedPageBreak/>
        <w:drawing>
          <wp:inline distT="0" distB="0" distL="0" distR="0" wp14:anchorId="0A02E1FB" wp14:editId="0A02E1FC">
            <wp:extent cx="5943600" cy="5943600"/>
            <wp:effectExtent l="0" t="0" r="0" b="0"/>
            <wp:docPr id="44" name="Picture" descr="Figure 4. Performance metrics by river, ploted as empirical cummulative density functions (eCDFs). Each subpanel is labelled by its performance metric (defined in Table 1). Dashed lines denote median scores."/>
            <wp:cNvGraphicFramePr/>
            <a:graphic xmlns:a="http://schemas.openxmlformats.org/drawingml/2006/main">
              <a:graphicData uri="http://schemas.openxmlformats.org/drawingml/2006/picture">
                <pic:pic xmlns:pic="http://schemas.openxmlformats.org/drawingml/2006/picture">
                  <pic:nvPicPr>
                    <pic:cNvPr id="45" name="Picture" descr="cache/validation/fig4.jp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14:paraId="0A02E0C8" w14:textId="77777777" w:rsidR="001A2A89" w:rsidRDefault="00106551">
      <w:pPr>
        <w:pStyle w:val="ImageCaption"/>
      </w:pPr>
      <w:r>
        <w:t>Figure 4. Performance metrics by river, ploted as empirical cummulative density functions (eCDFs). Each subpanel is labelled by its performance metric (defined in Table 1). Dashed lines denote median scores.</w:t>
      </w:r>
    </w:p>
    <w:p w14:paraId="0A02E0C9" w14:textId="77777777" w:rsidR="001A2A89" w:rsidRDefault="00106551">
      <w:pPr>
        <w:pStyle w:val="BodyText"/>
      </w:pPr>
      <w:r>
        <w:lastRenderedPageBreak/>
        <w:t>Figure 5 compares BIKER results under the ‘no-measurement-error’ and ‘measurement-error’ scenarios for the 16 rivers for which Frasson et al. (2021) provide an error model. Rivers that fall within the purple zone get worse when accounting for measurement error, while rivers in the green get better. Note also that axes are flipped in order to visualize all ‘better performances’ in the upper-right-corner of each sub-plot. BIKER performs nearly identically, regardless of implicit measurement errors in the inputs to the algorithm, i.e. points are scattered along the 1:1 line. Overall, these results strongly suggest that BIKER will be robust to the measurement errors that will be implicit in SWOT’s observations of river width and slope. Given these results, we deem that SWOT measurement error does not exert a significant influence on BIKER performance and so the results presented for the rest of the manuscript assume no measurement error in order to use all 47 rivers.</w:t>
      </w:r>
    </w:p>
    <w:p w14:paraId="0A02E0CA" w14:textId="77777777" w:rsidR="001A2A89" w:rsidRDefault="00106551">
      <w:r>
        <w:rPr>
          <w:noProof/>
        </w:rPr>
        <w:lastRenderedPageBreak/>
        <w:drawing>
          <wp:inline distT="0" distB="0" distL="0" distR="0" wp14:anchorId="0A02E1FD" wp14:editId="0A02E1FE">
            <wp:extent cx="5943600" cy="5943600"/>
            <wp:effectExtent l="0" t="0" r="0" b="0"/>
            <wp:docPr id="47" name="Picture" descr="Figure 5: Comparison of BIKER performance when considering measurement error in the SWOT observations for 16 rivers. Each subpanel is labelled by its performance metric (Table 1). Rivers that fall within the purple zone get worse when accounting for measurement error, while rivers in the green get better. Note that some axes are flipped in order to visualize all ‘better performances’ in the upper-right-corner of each sub-plot. Black line denotes linear regression to aid in visualization."/>
            <wp:cNvGraphicFramePr/>
            <a:graphic xmlns:a="http://schemas.openxmlformats.org/drawingml/2006/main">
              <a:graphicData uri="http://schemas.openxmlformats.org/drawingml/2006/picture">
                <pic:pic xmlns:pic="http://schemas.openxmlformats.org/drawingml/2006/picture">
                  <pic:nvPicPr>
                    <pic:cNvPr id="48" name="Picture" descr="cache/validation/fig5.jp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0A02E0CB" w14:textId="77777777" w:rsidR="001A2A89" w:rsidRDefault="00106551">
      <w:pPr>
        <w:pStyle w:val="ImageCaption"/>
      </w:pPr>
      <w:r>
        <w:t xml:space="preserve">Figure 5: Comparison of BIKER performance when considering measurement error in the SWOT observations for 16 rivers. Each subpanel is labelled by its performance metric (Table 1). Rivers that fall within the purple zone get worse when accounting for measurement error, while rivers in the green get better. Note that some axes are flipped in order to visualize all ‘better </w:t>
      </w:r>
      <w:r>
        <w:lastRenderedPageBreak/>
        <w:t>performances’ in the upper-right-corner of each sub-plot. Black line denotes linear regression to aid in visualization.</w:t>
      </w:r>
    </w:p>
    <w:p w14:paraId="0A02E0CC" w14:textId="77777777" w:rsidR="001A2A89" w:rsidRDefault="00106551">
      <w:pPr>
        <w:pStyle w:val="BodyText"/>
      </w:pPr>
      <w:r>
        <w:t xml:space="preserve">Finally, we sought to explore the overall influence of prior error/bias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plot eCDFs of prior and posterior NMAE (see Table 1 for metric definition) across all 47 rivers in Figure 6a. Generally,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propagated through the posterior in an approximately 1:1 manner (which is expected), except for a subset of rivers in which posterior error actually increases relative to the prior (approximately percentiles 0.6-0.9). We explore why this happens below.</w:t>
      </w:r>
    </w:p>
    <w:p w14:paraId="0A02E0CD" w14:textId="77777777" w:rsidR="001A2A89" w:rsidRDefault="00106551">
      <w:r>
        <w:rPr>
          <w:noProof/>
        </w:rPr>
        <w:lastRenderedPageBreak/>
        <w:drawing>
          <wp:inline distT="0" distB="0" distL="0" distR="0" wp14:anchorId="0A02E1FF" wp14:editId="0A02E200">
            <wp:extent cx="5943600" cy="5943600"/>
            <wp:effectExtent l="0" t="0" r="0" b="0"/>
            <wp:docPr id="50" name="Picture" descr="Figure 6: Empirical cummulative density functions for prior and posterior k_{600} NMAE. See Table 1 for metric definition. a) all rivers. b) Only rivers with a coefficient of varaiton (CV) of observed k_{600} &gt; 0.10. c) Only rivers with CV &gt; 0.20. d) Only rivers with CV &gt; 0.30. Overall we see that rivers with greater temporal variation in k_{600} behave better for BIKER, i.e. Bayesian inference reduces bias from prior to posterior."/>
            <wp:cNvGraphicFramePr/>
            <a:graphic xmlns:a="http://schemas.openxmlformats.org/drawingml/2006/main">
              <a:graphicData uri="http://schemas.openxmlformats.org/drawingml/2006/picture">
                <pic:pic xmlns:pic="http://schemas.openxmlformats.org/drawingml/2006/picture">
                  <pic:nvPicPr>
                    <pic:cNvPr id="51" name="Picture" descr="cache/validation/fig6.jp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0A02E0CE" w14:textId="77777777" w:rsidR="001A2A89" w:rsidRDefault="00106551">
      <w:pPr>
        <w:pStyle w:val="ImageCaption"/>
      </w:pPr>
      <w:r>
        <w:t xml:space="preserve">Figure 6: Empirical cummulative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1 for metric definition. a) all rivers. b) Only rivers with a coefficient of varaiton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Overall we </w:t>
      </w:r>
      <w:r>
        <w:lastRenderedPageBreak/>
        <w:t xml:space="preserve">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0A02E0CF" w14:textId="77777777" w:rsidR="001A2A89" w:rsidRDefault="00106551">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actually experienced in the river, therefore potentially biasing both the prior estimation methods (Text S3) and the actual Bayesian inference. Put another way, we suggest that if a SWOT timeseries does not sufficiently capture a river’s temporal dynamics, it will introduce additional error to the inference results. To test this, we subset our validation dataset by progressively higher coefficients of variation (</w:t>
      </w:r>
      <w:r>
        <w:rPr>
          <w:i/>
          <w:iCs/>
        </w:rPr>
        <w:t>CV</w:t>
      </w:r>
      <w:r>
        <w:t xml:space="preserve">) (&gt; 10%, &gt;20%, and &gt;30%). These filtered datasets are plotted in Figures 6b-6d (for &gt; 10%, &gt;20%, and &gt;30% </w:t>
      </w:r>
      <w:r>
        <w:rPr>
          <w:i/>
          <w:iCs/>
        </w:rPr>
        <w:t>CV</w:t>
      </w:r>
      <w:r>
        <w:t>, respectively), where our hypothesis is confirmed. Posterior bias drops once the temporal variability of the SWOT data is sufficiently high, with BIKER posterior error the smallest, and much less than prior error, in Figure 6d. This result is elaborated on in Section 4.2.</w:t>
      </w:r>
    </w:p>
    <w:p w14:paraId="0A02E0D0" w14:textId="77777777" w:rsidR="001A2A89" w:rsidRDefault="00106551">
      <w:pPr>
        <w:pStyle w:val="Heading4"/>
      </w:pPr>
      <w:bookmarkStart w:id="18" w:name="carbon-emissions"/>
      <w:bookmarkEnd w:id="17"/>
      <w:r>
        <w:t>3.3.2 Carbon Emissions</w:t>
      </w:r>
    </w:p>
    <w:p w14:paraId="0A02E0D1" w14:textId="77777777" w:rsidR="001A2A89" w:rsidRDefault="00106551">
      <w:pPr>
        <w:pStyle w:val="FirstParagraph"/>
      </w:pPr>
      <w:r>
        <w:t xml:space="preserve">Finally, we carry these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calculations all the way to annual carbon emissions rates and compare BIKER against established in situ techniques. It is important to remember that only BIKER is completely globally implementable, while the other three models necessarily rely on having a streamflow record or high-quality routed streamflow readily available. Therefore, the in situ methods reflect their ‘best-case scenarios’ while BIKER reflects its worst case scenario, where priors are set entirely from SWOT observations and are generally the least informative they will ever be. This means that BIKER’s annual carbon emission estimate can only improve from what is presented here. We also stress again that the raw emissions rates here are largely meaningless </w:t>
      </w:r>
      <w:r>
        <w:lastRenderedPageBreak/>
        <w:t xml:space="preserve">as they are calculated from an identical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timeseries applied to every river. We are principally interested in relative differences between techniques employed.</w:t>
      </w:r>
    </w:p>
    <w:p w14:paraId="0A02E0D2" w14:textId="77777777" w:rsidR="001A2A89" w:rsidRDefault="00106551">
      <w:pPr>
        <w:pStyle w:val="BodyText"/>
      </w:pPr>
      <w:r>
        <w:t xml:space="preserve">Figure 7 compares the annual carbon emissions rate (via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from the rivers using BIKER posterior means and the three stream gauge-based HG models. Surprisingly, BIKER outperforms the gauge-based approaches, nearly correctly inferring the annual carbon emissions rate (9.8 Tg-C/yr for BIKER versus 9.35 Tg-C/yr observed). The three HG models overestimate this emissions rate: 14.8, 11.71, and 15.28 for ‘Raymond 2013’, ‘Raymond 2012’, and ‘Brinkerhoff 2019’ respectively. ‘Raymond 2012’ falls within the BIKER CIs and is reasonably close to the observed value, while ‘Raymond 2013’ overestimates the emission rate. ‘Brinkerhoff 2019’’s lower CI is comparable to BIKER’s higher CI. BIKER’s relatively stronger performance than the in situ models is elaborated on in Section 4.3. Finally, BIKER’s uncertainity is on par with the in situ technique, despite being obtained solely from SWOT data. Taken in aggregate, BIKER provides a strong upscaling estimate of the annual carbon emission rate for the rivers and is either comparable or better than established in situ techniques (Figure 7).</w:t>
      </w:r>
    </w:p>
    <w:p w14:paraId="0A02E0D3" w14:textId="77777777" w:rsidR="001A2A89" w:rsidRDefault="00106551">
      <w:r>
        <w:rPr>
          <w:noProof/>
        </w:rPr>
        <w:lastRenderedPageBreak/>
        <w:drawing>
          <wp:inline distT="0" distB="0" distL="0" distR="0" wp14:anchorId="0A02E201" wp14:editId="0A02E202">
            <wp:extent cx="5943600" cy="5943600"/>
            <wp:effectExtent l="0" t="0" r="0" b="0"/>
            <wp:docPr id="54" name="Picture" descr="Figure 7: Yearly carbon emissions rate via CO_2 evasion across all rivers. Completely remotely-sensed methods are colored in red, in situ methods in purple, and the observed in orange. Note that confidence intervals were not calculated for the remaining two models because their uncertainties are not available."/>
            <wp:cNvGraphicFramePr/>
            <a:graphic xmlns:a="http://schemas.openxmlformats.org/drawingml/2006/main">
              <a:graphicData uri="http://schemas.openxmlformats.org/drawingml/2006/picture">
                <pic:pic xmlns:pic="http://schemas.openxmlformats.org/drawingml/2006/picture">
                  <pic:nvPicPr>
                    <pic:cNvPr id="55" name="Picture" descr="cache/FCO2/fig7.jp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0A02E0D4" w14:textId="77777777" w:rsidR="001A2A89" w:rsidRDefault="00106551">
      <w:pPr>
        <w:pStyle w:val="ImageCaption"/>
      </w:pPr>
      <w:r>
        <w:t xml:space="preserve">Figure 7: Yearly carbon emissions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across all rivers. Completely remotely-sensed methods are colored in red, in situ methods in purple, and the observed in orange. Note that confidence intervals were not calculated for the remaining two models because their uncertainties are not available.</w:t>
      </w:r>
    </w:p>
    <w:p w14:paraId="0A02E0D5" w14:textId="77777777" w:rsidR="001A2A89" w:rsidRDefault="00106551">
      <w:pPr>
        <w:pStyle w:val="Heading2"/>
      </w:pPr>
      <w:bookmarkStart w:id="19" w:name="discussion"/>
      <w:bookmarkEnd w:id="10"/>
      <w:bookmarkEnd w:id="16"/>
      <w:bookmarkEnd w:id="18"/>
      <w:r>
        <w:lastRenderedPageBreak/>
        <w:t>4 Discussion</w:t>
      </w:r>
    </w:p>
    <w:p w14:paraId="0A02E0D6" w14:textId="77777777" w:rsidR="001A2A89" w:rsidRDefault="00106551">
      <w:pPr>
        <w:pStyle w:val="Heading3"/>
      </w:pPr>
      <w:bookmarkStart w:id="20" w:name="Xb20fe830aada82955e8c37d7a5b4e015ca2ffe3"/>
      <w:r>
        <w:t>4.1 Gas exchange in hydraulically-wide rivers</w:t>
      </w:r>
    </w:p>
    <w:p w14:paraId="0A02E0D7" w14:textId="77777777" w:rsidR="001A2A89" w:rsidRDefault="00106551">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systems.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This model is empirically validated in Figure 2. Specifically, Figure S1 confirms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a shear Reynold’s adaption of the small-eddy model (Equation 7) improves the model’s predictions of the smallest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(where the relative decrease in turbulence reaching the surface is greater than the small-eddy model alone suggests, per Equation 7’s theoretical basis- Moog &amp; Jirka, 1999a).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Zhao et al., 2003; Zhao &amp; Toba, 2001), though this is specific to high wind speeds in open ocean. To our knowledge, Moog &amp; Jirka (1999a)’s specific setup, which imposes a space-and-time varying, fractional area surface turbulence theory on the small-eddy model, has never been empirically validated in rivers. Figure 2 provides this empirical verification for hydraulically wide channels, where it’s theoretical basis should generally hold. 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we also observed this model breaks down when including non-hydraulically-wide rivers (as the theory would suggest). Future tests should also explore other shear Reynold’s scaling relations for gas exchange in rivers.</w:t>
      </w:r>
    </w:p>
    <w:p w14:paraId="0A02E0D8" w14:textId="77777777" w:rsidR="001A2A89" w:rsidRDefault="00106551">
      <w:pPr>
        <w:pStyle w:val="BodyText"/>
      </w:pPr>
      <w:r>
        <w:lastRenderedPageBreak/>
        <w:t xml:space="preserve">Crucially, we are not accounting for wind-driven gas exchange, which is suggested to play an important role in wide rivers because river surface area is sufficiently large that sheltering no longer limits the influence of wind-derived turbulence (Beaulieu et al., 2012; Raymond &amp; Cole, 2001; Wang et al., 2021).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Additionally, under higher-wind scenarios the turbulent regime will switch from hydraulically-driven to wind-driven turbulence (Zappa et al., 2007) and the assumptions under-pinning BIKER will likely break down.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conditions’, when surface turbulence is dominated by hydraulics rather than wind. That said, BIKER’s flexible implementation is a good start towards eventually coupling hydraulics-driven gas exchange with wind-driven gas exchange under these moderate-to-high wind scenarios. This is left to future work.</w:t>
      </w:r>
    </w:p>
    <w:p w14:paraId="0A02E0D9" w14:textId="77777777" w:rsidR="001A2A89" w:rsidRDefault="00106551">
      <w:pPr>
        <w:pStyle w:val="Heading3"/>
      </w:pPr>
      <w:bookmarkStart w:id="21" w:name="Xc817feb09f5c70561d198b40aec0187018a9b76"/>
      <w:bookmarkEnd w:id="20"/>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0A02E0DA" w14:textId="77777777" w:rsidR="001A2A89" w:rsidRDefault="00106551">
      <w:pPr>
        <w:pStyle w:val="FirstParagraph"/>
      </w:pPr>
      <w:r>
        <w:t>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While this is a good start, this is insufficient for further developing process-level understandings of gas exchange at the global-scale.</w:t>
      </w:r>
    </w:p>
    <w:p w14:paraId="0A02E0DB" w14:textId="77777777" w:rsidR="001A2A89" w:rsidRDefault="00106551">
      <w:pPr>
        <w:pStyle w:val="BodyText"/>
      </w:pPr>
      <w:r>
        <w:lastRenderedPageBreak/>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reasonably infers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This much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0A02E0DC" w14:textId="77777777" w:rsidR="001A2A89" w:rsidRDefault="00106551">
      <w:pPr>
        <w:pStyle w:val="BodyText"/>
      </w:pPr>
      <w:r>
        <w:t xml:space="preserve">With that said, Figures 4, 5, S4, and S5 all highlight a substantial range of BIKER performance across rivers. These differences in performance are likely due to the representativeness of the priors used for that river. This makes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(Equations 9-10)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7, including the aforementioned wind errors). For SWOT discharge algorithms, authors have repeatedly shown that the ‘quality’ of prior river knowledge plays a large role in the success of discharge inversions (Andreadis et al., 2020; Brinkerhoff et al., 2020; Frasson et al., 2021; Tuozzolo et al., 2019) and our results here further corroborate this finding.</w:t>
      </w:r>
    </w:p>
    <w:p w14:paraId="0A02E0DD" w14:textId="77777777" w:rsidR="001A2A89" w:rsidRDefault="00106551">
      <w:pPr>
        <w:pStyle w:val="BodyText"/>
      </w:pPr>
      <w:r>
        <w:t xml:space="preserve">Furthermore, Figure 6 implies that a sufficient variability in SWOT observations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‘Hydraulic visibility’, i.e. the ability of a remote sensor to identify a hydrological response in the river (P.-A. Garambois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lastRenderedPageBreak/>
        <w:t xml:space="preserve">Figure 6 suggests that a ‘minimally sufficient’ hydraulic variability in SWOT measurements (in Figure 6b, suggested to be approximately &gt;20% </w:t>
      </w:r>
      <w:r>
        <w:rPr>
          <w:i/>
          <w:iCs/>
        </w:rPr>
        <w:t>CV</w:t>
      </w:r>
      <w:r>
        <w:t>) is needed to improve upon the prior. This will be important once SWOT launches and BIKER is implemented at the global-scale.</w:t>
      </w:r>
    </w:p>
    <w:p w14:paraId="0A02E0DE" w14:textId="77777777" w:rsidR="001A2A89" w:rsidRDefault="00106551">
      <w:pPr>
        <w:pStyle w:val="Heading3"/>
      </w:pPr>
      <w:bookmarkStart w:id="22" w:name="coupling-biker-with-upscaling-workflows"/>
      <w:bookmarkEnd w:id="21"/>
      <w:r>
        <w:t>4.3 Coupling BIKER with upscaling workflows</w:t>
      </w:r>
    </w:p>
    <w:p w14:paraId="0A02E0DF" w14:textId="77777777" w:rsidR="001A2A89" w:rsidRDefault="00106551">
      <w:pPr>
        <w:pStyle w:val="FirstParagraph"/>
      </w:pPr>
      <w:r>
        <w:t xml:space="preserve">Figure 7 confirms that BIKER is quite successful at predicting annual upscaled carbon emissions from the river network when coupled with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This encouraging result has three main implications for future work.</w:t>
      </w:r>
    </w:p>
    <w:p w14:paraId="0A02E0E0" w14:textId="77777777" w:rsidR="001A2A89" w:rsidRDefault="00106551">
      <w:pPr>
        <w:pStyle w:val="BodyText"/>
      </w:pPr>
      <w:r>
        <w:t xml:space="preserve">First, Figure 7 directly implies that BIKER will be useful when coupled with large-scale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models, provided these models are accurate. The models would give time and space varying gas exchange. Liu et al. (2022) and Saccardi &amp; Winnick (2021) each propose models that robustly predict reach-scale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using two different approaches Saccardi &amp; Winnick (2021), but both models yield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 is likely to be accomplished via data assimilation which has proven useful in using remotly-sensed discharge to improve streamflow routing models (Feng et al., 2021; Ishitsuka et al., 2020), and of which the Saccardi &amp; Winnick (2021)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model takes a similar form.</w:t>
      </w:r>
    </w:p>
    <w:p w14:paraId="0A02E0E1" w14:textId="77777777" w:rsidR="001A2A89" w:rsidRDefault="00106551">
      <w:pPr>
        <w:pStyle w:val="BodyText"/>
      </w:pPr>
      <w:r>
        <w:t xml:space="preserve">Second, at the field-scale Figure 7 confirms that we can couple BIKER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resolutions in SWOT-</w:t>
      </w:r>
      <w:r>
        <w:lastRenderedPageBreak/>
        <w:t xml:space="preserve">observable rivers. High temporal fidelity datasets of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SWOT-observable rivers now exist (e.g. Aho, Hosen, et al., 2021) but no such similar datasets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equivalent 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 (Harlan et al., 2021). Regardless, both approaches would produce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datasets at equivalent temporal resolution and allow us to directly calculate daily to sub-daily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river reaches.</w:t>
      </w:r>
    </w:p>
    <w:p w14:paraId="0A02E0E2" w14:textId="77777777" w:rsidR="001A2A89" w:rsidRDefault="00106551">
      <w:pPr>
        <w:pStyle w:val="BodyText"/>
      </w:pPr>
      <w:r>
        <w:t xml:space="preserve">Finally, Figure 7 also uniquely allows us to directly compare the influence of geomorphic assumptions on total carbon emission rates from river networks, as all other calculations and parameters were held constant across our four tested models (Text S5). Therefore, Figure 7 highlights a potentially large source of uncertainty in current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upscaling estimates: the geomorphic models employed to scale river channel hydraulics with streamflow. In this case, the only difference between the three literature models and the observed estimate in Figure 7 is the specific HG model employed to predict river depth and velocity (Text S5, Table S2), and yet the eventual carbon emissions estimates (Figure 7) are quite different. Further, recall that the BIKER results in Figure 7 reflect a worst-case scenario (relatively uniformed priors), while the three in-situ methods represent best case scenarios (perfect streamflow records). We suggest future work should perform a formal sensitivity analysis for these HG parameters.</w:t>
      </w:r>
    </w:p>
    <w:p w14:paraId="0A02E0E3" w14:textId="77777777" w:rsidR="001A2A89" w:rsidRDefault="00106551">
      <w:pPr>
        <w:pStyle w:val="Heading2"/>
      </w:pPr>
      <w:bookmarkStart w:id="23" w:name="conclusions"/>
      <w:bookmarkEnd w:id="19"/>
      <w:bookmarkEnd w:id="22"/>
      <w:r>
        <w:lastRenderedPageBreak/>
        <w:t>5 Conclusions</w:t>
      </w:r>
    </w:p>
    <w:p w14:paraId="0A02E0E4" w14:textId="77777777" w:rsidR="001A2A89" w:rsidRDefault="00106551">
      <w:pPr>
        <w:pStyle w:val="FirstParagraph"/>
      </w:pPr>
      <w:r>
        <w:t xml:space="preserve">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from the global river network is a major natural component of the global carbon cycle, on par with total forest carbon uptake (Pan et al., 2011). Despite much interest and progress, there is still large uncertainty in the temporal dynamics of gas exchange and thus carbon emissions to the atmosphere. Much of this uncertainty stems from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global scale. In this paper, we propose that the soon-to-launch SWOT satellite will provide enough hydraulic measurements to analyse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allow for a global-scale analysis of spatiotemporal trends in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once SWOT launches. In that context, we developed 1) a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that is nearly entirely SWOT observable and explains 70%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2) the BIKER algorithm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no on-the-ground information. Validating on 47 SWOT-simulated rivers, we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and a hypothetical total annual carbon emission rate across all 47 rivers. These results suggest BIKER can be used to infer global-scale, near daily estimates of fluvial gas exchange velocity once SWOT launches in late 2022. This in turn will be useful in mapping the global-scale spatiotemporal dynamics of fluvial gas exchange in large rivers.</w:t>
      </w:r>
    </w:p>
    <w:p w14:paraId="0A02E0E5" w14:textId="77777777" w:rsidR="001A2A89" w:rsidRDefault="00106551">
      <w:pPr>
        <w:pStyle w:val="Heading2"/>
      </w:pPr>
      <w:bookmarkStart w:id="24" w:name="acknowledgements"/>
      <w:bookmarkEnd w:id="23"/>
      <w:r>
        <w:t>6 Acknowledgements</w:t>
      </w:r>
    </w:p>
    <w:p w14:paraId="0A02E0E6" w14:textId="77777777" w:rsidR="001A2A89" w:rsidRDefault="00106551">
      <w:pPr>
        <w:pStyle w:val="FirstParagraph"/>
      </w:pPr>
      <w:r>
        <w:t>C.B. Brinkerhoff was funded by a NASA Future Investigators in Earth and Space Science Fellowship (80NSSC21K1591). C.J. Gleason was supported by a NASA SWOT Science Team grant (80NSSC20K1141). We thank Renato Frasson, Michael Durand, Amber Ulseth, and Jake Beaulieu for generously making their data available for this study. We also thank the entire SWOT discharge working group for their decade-plus body of work which inspired this study.</w:t>
      </w:r>
    </w:p>
    <w:p w14:paraId="0A02E0E7" w14:textId="77777777" w:rsidR="001A2A89" w:rsidRDefault="00106551">
      <w:pPr>
        <w:pStyle w:val="Heading2"/>
      </w:pPr>
      <w:bookmarkStart w:id="25" w:name="data-availability-statement"/>
      <w:bookmarkEnd w:id="24"/>
      <w:r>
        <w:lastRenderedPageBreak/>
        <w:t>7 Data availability statement</w:t>
      </w:r>
    </w:p>
    <w:p w14:paraId="0A02E0E8" w14:textId="77777777" w:rsidR="001A2A89" w:rsidRDefault="00106551" w:rsidP="003D7D31">
      <w:pPr>
        <w:pStyle w:val="FirstParagraph"/>
      </w:pPr>
      <w:r>
        <w:t>Datasets required for this research are available from Ulseth et al. (2019) (</w:t>
      </w:r>
      <w:hyperlink r:id="rId16">
        <w:r>
          <w:rPr>
            <w:rStyle w:val="Hyperlink"/>
          </w:rPr>
          <w:t>https://doi.org/10.1038/s41561-019-0324-8</w:t>
        </w:r>
      </w:hyperlink>
      <w:r>
        <w:t>), Brinkerhoff et al. (2019) (</w:t>
      </w:r>
      <w:hyperlink r:id="rId17">
        <w:r>
          <w:rPr>
            <w:rStyle w:val="Hyperlink"/>
          </w:rPr>
          <w:t>https://doi.org/10.1029/2019GL084529</w:t>
        </w:r>
      </w:hyperlink>
      <w:r>
        <w:t>), Frasson et al. (2021) (</w:t>
      </w:r>
      <w:hyperlink r:id="rId18">
        <w:r>
          <w:rPr>
            <w:rStyle w:val="Hyperlink"/>
          </w:rPr>
          <w:t>https://zenodo.org/record/3817817</w:t>
        </w:r>
      </w:hyperlink>
      <w:r>
        <w:t>), Churchill et al. (1964) (</w:t>
      </w:r>
      <w:hyperlink r:id="rId19">
        <w:r>
          <w:rPr>
            <w:rStyle w:val="Hyperlink"/>
          </w:rPr>
          <w:t>https://pubs.usgs.gov/pp/0737/report.pdf</w:t>
        </w:r>
      </w:hyperlink>
      <w:r>
        <w:t>), Owens et al. (1964) (</w:t>
      </w:r>
      <w:hyperlink r:id="rId20">
        <w:r>
          <w:rPr>
            <w:rStyle w:val="Hyperlink"/>
          </w:rPr>
          <w:t>https://pubs.usgs.gov/pp/0737/report.pdf</w:t>
        </w:r>
      </w:hyperlink>
      <w:r>
        <w:t>), Beaulieu et al. (2012) (</w:t>
      </w:r>
      <w:hyperlink r:id="rId21">
        <w:r>
          <w:rPr>
            <w:rStyle w:val="Hyperlink"/>
          </w:rPr>
          <w:t>https://doi.org/10.1029/2011JG001794</w:t>
        </w:r>
      </w:hyperlink>
      <w:r>
        <w:t>), and Durand et al. (2016) (</w:t>
      </w:r>
      <w:hyperlink r:id="rId22">
        <w:r>
          <w:rPr>
            <w:rStyle w:val="Hyperlink"/>
          </w:rPr>
          <w:t>https://doi.org/10.1002/2015WR018434</w:t>
        </w:r>
      </w:hyperlink>
      <w:r>
        <w:t xml:space="preserve">). All code to build and generate results and figures is archived at </w:t>
      </w:r>
      <w:hyperlink r:id="rId23">
        <w:r>
          <w:rPr>
            <w:rStyle w:val="Hyperlink"/>
          </w:rPr>
          <w:t>https://zenodo.org/record/6416069</w:t>
        </w:r>
      </w:hyperlink>
      <w:r>
        <w:t>.</w:t>
      </w:r>
    </w:p>
    <w:p w14:paraId="0A02E0E9" w14:textId="77777777" w:rsidR="001A2A89" w:rsidRDefault="00106551">
      <w:pPr>
        <w:pStyle w:val="Heading2"/>
      </w:pPr>
      <w:bookmarkStart w:id="26" w:name="software-availability-statement"/>
      <w:bookmarkEnd w:id="25"/>
      <w:r>
        <w:t>8 Software availability statement</w:t>
      </w:r>
    </w:p>
    <w:p w14:paraId="0A02E0EA" w14:textId="77777777" w:rsidR="001A2A89" w:rsidRDefault="00106551">
      <w:pPr>
        <w:pStyle w:val="FirstParagraph"/>
      </w:pPr>
      <w:r>
        <w:t xml:space="preserve">The BIKER algorithm remains in active development and is available at </w:t>
      </w:r>
      <w:hyperlink r:id="rId24">
        <w:r>
          <w:rPr>
            <w:rStyle w:val="Hyperlink"/>
          </w:rPr>
          <w:t>https://github.com/craigbrinkerhoff/BIKER</w:t>
        </w:r>
      </w:hyperlink>
      <w:r>
        <w:t xml:space="preserve">. The specific version of BIKER used in this study is archived at </w:t>
      </w:r>
      <w:hyperlink r:id="rId25">
        <w:r>
          <w:rPr>
            <w:rStyle w:val="Hyperlink"/>
          </w:rPr>
          <w:t>https://zenodo.org/record/6415434</w:t>
        </w:r>
      </w:hyperlink>
      <w:r>
        <w:t>.</w:t>
      </w:r>
    </w:p>
    <w:p w14:paraId="0A02E0EB" w14:textId="77777777" w:rsidR="001A2A89" w:rsidRDefault="00106551">
      <w:pPr>
        <w:pStyle w:val="Heading2"/>
      </w:pPr>
      <w:bookmarkStart w:id="27" w:name="apendix-a"/>
      <w:bookmarkEnd w:id="26"/>
      <w:r>
        <w:t>9 Apendix A</w:t>
      </w:r>
    </w:p>
    <w:p w14:paraId="0A02E0EC" w14:textId="77777777" w:rsidR="001A2A89" w:rsidRDefault="00106551">
      <w:pPr>
        <w:pStyle w:val="FirstParagraph"/>
      </w:pPr>
      <w:r>
        <w:rPr>
          <w:i/>
          <w:iCs/>
        </w:rPr>
        <w:t>Table A1: Variable description and notation for this study</w:t>
      </w:r>
    </w:p>
    <w:tbl>
      <w:tblPr>
        <w:tblW w:w="5000" w:type="pct"/>
        <w:tblLook w:val="0020" w:firstRow="1" w:lastRow="0" w:firstColumn="0" w:lastColumn="0" w:noHBand="0" w:noVBand="0"/>
      </w:tblPr>
      <w:tblGrid>
        <w:gridCol w:w="1446"/>
        <w:gridCol w:w="3735"/>
        <w:gridCol w:w="2415"/>
        <w:gridCol w:w="1764"/>
      </w:tblGrid>
      <w:tr w:rsidR="001A2A89" w14:paraId="0A02E0F1" w14:textId="77777777">
        <w:trPr>
          <w:tblHeader/>
        </w:trPr>
        <w:tc>
          <w:tcPr>
            <w:tcW w:w="0" w:type="auto"/>
          </w:tcPr>
          <w:p w14:paraId="0A02E0ED" w14:textId="77777777" w:rsidR="001A2A89" w:rsidRDefault="00106551">
            <w:pPr>
              <w:pStyle w:val="Compact"/>
              <w:jc w:val="left"/>
            </w:pPr>
            <w:r>
              <w:rPr>
                <w:b/>
                <w:bCs/>
              </w:rPr>
              <w:t>Notation</w:t>
            </w:r>
          </w:p>
        </w:tc>
        <w:tc>
          <w:tcPr>
            <w:tcW w:w="0" w:type="auto"/>
          </w:tcPr>
          <w:p w14:paraId="0A02E0EE" w14:textId="77777777" w:rsidR="001A2A89" w:rsidRDefault="00106551">
            <w:pPr>
              <w:pStyle w:val="Compact"/>
              <w:jc w:val="left"/>
            </w:pPr>
            <w:r>
              <w:rPr>
                <w:b/>
                <w:bCs/>
              </w:rPr>
              <w:t>Description</w:t>
            </w:r>
          </w:p>
        </w:tc>
        <w:tc>
          <w:tcPr>
            <w:tcW w:w="0" w:type="auto"/>
          </w:tcPr>
          <w:p w14:paraId="0A02E0EF" w14:textId="77777777" w:rsidR="001A2A89" w:rsidRDefault="00106551">
            <w:pPr>
              <w:pStyle w:val="Compact"/>
              <w:jc w:val="left"/>
            </w:pPr>
            <w:r>
              <w:rPr>
                <w:b/>
                <w:bCs/>
              </w:rPr>
              <w:t>Calculation (if not directly measured)</w:t>
            </w:r>
          </w:p>
        </w:tc>
        <w:tc>
          <w:tcPr>
            <w:tcW w:w="0" w:type="auto"/>
          </w:tcPr>
          <w:p w14:paraId="0A02E0F0" w14:textId="77777777" w:rsidR="001A2A89" w:rsidRDefault="00106551">
            <w:pPr>
              <w:pStyle w:val="Compact"/>
              <w:jc w:val="left"/>
            </w:pPr>
            <w:r>
              <w:rPr>
                <w:b/>
                <w:bCs/>
              </w:rPr>
              <w:t>Units</w:t>
            </w:r>
          </w:p>
        </w:tc>
      </w:tr>
      <w:tr w:rsidR="001A2A89" w14:paraId="0A02E0F6" w14:textId="77777777">
        <w:tc>
          <w:tcPr>
            <w:tcW w:w="0" w:type="auto"/>
          </w:tcPr>
          <w:p w14:paraId="0A02E0F2" w14:textId="77777777" w:rsidR="001A2A89" w:rsidRDefault="00106551">
            <w:pPr>
              <w:pStyle w:val="Compact"/>
              <w:jc w:val="left"/>
            </w:pPr>
            <m:oMathPara>
              <m:oMath>
                <m:r>
                  <w:rPr>
                    <w:rFonts w:ascii="Cambria Math" w:hAnsi="Cambria Math"/>
                  </w:rPr>
                  <m:t>A</m:t>
                </m:r>
              </m:oMath>
            </m:oMathPara>
          </w:p>
        </w:tc>
        <w:tc>
          <w:tcPr>
            <w:tcW w:w="0" w:type="auto"/>
          </w:tcPr>
          <w:p w14:paraId="0A02E0F3" w14:textId="77777777" w:rsidR="001A2A89" w:rsidRDefault="00106551">
            <w:pPr>
              <w:pStyle w:val="Compact"/>
              <w:jc w:val="left"/>
            </w:pPr>
            <w:r>
              <w:t>Channel cross-sectional area</w:t>
            </w:r>
          </w:p>
        </w:tc>
        <w:tc>
          <w:tcPr>
            <w:tcW w:w="0" w:type="auto"/>
          </w:tcPr>
          <w:p w14:paraId="0A02E0F4" w14:textId="77777777" w:rsidR="001A2A89" w:rsidRDefault="001A2A89">
            <w:pPr>
              <w:pStyle w:val="Compact"/>
            </w:pPr>
          </w:p>
        </w:tc>
        <w:tc>
          <w:tcPr>
            <w:tcW w:w="0" w:type="auto"/>
          </w:tcPr>
          <w:p w14:paraId="0A02E0F5" w14:textId="77777777" w:rsidR="001A2A89" w:rsidRDefault="00897893">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0FB" w14:textId="77777777">
        <w:tc>
          <w:tcPr>
            <w:tcW w:w="0" w:type="auto"/>
          </w:tcPr>
          <w:p w14:paraId="0A02E0F7" w14:textId="77777777" w:rsidR="001A2A89" w:rsidRDefault="00897893">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0A02E0F8" w14:textId="77777777" w:rsidR="001A2A89" w:rsidRDefault="00106551">
            <w:pPr>
              <w:pStyle w:val="Compact"/>
              <w:jc w:val="left"/>
            </w:pPr>
            <w:r>
              <w:t>Non-SWOT-observable cross-sectional area</w:t>
            </w:r>
          </w:p>
        </w:tc>
        <w:tc>
          <w:tcPr>
            <w:tcW w:w="0" w:type="auto"/>
          </w:tcPr>
          <w:p w14:paraId="0A02E0F9" w14:textId="77777777" w:rsidR="001A2A89" w:rsidRDefault="001A2A89">
            <w:pPr>
              <w:pStyle w:val="Compact"/>
            </w:pPr>
          </w:p>
        </w:tc>
        <w:tc>
          <w:tcPr>
            <w:tcW w:w="0" w:type="auto"/>
          </w:tcPr>
          <w:p w14:paraId="0A02E0FA" w14:textId="77777777" w:rsidR="001A2A89" w:rsidRDefault="00897893">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100" w14:textId="77777777">
        <w:tc>
          <w:tcPr>
            <w:tcW w:w="0" w:type="auto"/>
          </w:tcPr>
          <w:p w14:paraId="0A02E0FC" w14:textId="77777777" w:rsidR="001A2A89" w:rsidRDefault="00897893">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p</m:t>
                    </m:r>
                  </m:sub>
                </m:sSub>
              </m:oMath>
            </m:oMathPara>
          </w:p>
        </w:tc>
        <w:tc>
          <w:tcPr>
            <w:tcW w:w="0" w:type="auto"/>
          </w:tcPr>
          <w:p w14:paraId="0A02E0FD" w14:textId="77777777" w:rsidR="001A2A89" w:rsidRDefault="00106551">
            <w:pPr>
              <w:pStyle w:val="Compact"/>
              <w:jc w:val="left"/>
            </w:pPr>
            <w:r>
              <w:t>Active zone fraction (Moog &amp; Jirka 1999)</w:t>
            </w:r>
          </w:p>
        </w:tc>
        <w:tc>
          <w:tcPr>
            <w:tcW w:w="0" w:type="auto"/>
          </w:tcPr>
          <w:p w14:paraId="0A02E0FE" w14:textId="77777777" w:rsidR="001A2A89" w:rsidRDefault="00897893">
            <w:pPr>
              <w:pStyle w:val="Compact"/>
              <w:jc w:val="left"/>
            </w:pPr>
            <m:oMath>
              <m:sSub>
                <m:sSubPr>
                  <m:ctrlPr>
                    <w:rPr>
                      <w:rFonts w:ascii="Cambria Math" w:hAnsi="Cambria Math"/>
                    </w:rPr>
                  </m:ctrlPr>
                </m:sSubPr>
                <m:e>
                  <m:r>
                    <w:rPr>
                      <w:rFonts w:ascii="Cambria Math" w:hAnsi="Cambria Math"/>
                    </w:rPr>
                    <m:t>A</m:t>
                  </m:r>
                </m:e>
                <m:sub>
                  <m:r>
                    <w:rPr>
                      <w:rFonts w:ascii="Cambria Math" w:hAnsi="Cambria Math"/>
                    </w:rPr>
                    <m:t>p</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m:rPr>
                      <m:sty m:val="p"/>
                    </m:rPr>
                    <w:rPr>
                      <w:rFonts w:ascii="Cambria Math" w:hAnsi="Cambria Math"/>
                    </w:rPr>
                    <m:t>*</m:t>
                  </m:r>
                </m:sub>
                <m:sup>
                  <m:r>
                    <w:rPr>
                      <w:rFonts w:ascii="Cambria Math" w:hAnsi="Cambria Math"/>
                    </w:rPr>
                    <m:t>1</m:t>
                  </m:r>
                  <m:r>
                    <m:rPr>
                      <m:sty m:val="p"/>
                    </m:rPr>
                    <w:rPr>
                      <w:rFonts w:ascii="Cambria Math" w:hAnsi="Cambria Math"/>
                    </w:rPr>
                    <m:t>/</m:t>
                  </m:r>
                  <m:r>
                    <w:rPr>
                      <w:rFonts w:ascii="Cambria Math" w:hAnsi="Cambria Math"/>
                    </w:rPr>
                    <m:t>2</m:t>
                  </m:r>
                </m:sup>
              </m:sSubSup>
            </m:oMath>
            <w:r w:rsidR="00106551">
              <w:t>(Moog &amp; Jirka 1999)</w:t>
            </w:r>
          </w:p>
        </w:tc>
        <w:tc>
          <w:tcPr>
            <w:tcW w:w="0" w:type="auto"/>
          </w:tcPr>
          <w:p w14:paraId="0A02E0FF" w14:textId="77777777" w:rsidR="001A2A89" w:rsidRDefault="00106551">
            <w:pPr>
              <w:pStyle w:val="Compact"/>
              <w:jc w:val="left"/>
            </w:pPr>
            <m:oMathPara>
              <m:oMath>
                <m:r>
                  <w:rPr>
                    <w:rFonts w:ascii="Cambria Math" w:hAnsi="Cambria Math"/>
                  </w:rPr>
                  <m:t>dimensionless</m:t>
                </m:r>
              </m:oMath>
            </m:oMathPara>
          </w:p>
        </w:tc>
      </w:tr>
      <w:tr w:rsidR="001A2A89" w14:paraId="0A02E105" w14:textId="77777777">
        <w:tc>
          <w:tcPr>
            <w:tcW w:w="0" w:type="auto"/>
          </w:tcPr>
          <w:p w14:paraId="0A02E101" w14:textId="77777777" w:rsidR="001A2A89" w:rsidRDefault="00106551">
            <w:pPr>
              <w:pStyle w:val="Compact"/>
              <w:jc w:val="left"/>
            </w:pPr>
            <m:oMathPara>
              <m:oMath>
                <m:r>
                  <w:rPr>
                    <w:rFonts w:ascii="Cambria Math" w:hAnsi="Cambria Math"/>
                  </w:rPr>
                  <m:t>α</m:t>
                </m:r>
              </m:oMath>
            </m:oMathPara>
          </w:p>
        </w:tc>
        <w:tc>
          <w:tcPr>
            <w:tcW w:w="0" w:type="auto"/>
          </w:tcPr>
          <w:p w14:paraId="0A02E102" w14:textId="77777777" w:rsidR="001A2A89" w:rsidRDefault="00106551">
            <w:pPr>
              <w:pStyle w:val="Compact"/>
              <w:jc w:val="left"/>
            </w:pPr>
            <w:r>
              <w:t>Statistical parameter for Equation S5 scaling relation</w:t>
            </w:r>
          </w:p>
        </w:tc>
        <w:tc>
          <w:tcPr>
            <w:tcW w:w="0" w:type="auto"/>
          </w:tcPr>
          <w:p w14:paraId="0A02E103" w14:textId="77777777" w:rsidR="001A2A89" w:rsidRDefault="001A2A89">
            <w:pPr>
              <w:pStyle w:val="Compact"/>
            </w:pPr>
          </w:p>
        </w:tc>
        <w:tc>
          <w:tcPr>
            <w:tcW w:w="0" w:type="auto"/>
          </w:tcPr>
          <w:p w14:paraId="0A02E104" w14:textId="77777777" w:rsidR="001A2A89" w:rsidRDefault="00897893">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1A2A89" w14:paraId="0A02E10A" w14:textId="77777777">
        <w:tc>
          <w:tcPr>
            <w:tcW w:w="0" w:type="auto"/>
          </w:tcPr>
          <w:p w14:paraId="0A02E106" w14:textId="77777777" w:rsidR="001A2A89" w:rsidRDefault="00897893">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0A02E107" w14:textId="77777777" w:rsidR="001A2A89" w:rsidRDefault="00106551">
            <w:pPr>
              <w:pStyle w:val="Compact"/>
              <w:jc w:val="left"/>
            </w:pPr>
            <w:r>
              <w:t>Statistical parameter for Equation S7 scaling relation</w:t>
            </w:r>
          </w:p>
        </w:tc>
        <w:tc>
          <w:tcPr>
            <w:tcW w:w="0" w:type="auto"/>
          </w:tcPr>
          <w:p w14:paraId="0A02E108" w14:textId="77777777" w:rsidR="001A2A89" w:rsidRDefault="001A2A89">
            <w:pPr>
              <w:pStyle w:val="Compact"/>
            </w:pPr>
          </w:p>
        </w:tc>
        <w:tc>
          <w:tcPr>
            <w:tcW w:w="0" w:type="auto"/>
          </w:tcPr>
          <w:p w14:paraId="0A02E109" w14:textId="77777777" w:rsidR="001A2A89" w:rsidRDefault="00897893">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1A2A89" w14:paraId="0A02E10F" w14:textId="77777777">
        <w:tc>
          <w:tcPr>
            <w:tcW w:w="0" w:type="auto"/>
          </w:tcPr>
          <w:p w14:paraId="0A02E10B" w14:textId="77777777" w:rsidR="001A2A89" w:rsidRDefault="00106551">
            <w:pPr>
              <w:pStyle w:val="Compact"/>
              <w:jc w:val="left"/>
            </w:pPr>
            <m:oMathPara>
              <m:oMath>
                <m:r>
                  <w:rPr>
                    <w:rFonts w:ascii="Cambria Math" w:hAnsi="Cambria Math"/>
                  </w:rPr>
                  <m:t>β</m:t>
                </m:r>
              </m:oMath>
            </m:oMathPara>
          </w:p>
        </w:tc>
        <w:tc>
          <w:tcPr>
            <w:tcW w:w="0" w:type="auto"/>
          </w:tcPr>
          <w:p w14:paraId="0A02E10C" w14:textId="77777777" w:rsidR="001A2A89" w:rsidRDefault="00106551">
            <w:pPr>
              <w:pStyle w:val="Compact"/>
              <w:jc w:val="left"/>
            </w:pPr>
            <w:r>
              <w:t>Statistical parameter for Equation S13 scaling relation</w:t>
            </w:r>
          </w:p>
        </w:tc>
        <w:tc>
          <w:tcPr>
            <w:tcW w:w="0" w:type="auto"/>
          </w:tcPr>
          <w:p w14:paraId="0A02E10D" w14:textId="77777777" w:rsidR="001A2A89" w:rsidRDefault="001A2A89">
            <w:pPr>
              <w:pStyle w:val="Compact"/>
            </w:pPr>
          </w:p>
        </w:tc>
        <w:tc>
          <w:tcPr>
            <w:tcW w:w="0" w:type="auto"/>
          </w:tcPr>
          <w:p w14:paraId="0A02E10E" w14:textId="77777777" w:rsidR="001A2A89" w:rsidRDefault="00897893">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s</m:t>
                        </m:r>
                      </m:e>
                      <m:sup>
                        <m:r>
                          <w:rPr>
                            <w:rFonts w:ascii="Cambria Math" w:hAnsi="Cambria Math"/>
                          </w:rPr>
                          <m:t>9</m:t>
                        </m:r>
                        <m:r>
                          <m:rPr>
                            <m:sty m:val="p"/>
                          </m:rPr>
                          <w:rPr>
                            <w:rFonts w:ascii="Cambria Math" w:hAnsi="Cambria Math"/>
                          </w:rPr>
                          <m:t>/</m:t>
                        </m:r>
                        <m:r>
                          <w:rPr>
                            <w:rFonts w:ascii="Cambria Math" w:hAnsi="Cambria Math"/>
                          </w:rPr>
                          <m:t>8</m:t>
                        </m:r>
                      </m:sup>
                    </m:sSup>
                  </m:num>
                  <m:den>
                    <m:r>
                      <w:rPr>
                        <w:rFonts w:ascii="Cambria Math" w:hAnsi="Cambria Math"/>
                      </w:rPr>
                      <m:t>dy</m:t>
                    </m:r>
                  </m:den>
                </m:f>
              </m:oMath>
            </m:oMathPara>
          </w:p>
        </w:tc>
      </w:tr>
      <w:tr w:rsidR="001A2A89" w14:paraId="0A02E114" w14:textId="77777777">
        <w:tc>
          <w:tcPr>
            <w:tcW w:w="0" w:type="auto"/>
          </w:tcPr>
          <w:p w14:paraId="0A02E110" w14:textId="77777777" w:rsidR="001A2A89" w:rsidRDefault="00897893">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0A02E111" w14:textId="77777777" w:rsidR="001A2A89" w:rsidRDefault="00106551">
            <w:pPr>
              <w:pStyle w:val="Compact"/>
              <w:jc w:val="left"/>
            </w:pPr>
            <w:r>
              <w:t>Statistical parameter for Equation 7 scaling relation</w:t>
            </w:r>
          </w:p>
        </w:tc>
        <w:tc>
          <w:tcPr>
            <w:tcW w:w="0" w:type="auto"/>
          </w:tcPr>
          <w:p w14:paraId="0A02E112" w14:textId="77777777" w:rsidR="001A2A89" w:rsidRDefault="001A2A89">
            <w:pPr>
              <w:pStyle w:val="Compact"/>
            </w:pPr>
          </w:p>
        </w:tc>
        <w:tc>
          <w:tcPr>
            <w:tcW w:w="0" w:type="auto"/>
          </w:tcPr>
          <w:p w14:paraId="0A02E113" w14:textId="77777777" w:rsidR="001A2A89" w:rsidRDefault="00897893">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1A2A89" w14:paraId="0A02E119" w14:textId="77777777">
        <w:tc>
          <w:tcPr>
            <w:tcW w:w="0" w:type="auto"/>
          </w:tcPr>
          <w:p w14:paraId="0A02E115" w14:textId="77777777" w:rsidR="001A2A89" w:rsidRDefault="00106551">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m:oMathPara>
          </w:p>
        </w:tc>
        <w:tc>
          <w:tcPr>
            <w:tcW w:w="0" w:type="auto"/>
          </w:tcPr>
          <w:p w14:paraId="0A02E116" w14:textId="77777777" w:rsidR="001A2A89" w:rsidRDefault="00106551">
            <w:pPr>
              <w:pStyle w:val="Compact"/>
              <w:jc w:val="left"/>
            </w:pPr>
            <w:r>
              <w:t xml:space="preserve">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0A02E117" w14:textId="77777777" w:rsidR="001A2A89" w:rsidRDefault="001A2A89">
            <w:pPr>
              <w:pStyle w:val="Compact"/>
            </w:pPr>
          </w:p>
        </w:tc>
        <w:tc>
          <w:tcPr>
            <w:tcW w:w="0" w:type="auto"/>
          </w:tcPr>
          <w:p w14:paraId="0A02E118"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1E" w14:textId="77777777">
        <w:tc>
          <w:tcPr>
            <w:tcW w:w="0" w:type="auto"/>
          </w:tcPr>
          <w:p w14:paraId="0A02E11A" w14:textId="77777777" w:rsidR="001A2A89" w:rsidRDefault="00106551">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m:oMathPara>
          </w:p>
        </w:tc>
        <w:tc>
          <w:tcPr>
            <w:tcW w:w="0" w:type="auto"/>
          </w:tcPr>
          <w:p w14:paraId="0A02E11B" w14:textId="77777777" w:rsidR="001A2A89" w:rsidRDefault="00106551">
            <w:pPr>
              <w:pStyle w:val="Compact"/>
              <w:jc w:val="left"/>
            </w:pPr>
            <w:r>
              <w:t xml:space="preserve">Atmospheric-side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0A02E11C" w14:textId="77777777" w:rsidR="001A2A89" w:rsidRDefault="001A2A89">
            <w:pPr>
              <w:pStyle w:val="Compact"/>
            </w:pPr>
          </w:p>
        </w:tc>
        <w:tc>
          <w:tcPr>
            <w:tcW w:w="0" w:type="auto"/>
          </w:tcPr>
          <w:p w14:paraId="0A02E11D"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23" w14:textId="77777777">
        <w:tc>
          <w:tcPr>
            <w:tcW w:w="0" w:type="auto"/>
          </w:tcPr>
          <w:p w14:paraId="0A02E11F" w14:textId="77777777" w:rsidR="001A2A89" w:rsidRDefault="00106551">
            <w:pPr>
              <w:pStyle w:val="Compact"/>
              <w:jc w:val="left"/>
            </w:pPr>
            <m:oMathPara>
              <m:oMath>
                <m:r>
                  <w:rPr>
                    <w:rFonts w:ascii="Cambria Math" w:hAnsi="Cambria Math"/>
                  </w:rPr>
                  <m:t>dA</m:t>
                </m:r>
              </m:oMath>
            </m:oMathPara>
          </w:p>
        </w:tc>
        <w:tc>
          <w:tcPr>
            <w:tcW w:w="0" w:type="auto"/>
          </w:tcPr>
          <w:p w14:paraId="0A02E120" w14:textId="77777777" w:rsidR="001A2A89" w:rsidRDefault="00106551">
            <w:pPr>
              <w:pStyle w:val="Compact"/>
              <w:jc w:val="left"/>
            </w:pPr>
            <w:r>
              <w:t>change in cross-sectional area</w:t>
            </w:r>
          </w:p>
        </w:tc>
        <w:tc>
          <w:tcPr>
            <w:tcW w:w="0" w:type="auto"/>
          </w:tcPr>
          <w:p w14:paraId="0A02E121" w14:textId="77777777" w:rsidR="001A2A89" w:rsidRDefault="00106551">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0A02E122" w14:textId="77777777" w:rsidR="001A2A89" w:rsidRDefault="00897893">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28" w14:textId="77777777">
        <w:tc>
          <w:tcPr>
            <w:tcW w:w="0" w:type="auto"/>
          </w:tcPr>
          <w:p w14:paraId="0A02E124" w14:textId="77777777" w:rsidR="001A2A89" w:rsidRDefault="00897893">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0A02E125" w14:textId="77777777" w:rsidR="001A2A89" w:rsidRDefault="00106551">
            <w:pPr>
              <w:pStyle w:val="Compact"/>
              <w:jc w:val="left"/>
            </w:pPr>
            <w:r>
              <w:t>Molecular diffusion coefficient</w:t>
            </w:r>
          </w:p>
        </w:tc>
        <w:tc>
          <w:tcPr>
            <w:tcW w:w="0" w:type="auto"/>
          </w:tcPr>
          <w:p w14:paraId="0A02E126" w14:textId="77777777" w:rsidR="001A2A89" w:rsidRDefault="001A2A89">
            <w:pPr>
              <w:pStyle w:val="Compact"/>
            </w:pPr>
          </w:p>
        </w:tc>
        <w:tc>
          <w:tcPr>
            <w:tcW w:w="0" w:type="auto"/>
          </w:tcPr>
          <w:p w14:paraId="0A02E127"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1A2A89" w14:paraId="0A02E12D" w14:textId="77777777">
        <w:tc>
          <w:tcPr>
            <w:tcW w:w="0" w:type="auto"/>
          </w:tcPr>
          <w:p w14:paraId="0A02E129" w14:textId="77777777" w:rsidR="001A2A89" w:rsidRDefault="00106551">
            <w:pPr>
              <w:pStyle w:val="Compact"/>
              <w:jc w:val="left"/>
            </w:pPr>
            <m:oMathPara>
              <m:oMath>
                <m:r>
                  <w:rPr>
                    <w:rFonts w:ascii="Cambria Math" w:hAnsi="Cambria Math"/>
                  </w:rPr>
                  <m:t>ϵ</m:t>
                </m:r>
              </m:oMath>
            </m:oMathPara>
          </w:p>
        </w:tc>
        <w:tc>
          <w:tcPr>
            <w:tcW w:w="0" w:type="auto"/>
          </w:tcPr>
          <w:p w14:paraId="0A02E12A" w14:textId="77777777" w:rsidR="001A2A89" w:rsidRDefault="00106551">
            <w:pPr>
              <w:pStyle w:val="Compact"/>
              <w:jc w:val="left"/>
            </w:pPr>
            <w:r>
              <w:t>Dissipation rate of near-surface turbulence</w:t>
            </w:r>
          </w:p>
        </w:tc>
        <w:tc>
          <w:tcPr>
            <w:tcW w:w="0" w:type="auto"/>
          </w:tcPr>
          <w:p w14:paraId="0A02E12B" w14:textId="77777777" w:rsidR="001A2A89" w:rsidRDefault="001A2A89">
            <w:pPr>
              <w:pStyle w:val="Compact"/>
            </w:pPr>
          </w:p>
        </w:tc>
        <w:tc>
          <w:tcPr>
            <w:tcW w:w="0" w:type="auto"/>
          </w:tcPr>
          <w:p w14:paraId="0A02E12C"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2" w14:textId="77777777">
        <w:tc>
          <w:tcPr>
            <w:tcW w:w="0" w:type="auto"/>
          </w:tcPr>
          <w:p w14:paraId="0A02E12E" w14:textId="77777777" w:rsidR="001A2A89" w:rsidRDefault="00897893">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0A02E12F" w14:textId="77777777" w:rsidR="001A2A89" w:rsidRDefault="00106551">
            <w:pPr>
              <w:pStyle w:val="Compact"/>
              <w:jc w:val="left"/>
            </w:pPr>
            <w:r>
              <w:t xml:space="preserve">log-law-of-the-wall model for </w:t>
            </w:r>
            <m:oMath>
              <m:r>
                <w:rPr>
                  <w:rFonts w:ascii="Cambria Math" w:hAnsi="Cambria Math"/>
                </w:rPr>
                <m:t>ϵ</m:t>
              </m:r>
            </m:oMath>
          </w:p>
        </w:tc>
        <w:tc>
          <w:tcPr>
            <w:tcW w:w="0" w:type="auto"/>
          </w:tcPr>
          <w:p w14:paraId="0A02E130" w14:textId="77777777" w:rsidR="001A2A89" w:rsidRDefault="00897893">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0A02E131"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7" w14:textId="77777777">
        <w:tc>
          <w:tcPr>
            <w:tcW w:w="0" w:type="auto"/>
          </w:tcPr>
          <w:p w14:paraId="0A02E133" w14:textId="77777777" w:rsidR="001A2A89" w:rsidRDefault="00897893">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0A02E134" w14:textId="77777777" w:rsidR="001A2A89" w:rsidRDefault="00106551">
            <w:pPr>
              <w:pStyle w:val="Compact"/>
              <w:jc w:val="left"/>
            </w:pPr>
            <w:r>
              <w:t xml:space="preserve">Form-drag model for </w:t>
            </w:r>
            <m:oMath>
              <m:r>
                <w:rPr>
                  <w:rFonts w:ascii="Cambria Math" w:hAnsi="Cambria Math"/>
                </w:rPr>
                <m:t>ϵ</m:t>
              </m:r>
            </m:oMath>
          </w:p>
        </w:tc>
        <w:tc>
          <w:tcPr>
            <w:tcW w:w="0" w:type="auto"/>
          </w:tcPr>
          <w:p w14:paraId="0A02E135" w14:textId="77777777" w:rsidR="001A2A89" w:rsidRDefault="00106551">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0A02E136"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C" w14:textId="77777777">
        <w:tc>
          <w:tcPr>
            <w:tcW w:w="0" w:type="auto"/>
          </w:tcPr>
          <w:p w14:paraId="0A02E138" w14:textId="77777777" w:rsidR="001A2A89" w:rsidRDefault="00106551">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14:paraId="0A02E139" w14:textId="77777777" w:rsidR="001A2A89" w:rsidRDefault="00106551">
            <w:pPr>
              <w:pStyle w:val="Compact"/>
              <w:jc w:val="left"/>
            </w:pP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0A02E13A" w14:textId="77777777" w:rsidR="001A2A89" w:rsidRDefault="001A2A89">
            <w:pPr>
              <w:pStyle w:val="Compact"/>
            </w:pPr>
          </w:p>
        </w:tc>
        <w:tc>
          <w:tcPr>
            <w:tcW w:w="0" w:type="auto"/>
          </w:tcPr>
          <w:p w14:paraId="0A02E13B"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1A2A89" w14:paraId="0A02E141" w14:textId="77777777">
        <w:tc>
          <w:tcPr>
            <w:tcW w:w="0" w:type="auto"/>
          </w:tcPr>
          <w:p w14:paraId="0A02E13D" w14:textId="77777777" w:rsidR="001A2A89" w:rsidRDefault="00106551">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m:oMathPara>
          </w:p>
        </w:tc>
        <w:tc>
          <w:tcPr>
            <w:tcW w:w="0" w:type="auto"/>
          </w:tcPr>
          <w:p w14:paraId="0A02E13E" w14:textId="77777777" w:rsidR="001A2A89" w:rsidRDefault="00106551">
            <w:pPr>
              <w:pStyle w:val="Compact"/>
              <w:jc w:val="left"/>
            </w:pPr>
            <w:r>
              <w:t xml:space="preserve">Upscaling estimate of the global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0A02E13F" w14:textId="77777777" w:rsidR="001A2A89" w:rsidRDefault="001A2A89">
            <w:pPr>
              <w:pStyle w:val="Compact"/>
            </w:pPr>
          </w:p>
        </w:tc>
        <w:tc>
          <w:tcPr>
            <w:tcW w:w="0" w:type="auto"/>
          </w:tcPr>
          <w:p w14:paraId="0A02E140"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1A2A89" w14:paraId="0A02E146" w14:textId="77777777">
        <w:tc>
          <w:tcPr>
            <w:tcW w:w="0" w:type="auto"/>
          </w:tcPr>
          <w:p w14:paraId="0A02E142" w14:textId="77777777" w:rsidR="001A2A89" w:rsidRDefault="00106551">
            <w:pPr>
              <w:pStyle w:val="Compact"/>
              <w:jc w:val="left"/>
            </w:pPr>
            <m:oMathPara>
              <m:oMath>
                <m:r>
                  <w:rPr>
                    <w:rFonts w:ascii="Cambria Math" w:hAnsi="Cambria Math"/>
                  </w:rPr>
                  <m:t>g</m:t>
                </m:r>
              </m:oMath>
            </m:oMathPara>
          </w:p>
        </w:tc>
        <w:tc>
          <w:tcPr>
            <w:tcW w:w="0" w:type="auto"/>
          </w:tcPr>
          <w:p w14:paraId="0A02E143" w14:textId="77777777" w:rsidR="001A2A89" w:rsidRDefault="00106551">
            <w:pPr>
              <w:pStyle w:val="Compact"/>
              <w:jc w:val="left"/>
            </w:pPr>
            <w:r>
              <w:t>gravitational acceleration</w:t>
            </w:r>
          </w:p>
        </w:tc>
        <w:tc>
          <w:tcPr>
            <w:tcW w:w="0" w:type="auto"/>
          </w:tcPr>
          <w:p w14:paraId="0A02E144" w14:textId="77777777" w:rsidR="001A2A89" w:rsidRDefault="00106551">
            <w:pPr>
              <w:pStyle w:val="Compact"/>
              <w:jc w:val="left"/>
            </w:pPr>
            <w:r>
              <w:t>9.8</w:t>
            </w:r>
          </w:p>
        </w:tc>
        <w:tc>
          <w:tcPr>
            <w:tcW w:w="0" w:type="auto"/>
          </w:tcPr>
          <w:p w14:paraId="0A02E145"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1A2A89" w14:paraId="0A02E14B" w14:textId="77777777">
        <w:tc>
          <w:tcPr>
            <w:tcW w:w="0" w:type="auto"/>
          </w:tcPr>
          <w:p w14:paraId="0A02E147" w14:textId="77777777" w:rsidR="001A2A89" w:rsidRDefault="00106551">
            <w:pPr>
              <w:pStyle w:val="Compact"/>
              <w:jc w:val="left"/>
            </w:pPr>
            <m:oMathPara>
              <m:oMath>
                <m:r>
                  <w:rPr>
                    <w:rFonts w:ascii="Cambria Math" w:hAnsi="Cambria Math"/>
                  </w:rPr>
                  <m:t>H</m:t>
                </m:r>
              </m:oMath>
            </m:oMathPara>
          </w:p>
        </w:tc>
        <w:tc>
          <w:tcPr>
            <w:tcW w:w="0" w:type="auto"/>
          </w:tcPr>
          <w:p w14:paraId="0A02E148" w14:textId="77777777" w:rsidR="001A2A89" w:rsidRDefault="00106551">
            <w:pPr>
              <w:pStyle w:val="Compact"/>
              <w:jc w:val="left"/>
            </w:pPr>
            <w:r>
              <w:t>Mean flow depth</w:t>
            </w:r>
          </w:p>
        </w:tc>
        <w:tc>
          <w:tcPr>
            <w:tcW w:w="0" w:type="auto"/>
          </w:tcPr>
          <w:p w14:paraId="0A02E149" w14:textId="77777777" w:rsidR="001A2A89" w:rsidRDefault="00897893">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0A02E14A" w14:textId="77777777" w:rsidR="001A2A89" w:rsidRDefault="00897893">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50" w14:textId="77777777">
        <w:tc>
          <w:tcPr>
            <w:tcW w:w="0" w:type="auto"/>
          </w:tcPr>
          <w:p w14:paraId="0A02E14C" w14:textId="77777777" w:rsidR="001A2A89" w:rsidRDefault="00897893">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0A02E14D" w14:textId="77777777" w:rsidR="001A2A89" w:rsidRDefault="00106551">
            <w:pPr>
              <w:pStyle w:val="Compact"/>
              <w:jc w:val="left"/>
            </w:pPr>
            <w:r>
              <w:t>Water surface elevation</w:t>
            </w:r>
          </w:p>
        </w:tc>
        <w:tc>
          <w:tcPr>
            <w:tcW w:w="0" w:type="auto"/>
          </w:tcPr>
          <w:p w14:paraId="0A02E14E" w14:textId="77777777" w:rsidR="001A2A89" w:rsidRDefault="001A2A89">
            <w:pPr>
              <w:pStyle w:val="Compact"/>
            </w:pPr>
          </w:p>
        </w:tc>
        <w:tc>
          <w:tcPr>
            <w:tcW w:w="0" w:type="auto"/>
          </w:tcPr>
          <w:p w14:paraId="0A02E14F" w14:textId="77777777" w:rsidR="001A2A89" w:rsidRDefault="00897893">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55" w14:textId="77777777">
        <w:tc>
          <w:tcPr>
            <w:tcW w:w="0" w:type="auto"/>
          </w:tcPr>
          <w:p w14:paraId="0A02E151" w14:textId="77777777" w:rsidR="001A2A89" w:rsidRDefault="00106551">
            <w:pPr>
              <w:pStyle w:val="Compact"/>
              <w:jc w:val="left"/>
            </w:pPr>
            <m:oMathPara>
              <m:oMath>
                <m:r>
                  <w:rPr>
                    <w:rFonts w:ascii="Cambria Math" w:hAnsi="Cambria Math"/>
                  </w:rPr>
                  <w:lastRenderedPageBreak/>
                  <m:t>i</m:t>
                </m:r>
              </m:oMath>
            </m:oMathPara>
          </w:p>
        </w:tc>
        <w:tc>
          <w:tcPr>
            <w:tcW w:w="0" w:type="auto"/>
          </w:tcPr>
          <w:p w14:paraId="0A02E152" w14:textId="77777777" w:rsidR="001A2A89" w:rsidRDefault="00106551">
            <w:pPr>
              <w:pStyle w:val="Compact"/>
              <w:jc w:val="left"/>
            </w:pPr>
            <w:r>
              <w:t>Cross-section discretization within a mass-conserved river reach</w:t>
            </w:r>
          </w:p>
        </w:tc>
        <w:tc>
          <w:tcPr>
            <w:tcW w:w="0" w:type="auto"/>
          </w:tcPr>
          <w:p w14:paraId="0A02E153" w14:textId="77777777" w:rsidR="001A2A89" w:rsidRDefault="001A2A89">
            <w:pPr>
              <w:pStyle w:val="Compact"/>
            </w:pPr>
          </w:p>
        </w:tc>
        <w:tc>
          <w:tcPr>
            <w:tcW w:w="0" w:type="auto"/>
          </w:tcPr>
          <w:p w14:paraId="0A02E154" w14:textId="77777777" w:rsidR="001A2A89" w:rsidRDefault="001A2A89">
            <w:pPr>
              <w:pStyle w:val="Compact"/>
            </w:pPr>
          </w:p>
        </w:tc>
      </w:tr>
      <w:tr w:rsidR="001A2A89" w14:paraId="0A02E15A" w14:textId="77777777">
        <w:tc>
          <w:tcPr>
            <w:tcW w:w="0" w:type="auto"/>
          </w:tcPr>
          <w:p w14:paraId="0A02E156" w14:textId="77777777" w:rsidR="001A2A89" w:rsidRDefault="00106551">
            <w:pPr>
              <w:pStyle w:val="Compact"/>
              <w:jc w:val="left"/>
            </w:pPr>
            <m:oMathPara>
              <m:oMath>
                <m:r>
                  <w:rPr>
                    <w:rFonts w:ascii="Cambria Math" w:hAnsi="Cambria Math"/>
                  </w:rPr>
                  <m:t>k</m:t>
                </m:r>
              </m:oMath>
            </m:oMathPara>
          </w:p>
        </w:tc>
        <w:tc>
          <w:tcPr>
            <w:tcW w:w="0" w:type="auto"/>
          </w:tcPr>
          <w:p w14:paraId="0A02E157" w14:textId="77777777" w:rsidR="001A2A89" w:rsidRDefault="00106551">
            <w:pPr>
              <w:pStyle w:val="Compact"/>
              <w:jc w:val="left"/>
            </w:pPr>
            <w:r>
              <w:t>gas exchange velocity</w:t>
            </w:r>
          </w:p>
        </w:tc>
        <w:tc>
          <w:tcPr>
            <w:tcW w:w="0" w:type="auto"/>
          </w:tcPr>
          <w:p w14:paraId="0A02E158" w14:textId="77777777" w:rsidR="001A2A89" w:rsidRDefault="001A2A89">
            <w:pPr>
              <w:pStyle w:val="Compact"/>
            </w:pPr>
          </w:p>
        </w:tc>
        <w:tc>
          <w:tcPr>
            <w:tcW w:w="0" w:type="auto"/>
          </w:tcPr>
          <w:p w14:paraId="0A02E159"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5F" w14:textId="77777777">
        <w:tc>
          <w:tcPr>
            <w:tcW w:w="0" w:type="auto"/>
          </w:tcPr>
          <w:p w14:paraId="0A02E15B" w14:textId="77777777" w:rsidR="001A2A89" w:rsidRDefault="00897893">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0A02E15C" w14:textId="77777777" w:rsidR="001A2A89" w:rsidRDefault="00106551">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0A02E15D" w14:textId="77777777" w:rsidR="001A2A89" w:rsidRDefault="00897893">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0A02E15E"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64" w14:textId="77777777">
        <w:tc>
          <w:tcPr>
            <w:tcW w:w="0" w:type="auto"/>
          </w:tcPr>
          <w:p w14:paraId="0A02E160" w14:textId="77777777" w:rsidR="001A2A89" w:rsidRDefault="00106551">
            <w:pPr>
              <w:pStyle w:val="Compact"/>
              <w:jc w:val="left"/>
            </w:pPr>
            <m:oMathPara>
              <m:oMath>
                <m:r>
                  <w:rPr>
                    <w:rFonts w:ascii="Cambria Math" w:hAnsi="Cambria Math"/>
                  </w:rPr>
                  <m:t>n</m:t>
                </m:r>
              </m:oMath>
            </m:oMathPara>
          </w:p>
        </w:tc>
        <w:tc>
          <w:tcPr>
            <w:tcW w:w="0" w:type="auto"/>
          </w:tcPr>
          <w:p w14:paraId="0A02E161" w14:textId="77777777" w:rsidR="001A2A89" w:rsidRDefault="00106551">
            <w:pPr>
              <w:pStyle w:val="Compact"/>
              <w:jc w:val="left"/>
            </w:pPr>
            <w:r>
              <w:t>Manning’s roughness coefficient</w:t>
            </w:r>
          </w:p>
        </w:tc>
        <w:tc>
          <w:tcPr>
            <w:tcW w:w="0" w:type="auto"/>
          </w:tcPr>
          <w:p w14:paraId="0A02E162" w14:textId="77777777" w:rsidR="001A2A89" w:rsidRDefault="00897893">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0A02E163"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69" w14:textId="77777777">
        <w:tc>
          <w:tcPr>
            <w:tcW w:w="0" w:type="auto"/>
          </w:tcPr>
          <w:p w14:paraId="0A02E165" w14:textId="77777777" w:rsidR="001A2A89" w:rsidRDefault="00106551">
            <w:pPr>
              <w:pStyle w:val="Compact"/>
              <w:jc w:val="left"/>
            </w:pPr>
            <m:oMathPara>
              <m:oMath>
                <m:r>
                  <m:rPr>
                    <m:sty m:val="p"/>
                  </m:rPr>
                  <w:rPr>
                    <w:rFonts w:ascii="Cambria Math" w:hAnsi="Cambria Math"/>
                  </w:rPr>
                  <m:t>ρ</m:t>
                </m:r>
              </m:oMath>
            </m:oMathPara>
          </w:p>
        </w:tc>
        <w:tc>
          <w:tcPr>
            <w:tcW w:w="0" w:type="auto"/>
          </w:tcPr>
          <w:p w14:paraId="0A02E166" w14:textId="77777777" w:rsidR="001A2A89" w:rsidRDefault="00106551">
            <w:pPr>
              <w:pStyle w:val="Compact"/>
              <w:jc w:val="left"/>
            </w:pPr>
            <w:r>
              <w:t>Density of water</w:t>
            </w:r>
          </w:p>
        </w:tc>
        <w:tc>
          <w:tcPr>
            <w:tcW w:w="0" w:type="auto"/>
          </w:tcPr>
          <w:p w14:paraId="0A02E167" w14:textId="77777777" w:rsidR="001A2A89" w:rsidRDefault="001A2A89">
            <w:pPr>
              <w:pStyle w:val="Compact"/>
            </w:pPr>
          </w:p>
        </w:tc>
        <w:tc>
          <w:tcPr>
            <w:tcW w:w="0" w:type="auto"/>
          </w:tcPr>
          <w:p w14:paraId="0A02E168"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1A2A89" w14:paraId="0A02E16E" w14:textId="77777777">
        <w:tc>
          <w:tcPr>
            <w:tcW w:w="0" w:type="auto"/>
          </w:tcPr>
          <w:p w14:paraId="0A02E16A" w14:textId="77777777" w:rsidR="001A2A89" w:rsidRDefault="00106551">
            <w:pPr>
              <w:pStyle w:val="Compact"/>
              <w:jc w:val="left"/>
            </w:pPr>
            <m:oMathPara>
              <m:oMath>
                <m:r>
                  <w:rPr>
                    <w:rFonts w:ascii="Cambria Math" w:hAnsi="Cambria Math"/>
                  </w:rPr>
                  <m:t>Q</m:t>
                </m:r>
              </m:oMath>
            </m:oMathPara>
          </w:p>
        </w:tc>
        <w:tc>
          <w:tcPr>
            <w:tcW w:w="0" w:type="auto"/>
          </w:tcPr>
          <w:p w14:paraId="0A02E16B" w14:textId="77777777" w:rsidR="001A2A89" w:rsidRDefault="00106551">
            <w:pPr>
              <w:pStyle w:val="Compact"/>
              <w:jc w:val="left"/>
            </w:pPr>
            <w:r>
              <w:t>River discharge</w:t>
            </w:r>
          </w:p>
        </w:tc>
        <w:tc>
          <w:tcPr>
            <w:tcW w:w="0" w:type="auto"/>
          </w:tcPr>
          <w:p w14:paraId="0A02E16C" w14:textId="77777777" w:rsidR="001A2A89" w:rsidRDefault="00106551">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0A02E16D" w14:textId="77777777" w:rsidR="001A2A89" w:rsidRDefault="00897893">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1A2A89" w14:paraId="0A02E173" w14:textId="77777777">
        <w:tc>
          <w:tcPr>
            <w:tcW w:w="0" w:type="auto"/>
          </w:tcPr>
          <w:p w14:paraId="0A02E16F" w14:textId="77777777" w:rsidR="001A2A89" w:rsidRDefault="00897893">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0A02E170" w14:textId="77777777" w:rsidR="001A2A89" w:rsidRDefault="00106551">
            <w:pPr>
              <w:pStyle w:val="Compact"/>
              <w:jc w:val="left"/>
            </w:pPr>
            <w:r>
              <w:t>Hydraulic radius</w:t>
            </w:r>
          </w:p>
        </w:tc>
        <w:tc>
          <w:tcPr>
            <w:tcW w:w="0" w:type="auto"/>
          </w:tcPr>
          <w:p w14:paraId="0A02E171" w14:textId="77777777" w:rsidR="001A2A89" w:rsidRDefault="00897893">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0A02E172" w14:textId="77777777" w:rsidR="001A2A89" w:rsidRDefault="00897893">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78" w14:textId="77777777">
        <w:tc>
          <w:tcPr>
            <w:tcW w:w="0" w:type="auto"/>
          </w:tcPr>
          <w:p w14:paraId="0A02E174" w14:textId="77777777" w:rsidR="001A2A89" w:rsidRDefault="00106551">
            <w:pPr>
              <w:pStyle w:val="Compact"/>
              <w:jc w:val="left"/>
            </w:pPr>
            <m:oMathPara>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8</m:t>
                    </m:r>
                  </m:sub>
                </m:sSub>
              </m:oMath>
            </m:oMathPara>
          </w:p>
        </w:tc>
        <w:tc>
          <w:tcPr>
            <w:tcW w:w="0" w:type="auto"/>
          </w:tcPr>
          <w:p w14:paraId="0A02E175" w14:textId="77777777" w:rsidR="001A2A89" w:rsidRDefault="00106551">
            <w:pPr>
              <w:pStyle w:val="Compact"/>
              <w:jc w:val="left"/>
            </w:pPr>
            <w:r>
              <w:t>Shear Reynold’s numbers</w:t>
            </w:r>
          </w:p>
        </w:tc>
        <w:tc>
          <w:tcPr>
            <w:tcW w:w="0" w:type="auto"/>
          </w:tcPr>
          <w:p w14:paraId="0A02E176" w14:textId="77777777" w:rsidR="001A2A89" w:rsidRDefault="00897893">
            <w:pPr>
              <w:pStyle w:val="Compact"/>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oMath>
            </m:oMathPara>
          </w:p>
        </w:tc>
        <w:tc>
          <w:tcPr>
            <w:tcW w:w="0" w:type="auto"/>
          </w:tcPr>
          <w:p w14:paraId="0A02E177" w14:textId="77777777" w:rsidR="001A2A89" w:rsidRDefault="00106551">
            <w:pPr>
              <w:pStyle w:val="Compact"/>
              <w:jc w:val="left"/>
            </w:pPr>
            <m:oMathPara>
              <m:oMath>
                <m:r>
                  <w:rPr>
                    <w:rFonts w:ascii="Cambria Math" w:hAnsi="Cambria Math"/>
                  </w:rPr>
                  <m:t>dimensionless</m:t>
                </m:r>
              </m:oMath>
            </m:oMathPara>
          </w:p>
        </w:tc>
      </w:tr>
      <w:tr w:rsidR="001A2A89" w14:paraId="0A02E17D" w14:textId="77777777">
        <w:tc>
          <w:tcPr>
            <w:tcW w:w="0" w:type="auto"/>
          </w:tcPr>
          <w:p w14:paraId="0A02E179" w14:textId="77777777" w:rsidR="001A2A89" w:rsidRDefault="00106551">
            <w:pPr>
              <w:pStyle w:val="Compact"/>
              <w:jc w:val="left"/>
            </w:pPr>
            <m:oMathPara>
              <m:oMath>
                <m:r>
                  <w:rPr>
                    <w:rFonts w:ascii="Cambria Math" w:hAnsi="Cambria Math"/>
                  </w:rPr>
                  <m:t>S</m:t>
                </m:r>
              </m:oMath>
            </m:oMathPara>
          </w:p>
        </w:tc>
        <w:tc>
          <w:tcPr>
            <w:tcW w:w="0" w:type="auto"/>
          </w:tcPr>
          <w:p w14:paraId="0A02E17A" w14:textId="77777777" w:rsidR="001A2A89" w:rsidRDefault="00106551">
            <w:pPr>
              <w:pStyle w:val="Compact"/>
              <w:jc w:val="left"/>
            </w:pPr>
            <w:r>
              <w:t>River slope</w:t>
            </w:r>
          </w:p>
        </w:tc>
        <w:tc>
          <w:tcPr>
            <w:tcW w:w="0" w:type="auto"/>
          </w:tcPr>
          <w:p w14:paraId="0A02E17B" w14:textId="77777777" w:rsidR="001A2A89" w:rsidRDefault="001A2A89">
            <w:pPr>
              <w:pStyle w:val="Compact"/>
            </w:pPr>
          </w:p>
        </w:tc>
        <w:tc>
          <w:tcPr>
            <w:tcW w:w="0" w:type="auto"/>
          </w:tcPr>
          <w:p w14:paraId="0A02E17C" w14:textId="77777777" w:rsidR="001A2A89" w:rsidRDefault="00106551">
            <w:pPr>
              <w:pStyle w:val="Compact"/>
              <w:jc w:val="left"/>
            </w:pPr>
            <m:oMathPara>
              <m:oMath>
                <m:r>
                  <w:rPr>
                    <w:rFonts w:ascii="Cambria Math" w:hAnsi="Cambria Math"/>
                  </w:rPr>
                  <m:t>dimensionless</m:t>
                </m:r>
              </m:oMath>
            </m:oMathPara>
          </w:p>
        </w:tc>
      </w:tr>
      <w:tr w:rsidR="001A2A89" w14:paraId="0A02E182" w14:textId="77777777">
        <w:tc>
          <w:tcPr>
            <w:tcW w:w="0" w:type="auto"/>
          </w:tcPr>
          <w:p w14:paraId="0A02E17E" w14:textId="77777777" w:rsidR="001A2A89" w:rsidRDefault="00106551">
            <w:pPr>
              <w:pStyle w:val="Compact"/>
              <w:jc w:val="left"/>
            </w:pPr>
            <m:oMathPara>
              <m:oMath>
                <m:r>
                  <w:rPr>
                    <w:rFonts w:ascii="Cambria Math" w:hAnsi="Cambria Math"/>
                  </w:rPr>
                  <m:t>Sc</m:t>
                </m:r>
              </m:oMath>
            </m:oMathPara>
          </w:p>
        </w:tc>
        <w:tc>
          <w:tcPr>
            <w:tcW w:w="0" w:type="auto"/>
          </w:tcPr>
          <w:p w14:paraId="0A02E17F" w14:textId="77777777" w:rsidR="001A2A89" w:rsidRDefault="00106551">
            <w:pPr>
              <w:pStyle w:val="Compact"/>
              <w:jc w:val="left"/>
            </w:pPr>
            <w:r>
              <w:t>Schmidt number</w:t>
            </w:r>
          </w:p>
        </w:tc>
        <w:tc>
          <w:tcPr>
            <w:tcW w:w="0" w:type="auto"/>
          </w:tcPr>
          <w:p w14:paraId="0A02E180" w14:textId="77777777" w:rsidR="001A2A89" w:rsidRDefault="00897893">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0A02E181" w14:textId="77777777" w:rsidR="001A2A89" w:rsidRDefault="001A2A89">
            <w:pPr>
              <w:pStyle w:val="Compact"/>
            </w:pPr>
          </w:p>
        </w:tc>
      </w:tr>
      <w:tr w:rsidR="001A2A89" w14:paraId="0A02E187" w14:textId="77777777">
        <w:tc>
          <w:tcPr>
            <w:tcW w:w="0" w:type="auto"/>
          </w:tcPr>
          <w:p w14:paraId="0A02E183" w14:textId="77777777" w:rsidR="001A2A89" w:rsidRDefault="00106551">
            <w:pPr>
              <w:pStyle w:val="Compact"/>
              <w:jc w:val="left"/>
            </w:pPr>
            <m:oMathPara>
              <m:oMath>
                <m:r>
                  <w:rPr>
                    <w:rFonts w:ascii="Cambria Math" w:hAnsi="Cambria Math"/>
                  </w:rPr>
                  <m:t>t</m:t>
                </m:r>
              </m:oMath>
            </m:oMathPara>
          </w:p>
        </w:tc>
        <w:tc>
          <w:tcPr>
            <w:tcW w:w="0" w:type="auto"/>
          </w:tcPr>
          <w:p w14:paraId="0A02E184" w14:textId="77777777" w:rsidR="001A2A89" w:rsidRDefault="00106551">
            <w:pPr>
              <w:pStyle w:val="Compact"/>
              <w:jc w:val="left"/>
            </w:pPr>
            <w:r>
              <w:t>timestep discretization within river reach</w:t>
            </w:r>
          </w:p>
        </w:tc>
        <w:tc>
          <w:tcPr>
            <w:tcW w:w="0" w:type="auto"/>
          </w:tcPr>
          <w:p w14:paraId="0A02E185" w14:textId="77777777" w:rsidR="001A2A89" w:rsidRDefault="001A2A89">
            <w:pPr>
              <w:pStyle w:val="Compact"/>
            </w:pPr>
          </w:p>
        </w:tc>
        <w:tc>
          <w:tcPr>
            <w:tcW w:w="0" w:type="auto"/>
          </w:tcPr>
          <w:p w14:paraId="0A02E186" w14:textId="77777777" w:rsidR="001A2A89" w:rsidRDefault="001A2A89">
            <w:pPr>
              <w:pStyle w:val="Compact"/>
            </w:pPr>
          </w:p>
        </w:tc>
      </w:tr>
      <w:tr w:rsidR="001A2A89" w14:paraId="0A02E18C" w14:textId="77777777">
        <w:tc>
          <w:tcPr>
            <w:tcW w:w="0" w:type="auto"/>
          </w:tcPr>
          <w:p w14:paraId="0A02E188" w14:textId="77777777" w:rsidR="001A2A89" w:rsidRDefault="00106551">
            <w:pPr>
              <w:pStyle w:val="Compact"/>
              <w:jc w:val="left"/>
            </w:pPr>
            <m:oMathPara>
              <m:oMath>
                <m:r>
                  <w:rPr>
                    <w:rFonts w:ascii="Cambria Math" w:hAnsi="Cambria Math"/>
                  </w:rPr>
                  <m:t>Θ</m:t>
                </m:r>
              </m:oMath>
            </m:oMathPara>
          </w:p>
        </w:tc>
        <w:tc>
          <w:tcPr>
            <w:tcW w:w="0" w:type="auto"/>
          </w:tcPr>
          <w:p w14:paraId="0A02E189" w14:textId="77777777" w:rsidR="001A2A89" w:rsidRDefault="00106551">
            <w:pPr>
              <w:pStyle w:val="Compact"/>
              <w:jc w:val="left"/>
            </w:pPr>
            <w:r>
              <w:t>Bayesian parameter set</w:t>
            </w:r>
          </w:p>
        </w:tc>
        <w:tc>
          <w:tcPr>
            <w:tcW w:w="0" w:type="auto"/>
          </w:tcPr>
          <w:p w14:paraId="0A02E18A" w14:textId="77777777" w:rsidR="001A2A89" w:rsidRDefault="001A2A89">
            <w:pPr>
              <w:pStyle w:val="Compact"/>
            </w:pPr>
          </w:p>
        </w:tc>
        <w:tc>
          <w:tcPr>
            <w:tcW w:w="0" w:type="auto"/>
          </w:tcPr>
          <w:p w14:paraId="0A02E18B" w14:textId="77777777" w:rsidR="001A2A89" w:rsidRDefault="001A2A89">
            <w:pPr>
              <w:pStyle w:val="Compact"/>
            </w:pPr>
          </w:p>
        </w:tc>
      </w:tr>
      <w:tr w:rsidR="001A2A89" w14:paraId="0A02E191" w14:textId="77777777">
        <w:tc>
          <w:tcPr>
            <w:tcW w:w="0" w:type="auto"/>
          </w:tcPr>
          <w:p w14:paraId="0A02E18D" w14:textId="77777777" w:rsidR="001A2A89" w:rsidRDefault="00897893">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0A02E18E" w14:textId="77777777" w:rsidR="001A2A89" w:rsidRDefault="00106551">
            <w:pPr>
              <w:pStyle w:val="Compact"/>
              <w:jc w:val="left"/>
            </w:pPr>
            <w:r>
              <w:t>Cross-sectional average velocity</w:t>
            </w:r>
          </w:p>
        </w:tc>
        <w:tc>
          <w:tcPr>
            <w:tcW w:w="0" w:type="auto"/>
          </w:tcPr>
          <w:p w14:paraId="0A02E18F" w14:textId="77777777" w:rsidR="001A2A89" w:rsidRDefault="00897893">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0A02E190"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96" w14:textId="77777777">
        <w:tc>
          <w:tcPr>
            <w:tcW w:w="0" w:type="auto"/>
          </w:tcPr>
          <w:p w14:paraId="0A02E192" w14:textId="77777777" w:rsidR="001A2A89" w:rsidRDefault="00897893">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0A02E193" w14:textId="77777777" w:rsidR="001A2A89" w:rsidRDefault="00106551">
            <w:pPr>
              <w:pStyle w:val="Compact"/>
              <w:jc w:val="left"/>
            </w:pPr>
            <w:r>
              <w:t>Shear velocity</w:t>
            </w:r>
          </w:p>
        </w:tc>
        <w:tc>
          <w:tcPr>
            <w:tcW w:w="0" w:type="auto"/>
          </w:tcPr>
          <w:p w14:paraId="0A02E194" w14:textId="77777777" w:rsidR="001A2A89" w:rsidRDefault="00897893">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0A02E195"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9B" w14:textId="77777777">
        <w:tc>
          <w:tcPr>
            <w:tcW w:w="0" w:type="auto"/>
          </w:tcPr>
          <w:p w14:paraId="0A02E197" w14:textId="77777777" w:rsidR="001A2A89" w:rsidRDefault="00106551">
            <w:pPr>
              <w:pStyle w:val="Compact"/>
              <w:jc w:val="left"/>
            </w:pPr>
            <m:oMathPara>
              <m:oMath>
                <m:r>
                  <w:rPr>
                    <w:rFonts w:ascii="Cambria Math" w:hAnsi="Cambria Math"/>
                  </w:rPr>
                  <m:t>μ</m:t>
                </m:r>
              </m:oMath>
            </m:oMathPara>
          </w:p>
        </w:tc>
        <w:tc>
          <w:tcPr>
            <w:tcW w:w="0" w:type="auto"/>
          </w:tcPr>
          <w:p w14:paraId="0A02E198" w14:textId="77777777" w:rsidR="001A2A89" w:rsidRDefault="00106551">
            <w:pPr>
              <w:pStyle w:val="Compact"/>
              <w:jc w:val="left"/>
            </w:pPr>
            <w:r>
              <w:t>Viscosity</w:t>
            </w:r>
          </w:p>
        </w:tc>
        <w:tc>
          <w:tcPr>
            <w:tcW w:w="0" w:type="auto"/>
          </w:tcPr>
          <w:p w14:paraId="0A02E199" w14:textId="77777777" w:rsidR="001A2A89" w:rsidRDefault="001A2A89">
            <w:pPr>
              <w:pStyle w:val="Compact"/>
            </w:pPr>
          </w:p>
        </w:tc>
        <w:tc>
          <w:tcPr>
            <w:tcW w:w="0" w:type="auto"/>
          </w:tcPr>
          <w:p w14:paraId="0A02E19A" w14:textId="77777777" w:rsidR="001A2A89" w:rsidRDefault="00897893">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1A2A89" w14:paraId="0A02E1A0" w14:textId="77777777">
        <w:tc>
          <w:tcPr>
            <w:tcW w:w="0" w:type="auto"/>
          </w:tcPr>
          <w:p w14:paraId="0A02E19C" w14:textId="77777777" w:rsidR="001A2A89" w:rsidRDefault="00106551">
            <w:pPr>
              <w:pStyle w:val="Compact"/>
              <w:jc w:val="left"/>
            </w:pPr>
            <m:oMathPara>
              <m:oMath>
                <m:r>
                  <w:rPr>
                    <w:rFonts w:ascii="Cambria Math" w:hAnsi="Cambria Math"/>
                  </w:rPr>
                  <m:t>v</m:t>
                </m:r>
              </m:oMath>
            </m:oMathPara>
          </w:p>
        </w:tc>
        <w:tc>
          <w:tcPr>
            <w:tcW w:w="0" w:type="auto"/>
          </w:tcPr>
          <w:p w14:paraId="0A02E19D" w14:textId="77777777" w:rsidR="001A2A89" w:rsidRDefault="00106551">
            <w:pPr>
              <w:pStyle w:val="Compact"/>
              <w:jc w:val="left"/>
            </w:pPr>
            <w:r>
              <w:t>kinematic viscosity</w:t>
            </w:r>
          </w:p>
        </w:tc>
        <w:tc>
          <w:tcPr>
            <w:tcW w:w="0" w:type="auto"/>
          </w:tcPr>
          <w:p w14:paraId="0A02E19E" w14:textId="77777777" w:rsidR="001A2A89" w:rsidRDefault="00897893">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0A02E19F" w14:textId="77777777" w:rsidR="001A2A89" w:rsidRDefault="00897893">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1A2A89" w14:paraId="0A02E1A5" w14:textId="77777777">
        <w:tc>
          <w:tcPr>
            <w:tcW w:w="0" w:type="auto"/>
          </w:tcPr>
          <w:p w14:paraId="0A02E1A1" w14:textId="77777777" w:rsidR="001A2A89" w:rsidRDefault="00106551">
            <w:pPr>
              <w:pStyle w:val="Compact"/>
              <w:jc w:val="left"/>
            </w:pPr>
            <m:oMathPara>
              <m:oMath>
                <m:r>
                  <w:rPr>
                    <w:rFonts w:ascii="Cambria Math" w:hAnsi="Cambria Math"/>
                  </w:rPr>
                  <m:t>W</m:t>
                </m:r>
              </m:oMath>
            </m:oMathPara>
          </w:p>
        </w:tc>
        <w:tc>
          <w:tcPr>
            <w:tcW w:w="0" w:type="auto"/>
          </w:tcPr>
          <w:p w14:paraId="0A02E1A2" w14:textId="77777777" w:rsidR="001A2A89" w:rsidRDefault="00106551">
            <w:pPr>
              <w:pStyle w:val="Compact"/>
              <w:jc w:val="left"/>
            </w:pPr>
            <w:r>
              <w:t>Flow width</w:t>
            </w:r>
          </w:p>
        </w:tc>
        <w:tc>
          <w:tcPr>
            <w:tcW w:w="0" w:type="auto"/>
          </w:tcPr>
          <w:p w14:paraId="0A02E1A3" w14:textId="77777777" w:rsidR="001A2A89" w:rsidRDefault="001A2A89">
            <w:pPr>
              <w:pStyle w:val="Compact"/>
            </w:pPr>
          </w:p>
        </w:tc>
        <w:tc>
          <w:tcPr>
            <w:tcW w:w="0" w:type="auto"/>
          </w:tcPr>
          <w:p w14:paraId="0A02E1A4" w14:textId="77777777" w:rsidR="001A2A89" w:rsidRDefault="00897893">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AA" w14:textId="77777777">
        <w:tc>
          <w:tcPr>
            <w:tcW w:w="0" w:type="auto"/>
          </w:tcPr>
          <w:p w14:paraId="0A02E1A6" w14:textId="77777777" w:rsidR="001A2A89" w:rsidRDefault="00106551">
            <w:pPr>
              <w:pStyle w:val="Compact"/>
              <w:jc w:val="left"/>
            </w:pPr>
            <m:oMathPara>
              <m:oMath>
                <m:r>
                  <w:rPr>
                    <w:rFonts w:ascii="Cambria Math" w:hAnsi="Cambria Math"/>
                  </w:rPr>
                  <m:t>x</m:t>
                </m:r>
              </m:oMath>
            </m:oMathPara>
          </w:p>
        </w:tc>
        <w:tc>
          <w:tcPr>
            <w:tcW w:w="0" w:type="auto"/>
          </w:tcPr>
          <w:p w14:paraId="0A02E1A7" w14:textId="77777777" w:rsidR="001A2A89" w:rsidRDefault="00106551">
            <w:pPr>
              <w:pStyle w:val="Compact"/>
              <w:jc w:val="left"/>
            </w:pPr>
            <w:r>
              <w:t>Bayesian data set</w:t>
            </w:r>
          </w:p>
        </w:tc>
        <w:tc>
          <w:tcPr>
            <w:tcW w:w="0" w:type="auto"/>
          </w:tcPr>
          <w:p w14:paraId="0A02E1A8" w14:textId="77777777" w:rsidR="001A2A89" w:rsidRDefault="001A2A89">
            <w:pPr>
              <w:pStyle w:val="Compact"/>
            </w:pPr>
          </w:p>
        </w:tc>
        <w:tc>
          <w:tcPr>
            <w:tcW w:w="0" w:type="auto"/>
          </w:tcPr>
          <w:p w14:paraId="0A02E1A9" w14:textId="77777777" w:rsidR="001A2A89" w:rsidRDefault="001A2A89">
            <w:pPr>
              <w:pStyle w:val="Compact"/>
            </w:pPr>
          </w:p>
        </w:tc>
      </w:tr>
    </w:tbl>
    <w:p w14:paraId="0A02E1AB" w14:textId="77777777" w:rsidR="001A2A89" w:rsidRDefault="00106551">
      <w:pPr>
        <w:pStyle w:val="Heading2"/>
      </w:pPr>
      <w:bookmarkStart w:id="28" w:name="references"/>
      <w:bookmarkEnd w:id="27"/>
      <w:r>
        <w:lastRenderedPageBreak/>
        <w:t>References</w:t>
      </w:r>
    </w:p>
    <w:p w14:paraId="0A02E1AC" w14:textId="77777777" w:rsidR="001A2A89" w:rsidRDefault="00106551">
      <w:pPr>
        <w:pStyle w:val="Bibliography"/>
      </w:pPr>
      <w:bookmarkStart w:id="29" w:name="Xe367fd6cb00c1441faaeb81e1927324fe976092"/>
      <w:bookmarkStart w:id="30"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26">
        <w:r>
          <w:rPr>
            <w:rStyle w:val="Hyperlink"/>
          </w:rPr>
          <w:t>https://doi.org/10.1029/2018JG004750</w:t>
        </w:r>
      </w:hyperlink>
    </w:p>
    <w:p w14:paraId="0A02E1AD" w14:textId="77777777" w:rsidR="001A2A89" w:rsidRDefault="00106551">
      <w:pPr>
        <w:pStyle w:val="Bibliography"/>
      </w:pPr>
      <w:bookmarkStart w:id="31" w:name="X465466661decc8b1d0d7dc416ddf7b6c51f10d0"/>
      <w:bookmarkEnd w:id="29"/>
      <w:r>
        <w:t xml:space="preserve">Aho, K. S., Fair, J. H., Hosen, J. D., Kyzivat, E. D., Logozzo, L. A., Rocher-Ros, G., et al. (2021). Distinct concentration-discharge dynamics in temperate streams and rivers: CO2 exhibits chemostasis while CH4 exhibits source limitation due to temperature control. </w:t>
      </w:r>
      <w:r>
        <w:rPr>
          <w:i/>
          <w:iCs/>
        </w:rPr>
        <w:t>Limnology and Oceanography</w:t>
      </w:r>
      <w:r>
        <w:t xml:space="preserve">, </w:t>
      </w:r>
      <w:r>
        <w:rPr>
          <w:i/>
          <w:iCs/>
        </w:rPr>
        <w:t>66</w:t>
      </w:r>
      <w:r>
        <w:t xml:space="preserve">(10), 3656–3668. </w:t>
      </w:r>
      <w:hyperlink r:id="rId27">
        <w:r>
          <w:rPr>
            <w:rStyle w:val="Hyperlink"/>
          </w:rPr>
          <w:t>https://doi.org/10.1002/lno.11906</w:t>
        </w:r>
      </w:hyperlink>
    </w:p>
    <w:p w14:paraId="0A02E1AE" w14:textId="77777777" w:rsidR="001A2A89" w:rsidRDefault="00106551">
      <w:pPr>
        <w:pStyle w:val="Bibliography"/>
      </w:pPr>
      <w:bookmarkStart w:id="32" w:name="ref-ahoHighestRatesGross2021"/>
      <w:bookmarkEnd w:id="31"/>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(n/a). https://doi.org/</w:t>
      </w:r>
      <w:hyperlink r:id="rId28">
        <w:r>
          <w:rPr>
            <w:rStyle w:val="Hyperlink"/>
          </w:rPr>
          <w:t>https://doi.org/10.1002/lol2.10195</w:t>
        </w:r>
      </w:hyperlink>
    </w:p>
    <w:p w14:paraId="0A02E1AF" w14:textId="77777777" w:rsidR="001A2A89" w:rsidRDefault="00106551">
      <w:pPr>
        <w:pStyle w:val="Bibliography"/>
      </w:pPr>
      <w:bookmarkStart w:id="33" w:name="ref-alinPhysicalControlsCarbon2011"/>
      <w:bookmarkEnd w:id="32"/>
      <w:r>
        <w:t xml:space="preserve">Alin, S. R., Rasera, M. de F. F. L., Salimon, C. I., Richey, J. E., Holtgrieve, G. W., Krusche, A. V., &amp; Snidvongs, A. (2011). Physical controls on carbon dioxide transfer velocity and flux in low-gradient river systems and implications for regional carbon budgets. </w:t>
      </w:r>
      <w:r>
        <w:rPr>
          <w:i/>
          <w:iCs/>
        </w:rPr>
        <w:t>Journal of Geophysical Research: Biogeosciences</w:t>
      </w:r>
      <w:r>
        <w:t xml:space="preserve">, </w:t>
      </w:r>
      <w:r>
        <w:rPr>
          <w:i/>
          <w:iCs/>
        </w:rPr>
        <w:t>116</w:t>
      </w:r>
      <w:r>
        <w:t>(G1). https://doi.org/</w:t>
      </w:r>
      <w:hyperlink r:id="rId29">
        <w:r>
          <w:rPr>
            <w:rStyle w:val="Hyperlink"/>
          </w:rPr>
          <w:t>https://doi.org/10.1029/2010JG001398</w:t>
        </w:r>
      </w:hyperlink>
    </w:p>
    <w:p w14:paraId="0A02E1B0" w14:textId="77777777" w:rsidR="001A2A89" w:rsidRDefault="00106551">
      <w:pPr>
        <w:pStyle w:val="Bibliography"/>
      </w:pPr>
      <w:bookmarkStart w:id="34" w:name="ref-altenauSurfaceWaterOcean2021"/>
      <w:bookmarkEnd w:id="33"/>
      <w:r>
        <w:t xml:space="preserve">Altenau, E. H., Pavelsky, T. M., Durand, M. T., Yang, X., Frasson,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30">
        <w:r>
          <w:rPr>
            <w:rStyle w:val="Hyperlink"/>
          </w:rPr>
          <w:t>https://doi.org/10.1029/2021WR030054</w:t>
        </w:r>
      </w:hyperlink>
    </w:p>
    <w:p w14:paraId="0A02E1B1" w14:textId="77777777" w:rsidR="001A2A89" w:rsidRDefault="00106551">
      <w:pPr>
        <w:pStyle w:val="Bibliography"/>
      </w:pPr>
      <w:bookmarkStart w:id="35" w:name="X3f43462459b729b7766127d4de3034c5e406105"/>
      <w:bookmarkEnd w:id="34"/>
      <w:r>
        <w:lastRenderedPageBreak/>
        <w:t xml:space="preserve">Andreadis, K. M., Brinkerhoff, C. B., &amp; Gleason, C. J. (2020). Constraining the assimilation of SWOT observations with hydraulic geometry relations. </w:t>
      </w:r>
      <w:r>
        <w:rPr>
          <w:i/>
          <w:iCs/>
        </w:rPr>
        <w:t>Water Resources Research</w:t>
      </w:r>
      <w:r>
        <w:t xml:space="preserve">. </w:t>
      </w:r>
      <w:hyperlink r:id="rId31">
        <w:r>
          <w:rPr>
            <w:rStyle w:val="Hyperlink"/>
          </w:rPr>
          <w:t>https://doi.org/10.1029/2019WR026611</w:t>
        </w:r>
      </w:hyperlink>
    </w:p>
    <w:p w14:paraId="0A02E1B2" w14:textId="77777777" w:rsidR="001A2A89" w:rsidRDefault="00106551">
      <w:pPr>
        <w:pStyle w:val="Bibliography"/>
      </w:pPr>
      <w:bookmarkStart w:id="36" w:name="Xac350d38015694cd0350539d77080e5042ebd3d"/>
      <w:bookmarkEnd w:id="35"/>
      <w:r>
        <w:t xml:space="preserve">Appling, A. P., Hall, R. O., Yackulic, C. B., &amp; Arroita, M. (2018). Overcoming Equifinality: Leveraging Long Time Series for Stream Metabolism Estimation. </w:t>
      </w:r>
      <w:r>
        <w:rPr>
          <w:i/>
          <w:iCs/>
        </w:rPr>
        <w:t>Journal of Geophysical Research: Biogeosciences</w:t>
      </w:r>
      <w:r>
        <w:t xml:space="preserve">, </w:t>
      </w:r>
      <w:r>
        <w:rPr>
          <w:i/>
          <w:iCs/>
        </w:rPr>
        <w:t>123</w:t>
      </w:r>
      <w:r>
        <w:t>(2), 624–645. https://doi.org/</w:t>
      </w:r>
      <w:hyperlink r:id="rId32">
        <w:r>
          <w:rPr>
            <w:rStyle w:val="Hyperlink"/>
          </w:rPr>
          <w:t>https://doi.org/10.1002/2017JG004140</w:t>
        </w:r>
      </w:hyperlink>
    </w:p>
    <w:p w14:paraId="0A02E1B3" w14:textId="77777777" w:rsidR="001A2A89" w:rsidRDefault="00106551">
      <w:pPr>
        <w:pStyle w:val="Bibliography"/>
      </w:pPr>
      <w:bookmarkStart w:id="37" w:name="ref-beaulieuControlsGasTransfer2012"/>
      <w:bookmarkEnd w:id="36"/>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33">
        <w:r>
          <w:rPr>
            <w:rStyle w:val="Hyperlink"/>
          </w:rPr>
          <w:t>https://doi.org/10.1029/2011JG001794</w:t>
        </w:r>
      </w:hyperlink>
    </w:p>
    <w:p w14:paraId="0A02E1B4" w14:textId="77777777" w:rsidR="001A2A89" w:rsidRDefault="00106551">
      <w:pPr>
        <w:pStyle w:val="Bibliography"/>
      </w:pPr>
      <w:bookmarkStart w:id="38" w:name="ref-biancamariaSWOTMissionIts2016"/>
      <w:bookmarkEnd w:id="37"/>
      <w:r>
        <w:t xml:space="preserve">Biancamaria,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34">
        <w:r>
          <w:rPr>
            <w:rStyle w:val="Hyperlink"/>
          </w:rPr>
          <w:t>https://doi.org/10.1007/978-3-319-32449-4_6</w:t>
        </w:r>
      </w:hyperlink>
    </w:p>
    <w:p w14:paraId="0A02E1B5" w14:textId="77777777" w:rsidR="001A2A89" w:rsidRDefault="00106551">
      <w:pPr>
        <w:pStyle w:val="Bibliography"/>
      </w:pPr>
      <w:bookmarkStart w:id="39" w:name="Xbbaacf312c3b2ac2225c29062e99b1285b75b5d"/>
      <w:bookmarkEnd w:id="38"/>
      <w:r>
        <w:t xml:space="preserve">Borges, A. V., Darchambeau, F., Teodoru, C. R., Marwick, T. R., Tamooh, F., Geeraert, N., et al. (2015). Globally significant greenhouse-gas emissions from African inland waters. </w:t>
      </w:r>
      <w:r>
        <w:rPr>
          <w:i/>
          <w:iCs/>
        </w:rPr>
        <w:t>Nature Geoscience</w:t>
      </w:r>
      <w:r>
        <w:t xml:space="preserve">, </w:t>
      </w:r>
      <w:r>
        <w:rPr>
          <w:i/>
          <w:iCs/>
        </w:rPr>
        <w:t>8</w:t>
      </w:r>
      <w:r>
        <w:t xml:space="preserve">(8), 637–642. </w:t>
      </w:r>
      <w:hyperlink r:id="rId35">
        <w:r>
          <w:rPr>
            <w:rStyle w:val="Hyperlink"/>
          </w:rPr>
          <w:t>https://doi.org/10.1038/ngeo2486</w:t>
        </w:r>
      </w:hyperlink>
    </w:p>
    <w:p w14:paraId="0A02E1B6" w14:textId="77777777" w:rsidR="001A2A89" w:rsidRDefault="00106551">
      <w:pPr>
        <w:pStyle w:val="Bibliography"/>
      </w:pPr>
      <w:bookmarkStart w:id="40" w:name="X1a76598ca511f3330c42372d0336b7d2eb8a399"/>
      <w:bookmarkEnd w:id="39"/>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36">
        <w:r>
          <w:rPr>
            <w:rStyle w:val="Hyperlink"/>
          </w:rPr>
          <w:t>https://doi.org/10.1029/2019GL084529</w:t>
        </w:r>
      </w:hyperlink>
    </w:p>
    <w:p w14:paraId="0A02E1B7" w14:textId="77777777" w:rsidR="001A2A89" w:rsidRDefault="00106551">
      <w:pPr>
        <w:pStyle w:val="Bibliography"/>
      </w:pPr>
      <w:bookmarkStart w:id="41" w:name="Xdbd54ef9038a6546bc878e25d0471ceeef59cc0"/>
      <w:bookmarkEnd w:id="40"/>
      <w:r>
        <w:lastRenderedPageBreak/>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37">
        <w:r>
          <w:rPr>
            <w:rStyle w:val="Hyperlink"/>
          </w:rPr>
          <w:t>https://doi.org/10.1029/2020WR027949</w:t>
        </w:r>
      </w:hyperlink>
    </w:p>
    <w:p w14:paraId="0A02E1B8" w14:textId="77777777" w:rsidR="001A2A89" w:rsidRDefault="00106551">
      <w:pPr>
        <w:pStyle w:val="Bibliography"/>
      </w:pPr>
      <w:bookmarkStart w:id="42" w:name="ref-brinkerhoffLakeMorphometryRiver2021"/>
      <w:bookmarkEnd w:id="41"/>
      <w:r>
        <w:t xml:space="preserve">Brinkerhoff, C. B., Raymond, P. A., Maavara, T., Ishitsuka, Y., Aho, K. S., &amp; Gleason, C. J. (2021). Lake Morphometry and River Network Controls on Evasion of Terrestrially Sourced Headwater CO2. </w:t>
      </w:r>
      <w:r>
        <w:rPr>
          <w:i/>
          <w:iCs/>
        </w:rPr>
        <w:t>Geophysical Research Letters</w:t>
      </w:r>
      <w:r>
        <w:t xml:space="preserve">, </w:t>
      </w:r>
      <w:r>
        <w:rPr>
          <w:i/>
          <w:iCs/>
        </w:rPr>
        <w:t>48</w:t>
      </w:r>
      <w:r>
        <w:t>(1), e2020GL090068. https://doi.org/</w:t>
      </w:r>
      <w:hyperlink r:id="rId38">
        <w:r>
          <w:rPr>
            <w:rStyle w:val="Hyperlink"/>
          </w:rPr>
          <w:t>https://doi.org/10.1029/2020GL090068</w:t>
        </w:r>
      </w:hyperlink>
    </w:p>
    <w:p w14:paraId="0A02E1B9" w14:textId="77777777" w:rsidR="001A2A89" w:rsidRDefault="00106551">
      <w:pPr>
        <w:pStyle w:val="Bibliography"/>
      </w:pPr>
      <w:bookmarkStart w:id="43" w:name="X834711d54738282ad13c8e8eb924edf28d0f356"/>
      <w:bookmarkEnd w:id="42"/>
      <w:r>
        <w:t xml:space="preserve">Brisset, P., Monnier, J., Garambois, P.-A., &amp; Roux, H. (2018). On the assimilation of altimetric data in 1D Saint–Venant river flow models. </w:t>
      </w:r>
      <w:r>
        <w:rPr>
          <w:i/>
          <w:iCs/>
        </w:rPr>
        <w:t>Advances in Water Resources</w:t>
      </w:r>
      <w:r>
        <w:t xml:space="preserve">, </w:t>
      </w:r>
      <w:r>
        <w:rPr>
          <w:i/>
          <w:iCs/>
        </w:rPr>
        <w:t>119</w:t>
      </w:r>
      <w:r>
        <w:t xml:space="preserve">, 41–59. </w:t>
      </w:r>
      <w:hyperlink r:id="rId39">
        <w:r>
          <w:rPr>
            <w:rStyle w:val="Hyperlink"/>
          </w:rPr>
          <w:t>https://doi.org/10.1016/j.advwatres.2018.06.004</w:t>
        </w:r>
      </w:hyperlink>
    </w:p>
    <w:p w14:paraId="0A02E1BA" w14:textId="77777777" w:rsidR="001A2A89" w:rsidRDefault="00106551">
      <w:pPr>
        <w:pStyle w:val="Bibliography"/>
      </w:pPr>
      <w:bookmarkStart w:id="44" w:name="ref-brumerWaveRelatedReynoldsNumber2017"/>
      <w:bookmarkEnd w:id="43"/>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40">
        <w:r>
          <w:rPr>
            <w:rStyle w:val="Hyperlink"/>
          </w:rPr>
          <w:t>https://doi.org/10.1002/2017GL074979</w:t>
        </w:r>
      </w:hyperlink>
    </w:p>
    <w:p w14:paraId="0A02E1BB" w14:textId="77777777" w:rsidR="001A2A89" w:rsidRDefault="00106551">
      <w:pPr>
        <w:pStyle w:val="Bibliography"/>
      </w:pPr>
      <w:bookmarkStart w:id="45" w:name="ref-calderbankContinuousPhaseHeat1961"/>
      <w:bookmarkEnd w:id="44"/>
      <w:r>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41">
        <w:r>
          <w:rPr>
            <w:rStyle w:val="Hyperlink"/>
          </w:rPr>
          <w:t>https://doi.org/10.1016/0009-2509(61)87005-X</w:t>
        </w:r>
      </w:hyperlink>
    </w:p>
    <w:p w14:paraId="0A02E1BC" w14:textId="77777777" w:rsidR="001A2A89" w:rsidRDefault="00106551">
      <w:pPr>
        <w:pStyle w:val="Bibliography"/>
      </w:pPr>
      <w:bookmarkStart w:id="46" w:name="Xa3e9367adcd5dee389f99f86aad7b66314e7a15"/>
      <w:bookmarkEnd w:id="45"/>
      <w:r>
        <w:t xml:space="preserve">Churchill, M. A., Elmore, H. L., &amp; Buckingham, R. A. (1964). The Prediction of Stream Reaeration Rates. In B. A. Southgate (Ed.), </w:t>
      </w:r>
      <w:r>
        <w:rPr>
          <w:i/>
          <w:iCs/>
        </w:rPr>
        <w:t>Advances in Water Pollution Research</w:t>
      </w:r>
      <w:r>
        <w:t xml:space="preserve"> (pp. 89–136). Pergamon. </w:t>
      </w:r>
      <w:hyperlink r:id="rId42">
        <w:r>
          <w:rPr>
            <w:rStyle w:val="Hyperlink"/>
          </w:rPr>
          <w:t>https://doi.org/10.1016/B978-1-4832-8391-3.50015-4</w:t>
        </w:r>
      </w:hyperlink>
    </w:p>
    <w:p w14:paraId="0A02E1BD" w14:textId="77777777" w:rsidR="001A2A89" w:rsidRDefault="00106551">
      <w:pPr>
        <w:pStyle w:val="Bibliography"/>
      </w:pPr>
      <w:bookmarkStart w:id="47" w:name="ref-colePlumbingGlobalCarbon2007"/>
      <w:bookmarkEnd w:id="46"/>
      <w:r>
        <w:lastRenderedPageBreak/>
        <w:t xml:space="preserve">Cole, J. J., Prairie, Y. T., Caraco, N. F., McDowell, W. 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3">
        <w:r>
          <w:rPr>
            <w:rStyle w:val="Hyperlink"/>
          </w:rPr>
          <w:t>https://doi.org/10.1007/s10021-006-9013-8</w:t>
        </w:r>
      </w:hyperlink>
    </w:p>
    <w:p w14:paraId="0A02E1BE" w14:textId="77777777" w:rsidR="001A2A89" w:rsidRDefault="00106551">
      <w:pPr>
        <w:pStyle w:val="Bibliography"/>
      </w:pPr>
      <w:bookmarkStart w:id="48" w:name="ref-crawfordCO2TimeSeries2017"/>
      <w:bookmarkEnd w:id="47"/>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44">
        <w:r>
          <w:rPr>
            <w:rStyle w:val="Hyperlink"/>
          </w:rPr>
          <w:t>https://doi.org/10.1007/s00027-016-0511-2</w:t>
        </w:r>
      </w:hyperlink>
    </w:p>
    <w:p w14:paraId="0A02E1BF" w14:textId="77777777" w:rsidR="001A2A89" w:rsidRDefault="00106551">
      <w:pPr>
        <w:pStyle w:val="Bibliography"/>
      </w:pPr>
      <w:bookmarkStart w:id="49" w:name="Xc749cfb8cc4c1b149d35ee13c0395d9e57afca6"/>
      <w:bookmarkEnd w:id="48"/>
      <w:r>
        <w:t xml:space="preserve">Durand, M. T., Neal, J., Rodríguez, E., Andreadis, K. M., Smith, L. C., &amp; Yoon, Y. (2014). Estimating reach-averaged discharge for the River Severn from measurements of river water surface elevation and slope. </w:t>
      </w:r>
      <w:r>
        <w:rPr>
          <w:i/>
          <w:iCs/>
        </w:rPr>
        <w:t>Journal of Hydrology</w:t>
      </w:r>
      <w:r>
        <w:t xml:space="preserve">, </w:t>
      </w:r>
      <w:r>
        <w:rPr>
          <w:i/>
          <w:iCs/>
        </w:rPr>
        <w:t>511</w:t>
      </w:r>
      <w:r>
        <w:t xml:space="preserve">, 92–104. </w:t>
      </w:r>
      <w:hyperlink r:id="rId45">
        <w:r>
          <w:rPr>
            <w:rStyle w:val="Hyperlink"/>
          </w:rPr>
          <w:t>https://doi.org/10.1016/j.jhydrol.2013.12.050</w:t>
        </w:r>
      </w:hyperlink>
    </w:p>
    <w:p w14:paraId="0A02E1C0" w14:textId="77777777" w:rsidR="001A2A89" w:rsidRDefault="00106551">
      <w:pPr>
        <w:pStyle w:val="Bibliography"/>
      </w:pPr>
      <w:bookmarkStart w:id="50" w:name="X3ce31a8f5e08162768843120ddd33afff9a1ba0"/>
      <w:bookmarkEnd w:id="49"/>
      <w:r>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6">
        <w:r>
          <w:rPr>
            <w:rStyle w:val="Hyperlink"/>
          </w:rPr>
          <w:t>https://doi.org/10.1002/2015WR018434</w:t>
        </w:r>
      </w:hyperlink>
    </w:p>
    <w:p w14:paraId="0A02E1C1" w14:textId="77777777" w:rsidR="001A2A89" w:rsidRDefault="00106551">
      <w:pPr>
        <w:pStyle w:val="Bibliography"/>
      </w:pPr>
      <w:bookmarkStart w:id="51" w:name="ref-durandHowWillRadar2020"/>
      <w:bookmarkEnd w:id="50"/>
      <w:r>
        <w:t xml:space="preserve">Durand, M. T., Chen, C., Moraes Frasson, R. P. de,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47">
        <w:r>
          <w:rPr>
            <w:rStyle w:val="Hyperlink"/>
          </w:rPr>
          <w:t>https://doi.org/10.1016/j.rse.2020.111883</w:t>
        </w:r>
      </w:hyperlink>
    </w:p>
    <w:p w14:paraId="0A02E1C2" w14:textId="77777777" w:rsidR="001A2A89" w:rsidRDefault="00106551">
      <w:pPr>
        <w:pStyle w:val="Bibliography"/>
      </w:pPr>
      <w:bookmarkStart w:id="52" w:name="ref-fengRecentChangesArctic2021"/>
      <w:bookmarkEnd w:id="51"/>
      <w:r>
        <w:lastRenderedPageBreak/>
        <w:t xml:space="preserve">Feng, D., Gleason, C. J., Lin, P., Yang, X., Pan, M., &amp; Ishitsuka, Y. (2021). Recent changes to Arctic river discharge. </w:t>
      </w:r>
      <w:r>
        <w:rPr>
          <w:i/>
          <w:iCs/>
        </w:rPr>
        <w:t>Nature Communications</w:t>
      </w:r>
      <w:r>
        <w:t xml:space="preserve">, </w:t>
      </w:r>
      <w:r>
        <w:rPr>
          <w:i/>
          <w:iCs/>
        </w:rPr>
        <w:t>12</w:t>
      </w:r>
      <w:r>
        <w:t xml:space="preserve">(1), 6917. </w:t>
      </w:r>
      <w:hyperlink r:id="rId48">
        <w:r>
          <w:rPr>
            <w:rStyle w:val="Hyperlink"/>
          </w:rPr>
          <w:t>https://doi.org/10.1038/s41467-021-27228-1</w:t>
        </w:r>
      </w:hyperlink>
    </w:p>
    <w:p w14:paraId="0A02E1C3" w14:textId="77777777" w:rsidR="001A2A89" w:rsidRDefault="00106551">
      <w:pPr>
        <w:pStyle w:val="Bibliography"/>
      </w:pPr>
      <w:bookmarkStart w:id="53" w:name="X9be29eb630d4c00a21328a957102a710eabca70"/>
      <w:bookmarkEnd w:id="52"/>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49">
        <w:r>
          <w:rPr>
            <w:rStyle w:val="Hyperlink"/>
          </w:rPr>
          <w:t>https://doi.org/10.1029/2020WR028519</w:t>
        </w:r>
      </w:hyperlink>
    </w:p>
    <w:p w14:paraId="0A02E1C4" w14:textId="77777777" w:rsidR="001A2A89" w:rsidRDefault="00106551">
      <w:pPr>
        <w:pStyle w:val="Bibliography"/>
      </w:pPr>
      <w:bookmarkStart w:id="54" w:name="ref-garamboisInferenceEffectiveRiver2015"/>
      <w:bookmarkEnd w:id="53"/>
      <w:r>
        <w:t xml:space="preserve">Garambois,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50">
        <w:r>
          <w:rPr>
            <w:rStyle w:val="Hyperlink"/>
          </w:rPr>
          <w:t>https://doi.org/10.1016/j.advwatres.2015.02.007</w:t>
        </w:r>
      </w:hyperlink>
    </w:p>
    <w:p w14:paraId="0A02E1C5" w14:textId="77777777" w:rsidR="001A2A89" w:rsidRDefault="00106551">
      <w:pPr>
        <w:pStyle w:val="Bibliography"/>
      </w:pPr>
      <w:bookmarkStart w:id="55" w:name="Xa8994f4454fb7590a0c3de19e6a7dd8fbd5a11c"/>
      <w:bookmarkEnd w:id="54"/>
      <w:r>
        <w:t xml:space="preserve">Garambois, P.-A., Calmant, S., Roux, H., Paris, A., Monnier, J., Finaud-Guyot, P., et al. (2017). Hydraulic visibility: Using satellite altimetry to parameterize a hydraulic model of an ungauged reach of a braided river. </w:t>
      </w:r>
      <w:r>
        <w:rPr>
          <w:i/>
          <w:iCs/>
        </w:rPr>
        <w:t>Hydrological Processes</w:t>
      </w:r>
      <w:r>
        <w:t xml:space="preserve">, </w:t>
      </w:r>
      <w:r>
        <w:rPr>
          <w:i/>
          <w:iCs/>
        </w:rPr>
        <w:t>31</w:t>
      </w:r>
      <w:r>
        <w:t xml:space="preserve">(4), 756–767. </w:t>
      </w:r>
      <w:hyperlink r:id="rId51">
        <w:r>
          <w:rPr>
            <w:rStyle w:val="Hyperlink"/>
          </w:rPr>
          <w:t>https://doi.org/10.1002/hyp.11033</w:t>
        </w:r>
      </w:hyperlink>
    </w:p>
    <w:p w14:paraId="0A02E1C6" w14:textId="77777777" w:rsidR="001A2A89" w:rsidRDefault="00106551">
      <w:pPr>
        <w:pStyle w:val="Bibliography"/>
      </w:pPr>
      <w:bookmarkStart w:id="56" w:name="X1dafd55d3ea50ae83faa050ee84557bcff98061"/>
      <w:bookmarkEnd w:id="55"/>
      <w:r>
        <w:t xml:space="preserve">Garambois, P.-A., Larnier, K., Monnier, J., Finaud-Guyot, P., Verley, J., Montazem, A.-S., &amp; Calmant, S. (2020). Variational estimation of effective channel and ungauged anabranching river discharge from multi-satellite water heights of different spatial sparsity. </w:t>
      </w:r>
      <w:r>
        <w:rPr>
          <w:i/>
          <w:iCs/>
        </w:rPr>
        <w:t>Journal of Hydrology</w:t>
      </w:r>
      <w:r>
        <w:t xml:space="preserve">, </w:t>
      </w:r>
      <w:r>
        <w:rPr>
          <w:i/>
          <w:iCs/>
        </w:rPr>
        <w:t>581</w:t>
      </w:r>
      <w:r>
        <w:t xml:space="preserve">, 124409. </w:t>
      </w:r>
      <w:hyperlink r:id="rId52">
        <w:r>
          <w:rPr>
            <w:rStyle w:val="Hyperlink"/>
          </w:rPr>
          <w:t>https://doi.org/10.1016/j.jhydrol.2019.124409</w:t>
        </w:r>
      </w:hyperlink>
    </w:p>
    <w:p w14:paraId="0A02E1C7" w14:textId="77777777" w:rsidR="001A2A89" w:rsidRDefault="00106551">
      <w:pPr>
        <w:pStyle w:val="Bibliography"/>
      </w:pPr>
      <w:bookmarkStart w:id="57" w:name="ref-gleasonHydraulicGeometryNatural2015"/>
      <w:bookmarkEnd w:id="56"/>
      <w:r>
        <w:lastRenderedPageBreak/>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53">
        <w:r>
          <w:rPr>
            <w:rStyle w:val="Hyperlink"/>
          </w:rPr>
          <w:t>https://doi.org/10.1177/0309133314567584</w:t>
        </w:r>
      </w:hyperlink>
    </w:p>
    <w:p w14:paraId="0A02E1C8" w14:textId="77777777" w:rsidR="001A2A89" w:rsidRDefault="00106551">
      <w:pPr>
        <w:pStyle w:val="Bibliography"/>
      </w:pPr>
      <w:bookmarkStart w:id="58" w:name="ref-gleasonGlobalMappingRiver2014"/>
      <w:bookmarkEnd w:id="57"/>
      <w:r>
        <w:t xml:space="preserve">Gleason, C. J., &amp; Smith, L. C. (2014). Toward global mapping of river discharge using satellite images and at-many-stations hydraulic geometry. </w:t>
      </w:r>
      <w:r>
        <w:rPr>
          <w:i/>
          <w:iCs/>
        </w:rPr>
        <w:t>Proceedings of the National Academy of Sciences</w:t>
      </w:r>
      <w:r>
        <w:t xml:space="preserve">, </w:t>
      </w:r>
      <w:r>
        <w:rPr>
          <w:i/>
          <w:iCs/>
        </w:rPr>
        <w:t>111</w:t>
      </w:r>
      <w:r>
        <w:t xml:space="preserve">(13), 4788–4791. </w:t>
      </w:r>
      <w:hyperlink r:id="rId54">
        <w:r>
          <w:rPr>
            <w:rStyle w:val="Hyperlink"/>
          </w:rPr>
          <w:t>https://doi.org/10.1073/pnas.1317606111</w:t>
        </w:r>
      </w:hyperlink>
    </w:p>
    <w:p w14:paraId="0A02E1C9" w14:textId="77777777" w:rsidR="001A2A89" w:rsidRDefault="00106551">
      <w:pPr>
        <w:pStyle w:val="Bibliography"/>
      </w:pPr>
      <w:bookmarkStart w:id="59" w:name="ref-gleasonRetrievalRiverDischarge2014"/>
      <w:bookmarkEnd w:id="58"/>
      <w:r>
        <w:t xml:space="preserve">Gleason,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55">
        <w:r>
          <w:rPr>
            <w:rStyle w:val="Hyperlink"/>
          </w:rPr>
          <w:t>https://doi.org/10.1002/2014WR016109</w:t>
        </w:r>
      </w:hyperlink>
    </w:p>
    <w:p w14:paraId="0A02E1CA" w14:textId="77777777" w:rsidR="001A2A89" w:rsidRDefault="00106551">
      <w:pPr>
        <w:pStyle w:val="Bibliography"/>
      </w:pPr>
      <w:bookmarkStart w:id="60" w:name="ref-gleasonTrackingRiverFlows2017"/>
      <w:bookmarkEnd w:id="59"/>
      <w:r>
        <w:t xml:space="preserve">Gleason, C. J., Garambois, P.-A., &amp; Durand, M. T. (2017). Tracking River Flows from Space. </w:t>
      </w:r>
      <w:r>
        <w:rPr>
          <w:i/>
          <w:iCs/>
        </w:rPr>
        <w:t>Eos</w:t>
      </w:r>
      <w:r>
        <w:t xml:space="preserve">. </w:t>
      </w:r>
      <w:hyperlink r:id="rId56">
        <w:r>
          <w:rPr>
            <w:rStyle w:val="Hyperlink"/>
          </w:rPr>
          <w:t>https://doi.org/10.1029/2017EO078085</w:t>
        </w:r>
      </w:hyperlink>
    </w:p>
    <w:p w14:paraId="0A02E1CB" w14:textId="77777777" w:rsidR="001A2A89" w:rsidRDefault="00106551">
      <w:pPr>
        <w:pStyle w:val="Bibliography"/>
      </w:pPr>
      <w:bookmarkStart w:id="61" w:name="ref-gruberOceanicSinkAnthropogenic2019"/>
      <w:bookmarkEnd w:id="60"/>
      <w:r>
        <w:t xml:space="preserve">Gruber, N., Clement, D., Carter, B. R., Feely, R. A., Heuven, S. van, Hoppema, M., et al. (2019). The oceanic sink for anthropogenic CO2 from 1994 to 2007. </w:t>
      </w:r>
      <w:r>
        <w:rPr>
          <w:i/>
          <w:iCs/>
        </w:rPr>
        <w:t>Science</w:t>
      </w:r>
      <w:r>
        <w:t xml:space="preserve">, </w:t>
      </w:r>
      <w:r>
        <w:rPr>
          <w:i/>
          <w:iCs/>
        </w:rPr>
        <w:t>363</w:t>
      </w:r>
      <w:r>
        <w:t xml:space="preserve">(6432), 1193–1199. </w:t>
      </w:r>
      <w:hyperlink r:id="rId57">
        <w:r>
          <w:rPr>
            <w:rStyle w:val="Hyperlink"/>
          </w:rPr>
          <w:t>https://doi.org/10.1126/science.aau5153</w:t>
        </w:r>
      </w:hyperlink>
    </w:p>
    <w:p w14:paraId="0A02E1CC" w14:textId="77777777" w:rsidR="001A2A89" w:rsidRDefault="00106551">
      <w:pPr>
        <w:pStyle w:val="Bibliography"/>
      </w:pPr>
      <w:bookmarkStart w:id="62" w:name="ref-hagemannBAMBayesianAMHGManning2017"/>
      <w:bookmarkEnd w:id="61"/>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8">
        <w:r>
          <w:rPr>
            <w:rStyle w:val="Hyperlink"/>
          </w:rPr>
          <w:t>https://doi.org/10.1002/2017WR021626</w:t>
        </w:r>
      </w:hyperlink>
    </w:p>
    <w:p w14:paraId="0A02E1CD" w14:textId="77777777" w:rsidR="001A2A89" w:rsidRDefault="00106551">
      <w:pPr>
        <w:pStyle w:val="Bibliography"/>
      </w:pPr>
      <w:bookmarkStart w:id="63" w:name="ref-hallGasExchangeStreams2020"/>
      <w:bookmarkEnd w:id="62"/>
      <w:r>
        <w:t xml:space="preserve">Hall, R. O., &amp; Ulseth, A. J. (2020). Gas exchange in streams and rivers. </w:t>
      </w:r>
      <w:r>
        <w:rPr>
          <w:i/>
          <w:iCs/>
        </w:rPr>
        <w:t>WIREs Water</w:t>
      </w:r>
      <w:r>
        <w:t xml:space="preserve">, </w:t>
      </w:r>
      <w:r>
        <w:rPr>
          <w:i/>
          <w:iCs/>
        </w:rPr>
        <w:t>7</w:t>
      </w:r>
      <w:r>
        <w:t>(1), e1391. https://doi.org/</w:t>
      </w:r>
      <w:hyperlink r:id="rId59">
        <w:r>
          <w:rPr>
            <w:rStyle w:val="Hyperlink"/>
          </w:rPr>
          <w:t>https://doi.org/10.1002/wat2.1391</w:t>
        </w:r>
      </w:hyperlink>
    </w:p>
    <w:p w14:paraId="0A02E1CE" w14:textId="77777777" w:rsidR="001A2A89" w:rsidRDefault="00106551">
      <w:pPr>
        <w:pStyle w:val="Bibliography"/>
      </w:pPr>
      <w:bookmarkStart w:id="64" w:name="ref-hallAirWaterOxygen2012"/>
      <w:bookmarkEnd w:id="63"/>
      <w:r>
        <w:lastRenderedPageBreak/>
        <w:t xml:space="preserve">Hall, R. O., Kennedy, T. A., &amp; Rosi‐Marshall, E. J. (2012). Air–water oxygen exchange in a large whitewater river. </w:t>
      </w:r>
      <w:r>
        <w:rPr>
          <w:i/>
          <w:iCs/>
        </w:rPr>
        <w:t>Limnology and Oceanography: Fluids and Environments</w:t>
      </w:r>
      <w:r>
        <w:t xml:space="preserve">, </w:t>
      </w:r>
      <w:r>
        <w:rPr>
          <w:i/>
          <w:iCs/>
        </w:rPr>
        <w:t>2</w:t>
      </w:r>
      <w:r>
        <w:t>(1), 1–11. https://doi.org/</w:t>
      </w:r>
      <w:hyperlink r:id="rId60">
        <w:r>
          <w:rPr>
            <w:rStyle w:val="Hyperlink"/>
          </w:rPr>
          <w:t>https://doi.org/10.1215/21573689-1572535</w:t>
        </w:r>
      </w:hyperlink>
    </w:p>
    <w:p w14:paraId="0A02E1CF" w14:textId="77777777" w:rsidR="001A2A89" w:rsidRDefault="00106551">
      <w:pPr>
        <w:pStyle w:val="Bibliography"/>
      </w:pPr>
      <w:bookmarkStart w:id="65" w:name="ref-harlanDischargeEstimationDense2021"/>
      <w:bookmarkEnd w:id="64"/>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(n/a), e2020WR028714. https://doi.org/</w:t>
      </w:r>
      <w:hyperlink r:id="rId61">
        <w:r>
          <w:rPr>
            <w:rStyle w:val="Hyperlink"/>
          </w:rPr>
          <w:t>https://doi.org/10.1029/2020WR028714</w:t>
        </w:r>
      </w:hyperlink>
    </w:p>
    <w:p w14:paraId="0A02E1D0" w14:textId="77777777" w:rsidR="001A2A89" w:rsidRDefault="00106551">
      <w:pPr>
        <w:pStyle w:val="Bibliography"/>
      </w:pPr>
      <w:bookmarkStart w:id="66" w:name="ref-hoffFirstCourseBayesian2009"/>
      <w:bookmarkEnd w:id="65"/>
      <w:r>
        <w:t xml:space="preserve">Hoff, P. D. (2009). </w:t>
      </w:r>
      <w:r>
        <w:rPr>
          <w:i/>
          <w:iCs/>
        </w:rPr>
        <w:t>A First Course in Bayesian Statistical Methods</w:t>
      </w:r>
      <w:r>
        <w:t>. New York: Springer.</w:t>
      </w:r>
    </w:p>
    <w:p w14:paraId="0A02E1D1" w14:textId="77777777" w:rsidR="001A2A89" w:rsidRDefault="00106551">
      <w:pPr>
        <w:pStyle w:val="Bibliography"/>
      </w:pPr>
      <w:bookmarkStart w:id="67" w:name="ref-horgbyUnexpectedLargeEvasion2019"/>
      <w:bookmarkEnd w:id="66"/>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62">
        <w:r>
          <w:rPr>
            <w:rStyle w:val="Hyperlink"/>
          </w:rPr>
          <w:t>https://doi.org/10.1038/s41467-019-12905-z</w:t>
        </w:r>
      </w:hyperlink>
    </w:p>
    <w:p w14:paraId="0A02E1D2" w14:textId="77777777" w:rsidR="001A2A89" w:rsidRDefault="00106551">
      <w:pPr>
        <w:pStyle w:val="Bibliography"/>
      </w:pPr>
      <w:bookmarkStart w:id="68" w:name="ref-ishitsukaCombiningOpticalRemote2020"/>
      <w:bookmarkEnd w:id="67"/>
      <w:r>
        <w:t xml:space="preserve">Ishitsuka, Y., Gleason, C. J., Hagemann, M. W., Beighley, E., Allen, G. H., Feng, D., et al. (2020). Combining optical remote sensing, McFLI discharge estimation, global hydrologic modelling, and data assimilation to improve daily discharge estimates across an entire large watershed. </w:t>
      </w:r>
      <w:r>
        <w:rPr>
          <w:i/>
          <w:iCs/>
        </w:rPr>
        <w:t>Water Resources Research</w:t>
      </w:r>
      <w:r>
        <w:t xml:space="preserve">, </w:t>
      </w:r>
      <w:r>
        <w:rPr>
          <w:i/>
          <w:iCs/>
        </w:rPr>
        <w:t>n/a</w:t>
      </w:r>
      <w:r>
        <w:t>(n/a). https://doi.org/</w:t>
      </w:r>
      <w:hyperlink r:id="rId63">
        <w:r>
          <w:rPr>
            <w:rStyle w:val="Hyperlink"/>
          </w:rPr>
          <w:t>https://doi.org/10.1029/2020WR027794</w:t>
        </w:r>
      </w:hyperlink>
    </w:p>
    <w:p w14:paraId="0A02E1D3" w14:textId="77777777" w:rsidR="001A2A89" w:rsidRDefault="00106551">
      <w:pPr>
        <w:pStyle w:val="Bibliography"/>
      </w:pPr>
      <w:bookmarkStart w:id="69" w:name="ref-katulStructureFunctionModel2018"/>
      <w:bookmarkEnd w:id="68"/>
      <w:r>
        <w:t xml:space="preserve">Katul,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64">
        <w:r>
          <w:rPr>
            <w:rStyle w:val="Hyperlink"/>
          </w:rPr>
          <w:t>https://doi.org/10.1029/2018WR022731</w:t>
        </w:r>
      </w:hyperlink>
    </w:p>
    <w:p w14:paraId="0A02E1D4" w14:textId="77777777" w:rsidR="001A2A89" w:rsidRDefault="00106551">
      <w:pPr>
        <w:pStyle w:val="Bibliography"/>
      </w:pPr>
      <w:bookmarkStart w:id="70" w:name="ref-knobenTechnicalNoteInherent2019"/>
      <w:bookmarkEnd w:id="69"/>
      <w:r>
        <w:lastRenderedPageBreak/>
        <w:t xml:space="preserve">Knoben, W. J. M., Freer, J. E., &amp; Woods, R. A. (2019). Technical note: Inherent benchmark or not? Comparing Nash–Sutcliffe and Kling–Gupta efficiency scores. </w:t>
      </w:r>
      <w:r>
        <w:rPr>
          <w:i/>
          <w:iCs/>
        </w:rPr>
        <w:t>Hydrology and Earth System Sciences</w:t>
      </w:r>
      <w:r>
        <w:t xml:space="preserve">, </w:t>
      </w:r>
      <w:r>
        <w:rPr>
          <w:i/>
          <w:iCs/>
        </w:rPr>
        <w:t>23</w:t>
      </w:r>
      <w:r>
        <w:t xml:space="preserve">(10), 4323–4331. </w:t>
      </w:r>
      <w:hyperlink r:id="rId65">
        <w:r>
          <w:rPr>
            <w:rStyle w:val="Hyperlink"/>
          </w:rPr>
          <w:t>https://doi.org/10.5194/hess-23-4323-2019</w:t>
        </w:r>
      </w:hyperlink>
    </w:p>
    <w:p w14:paraId="0A02E1D5" w14:textId="77777777" w:rsidR="001A2A89" w:rsidRDefault="00106551">
      <w:pPr>
        <w:pStyle w:val="Bibliography"/>
      </w:pPr>
      <w:bookmarkStart w:id="71" w:name="ref-lamontEddyCellModel1970"/>
      <w:bookmarkEnd w:id="70"/>
      <w:r>
        <w:t xml:space="preserve">Lamont, J. C., &amp; Scott, D. S. (1970). An Eddy Cell Model of Mass Transfer into the Surface of a Turbulent Liquid. </w:t>
      </w:r>
      <w:r>
        <w:rPr>
          <w:i/>
          <w:iCs/>
        </w:rPr>
        <w:t>AIChE Journal</w:t>
      </w:r>
      <w:r>
        <w:t xml:space="preserve">, </w:t>
      </w:r>
      <w:r>
        <w:rPr>
          <w:i/>
          <w:iCs/>
        </w:rPr>
        <w:t>16</w:t>
      </w:r>
      <w:r>
        <w:t>(4), 513–519.</w:t>
      </w:r>
    </w:p>
    <w:p w14:paraId="0A02E1D6" w14:textId="77777777" w:rsidR="001A2A89" w:rsidRDefault="00106551">
      <w:pPr>
        <w:pStyle w:val="Bibliography"/>
      </w:pPr>
      <w:bookmarkStart w:id="72" w:name="ref-larnierRiverDischargeBathymetry2020"/>
      <w:bookmarkEnd w:id="71"/>
      <w:r>
        <w:t xml:space="preserve">Larnier, K., Monnier, J., Garambois,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66">
        <w:r>
          <w:rPr>
            <w:rStyle w:val="Hyperlink"/>
          </w:rPr>
          <w:t>https://doi.org/10.1080/17415977.2020.1803858</w:t>
        </w:r>
      </w:hyperlink>
    </w:p>
    <w:p w14:paraId="0A02E1D7" w14:textId="77777777" w:rsidR="001A2A89" w:rsidRDefault="00106551">
      <w:pPr>
        <w:pStyle w:val="Bibliography"/>
      </w:pPr>
      <w:bookmarkStart w:id="73" w:name="ref-lauerwaldSpatialPatternsCO22015"/>
      <w:bookmarkEnd w:id="72"/>
      <w:r>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67">
        <w:r>
          <w:rPr>
            <w:rStyle w:val="Hyperlink"/>
          </w:rPr>
          <w:t>https://doi.org/10.1002/2014GB004941</w:t>
        </w:r>
      </w:hyperlink>
    </w:p>
    <w:p w14:paraId="0A02E1D8" w14:textId="77777777" w:rsidR="001A2A89" w:rsidRDefault="00106551">
      <w:pPr>
        <w:pStyle w:val="Bibliography"/>
      </w:pPr>
      <w:bookmarkStart w:id="74" w:name="ref-leopoldHydraulicGeometryStream1953"/>
      <w:bookmarkEnd w:id="73"/>
      <w:r>
        <w:t xml:space="preserve">Leopold, L. B., &amp; Maddock, T. (1953). </w:t>
      </w:r>
      <w:r>
        <w:rPr>
          <w:i/>
          <w:iCs/>
        </w:rPr>
        <w:t>The Hydraulic Geometry of Stream Channels and Some Physiographic Implications</w:t>
      </w:r>
      <w:r>
        <w:t>. U.S. Government Printing Office.</w:t>
      </w:r>
    </w:p>
    <w:p w14:paraId="0A02E1D9" w14:textId="77777777" w:rsidR="001A2A89" w:rsidRDefault="00106551">
      <w:pPr>
        <w:pStyle w:val="Bibliography"/>
      </w:pPr>
      <w:bookmarkStart w:id="75" w:name="ref-liuHydrologicControlsPCO22018"/>
      <w:bookmarkEnd w:id="74"/>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68">
        <w:r>
          <w:rPr>
            <w:rStyle w:val="Hyperlink"/>
          </w:rPr>
          <w:t>https://doi.org/10.1002/lol2.10095</w:t>
        </w:r>
      </w:hyperlink>
    </w:p>
    <w:p w14:paraId="0A02E1DA" w14:textId="77777777" w:rsidR="001A2A89" w:rsidRDefault="00106551">
      <w:pPr>
        <w:pStyle w:val="Bibliography"/>
      </w:pPr>
      <w:bookmarkStart w:id="76" w:name="ref-liuImportanceHydrologyRouting2022"/>
      <w:bookmarkEnd w:id="75"/>
      <w:r>
        <w:t xml:space="preserve">Liu, S., Kuhn, C., Amatulli, G., Aho, K., Butman, D. E., Allen, G. H., et al. (2022). The importance of hydrology in routing terrestrial carbon to the atmosphere via global streams and rivers. </w:t>
      </w:r>
      <w:r>
        <w:rPr>
          <w:i/>
          <w:iCs/>
        </w:rPr>
        <w:t>Proceedings of the National Academy of Sciences</w:t>
      </w:r>
      <w:r>
        <w:t xml:space="preserve">, </w:t>
      </w:r>
      <w:r>
        <w:rPr>
          <w:i/>
          <w:iCs/>
        </w:rPr>
        <w:t>119</w:t>
      </w:r>
      <w:r>
        <w:t xml:space="preserve">(11), e2106322119. </w:t>
      </w:r>
      <w:hyperlink r:id="rId69">
        <w:r>
          <w:rPr>
            <w:rStyle w:val="Hyperlink"/>
          </w:rPr>
          <w:t>https://doi.org/10.1073/pnas.2106322119</w:t>
        </w:r>
      </w:hyperlink>
    </w:p>
    <w:p w14:paraId="0A02E1DB" w14:textId="77777777" w:rsidR="001A2A89" w:rsidRDefault="00106551">
      <w:pPr>
        <w:pStyle w:val="Bibliography"/>
      </w:pPr>
      <w:bookmarkStart w:id="77" w:name="ref-lorkeUnifiedScalingRelation2006a"/>
      <w:bookmarkEnd w:id="76"/>
      <w:r>
        <w:lastRenderedPageBreak/>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70">
        <w:r>
          <w:rPr>
            <w:rStyle w:val="Hyperlink"/>
          </w:rPr>
          <w:t>https://doi.org/10.1175/JPO2903.1</w:t>
        </w:r>
      </w:hyperlink>
    </w:p>
    <w:p w14:paraId="0A02E1DC" w14:textId="77777777" w:rsidR="001A2A89" w:rsidRDefault="00106551">
      <w:pPr>
        <w:pStyle w:val="Bibliography"/>
      </w:pPr>
      <w:bookmarkStart w:id="78" w:name="ref-moogAirWaterGasTransfer1999"/>
      <w:bookmarkEnd w:id="77"/>
      <w:r>
        <w:t xml:space="preserve">Moog, D. B., &amp; Jirka, G. H. (1999a). Air-Water Gas Transfer in Uniform Channel Flow. </w:t>
      </w:r>
      <w:r>
        <w:rPr>
          <w:i/>
          <w:iCs/>
        </w:rPr>
        <w:t>Journal of Hydraulic Engineering</w:t>
      </w:r>
      <w:r>
        <w:t xml:space="preserve">, </w:t>
      </w:r>
      <w:r>
        <w:rPr>
          <w:i/>
          <w:iCs/>
        </w:rPr>
        <w:t>125</w:t>
      </w:r>
      <w:r>
        <w:t xml:space="preserve">(1), 3–10. </w:t>
      </w:r>
      <w:hyperlink r:id="rId71">
        <w:r>
          <w:rPr>
            <w:rStyle w:val="Hyperlink"/>
          </w:rPr>
          <w:t>https://doi.org/10.1061/(ASCE)0733-9429(1999)125:1(3)</w:t>
        </w:r>
      </w:hyperlink>
    </w:p>
    <w:p w14:paraId="0A02E1DD" w14:textId="77777777" w:rsidR="001A2A89" w:rsidRDefault="00106551">
      <w:pPr>
        <w:pStyle w:val="Bibliography"/>
      </w:pPr>
      <w:bookmarkStart w:id="79" w:name="ref-moogStreamReaerationNonuniform1999"/>
      <w:bookmarkEnd w:id="78"/>
      <w:r>
        <w:t xml:space="preserve">Moog, D. B., &amp; Jirka, G. H. (1999b). Stream Reaeration in Nonuniform Flow: Macroroughness Enhancement. </w:t>
      </w:r>
      <w:r>
        <w:rPr>
          <w:i/>
          <w:iCs/>
        </w:rPr>
        <w:t>Journal of Hydraulic Engineering</w:t>
      </w:r>
      <w:r>
        <w:t xml:space="preserve">, </w:t>
      </w:r>
      <w:r>
        <w:rPr>
          <w:i/>
          <w:iCs/>
        </w:rPr>
        <w:t>125</w:t>
      </w:r>
      <w:r>
        <w:t>(1), 6.</w:t>
      </w:r>
    </w:p>
    <w:p w14:paraId="0A02E1DE" w14:textId="77777777" w:rsidR="001A2A89" w:rsidRDefault="00106551">
      <w:pPr>
        <w:pStyle w:val="Bibliography"/>
      </w:pPr>
      <w:bookmarkStart w:id="80" w:name="Xf0d7134c4429b54eb59e67421c7f58b95f7f684"/>
      <w:bookmarkEnd w:id="79"/>
      <w:r>
        <w:t xml:space="preserve">Oubanas, H., Gejadze, I., Malaterre, P.-O., Durand, M., Wei, R., Frasson,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72">
        <w:r>
          <w:rPr>
            <w:rStyle w:val="Hyperlink"/>
          </w:rPr>
          <w:t>https://doi.org/10.1002/2017WR021735</w:t>
        </w:r>
      </w:hyperlink>
    </w:p>
    <w:p w14:paraId="0A02E1DF" w14:textId="77777777" w:rsidR="001A2A89" w:rsidRDefault="00106551">
      <w:pPr>
        <w:pStyle w:val="Bibliography"/>
      </w:pPr>
      <w:bookmarkStart w:id="81" w:name="ref-owensReaerationStudiesStreams1964"/>
      <w:bookmarkEnd w:id="80"/>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73">
        <w:r>
          <w:rPr>
            <w:rStyle w:val="Hyperlink"/>
          </w:rPr>
          <w:t>https://ci.nii.ac.jp/naid/10025707421/</w:t>
        </w:r>
      </w:hyperlink>
    </w:p>
    <w:p w14:paraId="0A02E1E0" w14:textId="77777777" w:rsidR="001A2A89" w:rsidRDefault="00106551">
      <w:pPr>
        <w:pStyle w:val="Bibliography"/>
      </w:pPr>
      <w:bookmarkStart w:id="82" w:name="ref-panLargePersistentCarbon2011"/>
      <w:bookmarkEnd w:id="81"/>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74">
        <w:r>
          <w:rPr>
            <w:rStyle w:val="Hyperlink"/>
          </w:rPr>
          <w:t>https://doi.org/10.1126/science.1201609</w:t>
        </w:r>
      </w:hyperlink>
    </w:p>
    <w:p w14:paraId="0A02E1E1" w14:textId="77777777" w:rsidR="001A2A89" w:rsidRDefault="00106551">
      <w:pPr>
        <w:pStyle w:val="Bibliography"/>
      </w:pPr>
      <w:bookmarkStart w:id="83" w:name="ref-peterScalesDriversTemporal2014"/>
      <w:bookmarkEnd w:id="82"/>
      <w:r>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(6), 1078–1091. https://doi.org/</w:t>
      </w:r>
      <w:hyperlink r:id="rId75">
        <w:r>
          <w:rPr>
            <w:rStyle w:val="Hyperlink"/>
          </w:rPr>
          <w:t>https://doi.org/10.1002/2013JG002552</w:t>
        </w:r>
      </w:hyperlink>
    </w:p>
    <w:p w14:paraId="0A02E1E2" w14:textId="77777777" w:rsidR="001A2A89" w:rsidRDefault="00106551">
      <w:pPr>
        <w:pStyle w:val="Bibliography"/>
      </w:pPr>
      <w:bookmarkStart w:id="84" w:name="ref-ranDynamicsRiverineCO22017"/>
      <w:bookmarkEnd w:id="83"/>
      <w:r>
        <w:lastRenderedPageBreak/>
        <w:t xml:space="preserve">Ran, L., Lu, X. X., &amp; Liu, S. (2017). Dynamics of riverine CO2 in the Yangtze River fluvial network and their implications for carbon evasion. </w:t>
      </w:r>
      <w:r>
        <w:rPr>
          <w:i/>
          <w:iCs/>
        </w:rPr>
        <w:t>Biogeosciences</w:t>
      </w:r>
      <w:r>
        <w:t xml:space="preserve">, </w:t>
      </w:r>
      <w:r>
        <w:rPr>
          <w:i/>
          <w:iCs/>
        </w:rPr>
        <w:t>14</w:t>
      </w:r>
      <w:r>
        <w:t>, 2183–2198.</w:t>
      </w:r>
    </w:p>
    <w:p w14:paraId="0A02E1E3" w14:textId="77777777" w:rsidR="001A2A89" w:rsidRDefault="00106551">
      <w:pPr>
        <w:pStyle w:val="Bibliography"/>
      </w:pPr>
      <w:bookmarkStart w:id="85" w:name="ref-raymondGasExchangeRivers2001"/>
      <w:bookmarkEnd w:id="84"/>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76">
        <w:r>
          <w:rPr>
            <w:rStyle w:val="Hyperlink"/>
          </w:rPr>
          <w:t>https://doi.org/10.2307/1352954</w:t>
        </w:r>
      </w:hyperlink>
    </w:p>
    <w:p w14:paraId="0A02E1E4" w14:textId="77777777" w:rsidR="001A2A89" w:rsidRDefault="00106551">
      <w:pPr>
        <w:pStyle w:val="Bibliography"/>
      </w:pPr>
      <w:bookmarkStart w:id="86" w:name="ref-raymondAtmosphericCO2Evasion2000"/>
      <w:bookmarkEnd w:id="85"/>
      <w:r>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(8), 1707–1717. https://doi.org/</w:t>
      </w:r>
      <w:hyperlink r:id="rId77">
        <w:r>
          <w:rPr>
            <w:rStyle w:val="Hyperlink"/>
          </w:rPr>
          <w:t>https://doi.org/10.4319/lo.2000.45.8.1707</w:t>
        </w:r>
      </w:hyperlink>
    </w:p>
    <w:p w14:paraId="0A02E1E5" w14:textId="77777777" w:rsidR="001A2A89" w:rsidRDefault="00106551">
      <w:pPr>
        <w:pStyle w:val="Bibliography"/>
      </w:pPr>
      <w:bookmarkStart w:id="87" w:name="ref-raymondScalingGasTransfer2012"/>
      <w:bookmarkEnd w:id="86"/>
      <w:r>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78">
        <w:r>
          <w:rPr>
            <w:rStyle w:val="Hyperlink"/>
          </w:rPr>
          <w:t>https://doi.org/10.1215/21573689-1597669@10.1002/(ISSN)1939-5590.MethaneVI</w:t>
        </w:r>
      </w:hyperlink>
    </w:p>
    <w:p w14:paraId="0A02E1E6" w14:textId="77777777" w:rsidR="001A2A89" w:rsidRDefault="00106551">
      <w:pPr>
        <w:pStyle w:val="Bibliography"/>
      </w:pPr>
      <w:bookmarkStart w:id="88" w:name="ref-raymondGlobalCarbonDioxide2013"/>
      <w:bookmarkEnd w:id="87"/>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79">
        <w:r>
          <w:rPr>
            <w:rStyle w:val="Hyperlink"/>
          </w:rPr>
          <w:t>https://doi.org/10.1038/nature12760</w:t>
        </w:r>
      </w:hyperlink>
    </w:p>
    <w:p w14:paraId="0A02E1E7" w14:textId="77777777" w:rsidR="001A2A89" w:rsidRDefault="00106551">
      <w:pPr>
        <w:pStyle w:val="Bibliography"/>
      </w:pPr>
      <w:bookmarkStart w:id="89" w:name="X27ee59fd84b56f65b1a00ff8e0bb92ac4d169b9"/>
      <w:bookmarkEnd w:id="88"/>
      <w:r>
        <w:t xml:space="preserve">Rocher‐Ros, G., Sponseller, R. A., Lidberg, W., 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80">
        <w:r>
          <w:rPr>
            <w:rStyle w:val="Hyperlink"/>
          </w:rPr>
          <w:t>https://doi.org/10.1002/lol2.10108</w:t>
        </w:r>
      </w:hyperlink>
    </w:p>
    <w:p w14:paraId="0A02E1E8" w14:textId="77777777" w:rsidR="001A2A89" w:rsidRDefault="00106551">
      <w:pPr>
        <w:pStyle w:val="Bibliography"/>
      </w:pPr>
      <w:bookmarkStart w:id="90" w:name="X9d24b65e3a1bed3e3aaab2ae38d369a2c8c4e36"/>
      <w:bookmarkEnd w:id="89"/>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81">
        <w:r>
          <w:rPr>
            <w:rStyle w:val="Hyperlink"/>
          </w:rPr>
          <w:t>https://doi.org/10.1029/2021GB006972</w:t>
        </w:r>
      </w:hyperlink>
    </w:p>
    <w:p w14:paraId="0A02E1E9" w14:textId="77777777" w:rsidR="001A2A89" w:rsidRDefault="00106551">
      <w:pPr>
        <w:pStyle w:val="Bibliography"/>
      </w:pPr>
      <w:bookmarkStart w:id="91" w:name="ref-sand-jensenCO2DynamicsDanish2012"/>
      <w:bookmarkEnd w:id="90"/>
      <w:r>
        <w:lastRenderedPageBreak/>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82">
        <w:r>
          <w:rPr>
            <w:rStyle w:val="Hyperlink"/>
          </w:rPr>
          <w:t>https://doi.org/10.1007/s10533-011-9696-6</w:t>
        </w:r>
      </w:hyperlink>
    </w:p>
    <w:p w14:paraId="0A02E1EA" w14:textId="77777777" w:rsidR="001A2A89" w:rsidRDefault="00106551">
      <w:pPr>
        <w:pStyle w:val="Bibliography"/>
      </w:pPr>
      <w:bookmarkStart w:id="92" w:name="ref-talkeTurbulentKineticEnergy2013"/>
      <w:bookmarkEnd w:id="91"/>
      <w:r>
        <w:t xml:space="preserve">Talke, S. A., Horner-Devine, A. R., Chickadel,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83">
        <w:r>
          <w:rPr>
            <w:rStyle w:val="Hyperlink"/>
          </w:rPr>
          <w:t>https://doi.org/10.1002/2012JC008103</w:t>
        </w:r>
      </w:hyperlink>
    </w:p>
    <w:p w14:paraId="0A02E1EB" w14:textId="77777777" w:rsidR="001A2A89" w:rsidRDefault="00106551">
      <w:pPr>
        <w:pStyle w:val="Bibliography"/>
      </w:pPr>
      <w:bookmarkStart w:id="93" w:name="ref-tokoroHighGastransferVelocity2008"/>
      <w:bookmarkEnd w:id="92"/>
      <w:r>
        <w:t xml:space="preserve">Tokoro, T., Kayanne, H., Watanabe, A., Nadaoka,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84">
        <w:r>
          <w:rPr>
            <w:rStyle w:val="Hyperlink"/>
          </w:rPr>
          <w:t>https://doi.org/10.1029/2007JC004528</w:t>
        </w:r>
      </w:hyperlink>
    </w:p>
    <w:p w14:paraId="0A02E1EC" w14:textId="77777777" w:rsidR="001A2A89" w:rsidRDefault="00106551">
      <w:pPr>
        <w:pStyle w:val="Bibliography"/>
      </w:pPr>
      <w:bookmarkStart w:id="94" w:name="ref-tuozzoloEstimatingRiverDischarge2019"/>
      <w:bookmarkEnd w:id="93"/>
      <w:r>
        <w:t xml:space="preserve">Tuozzolo, S., Lind, G., Overstreet,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85">
        <w:r>
          <w:rPr>
            <w:rStyle w:val="Hyperlink"/>
          </w:rPr>
          <w:t>https://doi.org/10.1029/2018GL080771</w:t>
        </w:r>
      </w:hyperlink>
    </w:p>
    <w:p w14:paraId="0A02E1ED" w14:textId="77777777" w:rsidR="001A2A89" w:rsidRDefault="00106551">
      <w:pPr>
        <w:pStyle w:val="Bibliography"/>
      </w:pPr>
      <w:bookmarkStart w:id="95" w:name="ref-ulsethDistinctAirWater2019"/>
      <w:bookmarkEnd w:id="94"/>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86">
        <w:r>
          <w:rPr>
            <w:rStyle w:val="Hyperlink"/>
          </w:rPr>
          <w:t>https://doi.org/10.1038/s41561-019-0324-8</w:t>
        </w:r>
      </w:hyperlink>
    </w:p>
    <w:p w14:paraId="0A02E1EE" w14:textId="77777777" w:rsidR="001A2A89" w:rsidRDefault="00106551">
      <w:pPr>
        <w:pStyle w:val="Bibliography"/>
      </w:pPr>
      <w:bookmarkStart w:id="96" w:name="Xf018031ac1968502e8c6e3c3ca9744200b7cb3d"/>
      <w:bookmarkEnd w:id="95"/>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87">
        <w:r>
          <w:rPr>
            <w:rStyle w:val="Hyperlink"/>
          </w:rPr>
          <w:t>https://doi.org/10.4319/lo.2010.55.4.1723</w:t>
        </w:r>
      </w:hyperlink>
    </w:p>
    <w:p w14:paraId="0A02E1EF" w14:textId="77777777" w:rsidR="001A2A89" w:rsidRDefault="00106551">
      <w:pPr>
        <w:pStyle w:val="Bibliography"/>
      </w:pPr>
      <w:bookmarkStart w:id="97" w:name="X19bbff5009581955030fe4ea159830e4885d13d"/>
      <w:bookmarkEnd w:id="96"/>
      <w:r>
        <w:lastRenderedPageBreak/>
        <w:t xml:space="preserve">Wallin, M. B., Öquist,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(3). https://doi.org/</w:t>
      </w:r>
      <w:hyperlink r:id="rId88">
        <w:r>
          <w:rPr>
            <w:rStyle w:val="Hyperlink"/>
          </w:rPr>
          <w:t>https://doi.org/10.1029/2010GB003975</w:t>
        </w:r>
      </w:hyperlink>
    </w:p>
    <w:p w14:paraId="0A02E1F0" w14:textId="77777777" w:rsidR="001A2A89" w:rsidRDefault="00106551">
      <w:pPr>
        <w:pStyle w:val="Bibliography"/>
      </w:pPr>
      <w:bookmarkStart w:id="98" w:name="ref-wangPhysicallyBasedScaling2021"/>
      <w:bookmarkEnd w:id="97"/>
      <w:r>
        <w:t xml:space="preserve">Wang, J., Bombardelli, F. A., &amp; Dong, X. (2021). Physically Based Scaling Models to Predict Gas Transfer Velocity in Streams and Rivers. </w:t>
      </w:r>
      <w:r>
        <w:rPr>
          <w:i/>
          <w:iCs/>
        </w:rPr>
        <w:t>Water Resources Research</w:t>
      </w:r>
      <w:r>
        <w:t xml:space="preserve">, </w:t>
      </w:r>
      <w:r>
        <w:rPr>
          <w:i/>
          <w:iCs/>
        </w:rPr>
        <w:t>57</w:t>
      </w:r>
      <w:r>
        <w:t>(3), e2020WR028757. https://doi.org/</w:t>
      </w:r>
      <w:hyperlink r:id="rId89">
        <w:r>
          <w:rPr>
            <w:rStyle w:val="Hyperlink"/>
          </w:rPr>
          <w:t>https://doi.org/10.1029/2020WR028757</w:t>
        </w:r>
      </w:hyperlink>
    </w:p>
    <w:p w14:paraId="0A02E1F1" w14:textId="77777777" w:rsidR="001A2A89" w:rsidRDefault="00106551">
      <w:pPr>
        <w:pStyle w:val="Bibliography"/>
      </w:pPr>
      <w:bookmarkStart w:id="99" w:name="ref-zappaVariationSurfaceTurbulence2003"/>
      <w:bookmarkEnd w:id="98"/>
      <w:r>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90">
        <w:r>
          <w:rPr>
            <w:rStyle w:val="Hyperlink"/>
          </w:rPr>
          <w:t>https://doi.org/10.1007/BF02803649</w:t>
        </w:r>
      </w:hyperlink>
    </w:p>
    <w:p w14:paraId="0A02E1F2" w14:textId="77777777" w:rsidR="001A2A89" w:rsidRDefault="00106551">
      <w:pPr>
        <w:pStyle w:val="Bibliography"/>
      </w:pPr>
      <w:bookmarkStart w:id="100" w:name="Xeea10036bb7406a899d506648158b73655143f0"/>
      <w:bookmarkEnd w:id="99"/>
      <w:r>
        <w:t xml:space="preserve">Zappa, C. J., McGillis, W. R., Raymond, P. A., Edson, J. B., Hintsa,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91">
        <w:r>
          <w:rPr>
            <w:rStyle w:val="Hyperlink"/>
          </w:rPr>
          <w:t>https://doi.org/10.1029/2006GL028790</w:t>
        </w:r>
      </w:hyperlink>
    </w:p>
    <w:p w14:paraId="0A02E1F3" w14:textId="77777777" w:rsidR="001A2A89" w:rsidRDefault="00106551">
      <w:pPr>
        <w:pStyle w:val="Bibliography"/>
      </w:pPr>
      <w:bookmarkStart w:id="101" w:name="ref-zhaoDependenceWhitecapCoverage2001"/>
      <w:bookmarkEnd w:id="100"/>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92">
        <w:r>
          <w:rPr>
            <w:rStyle w:val="Hyperlink"/>
          </w:rPr>
          <w:t>https://doi.org/10.1023/A:1021215904955</w:t>
        </w:r>
      </w:hyperlink>
    </w:p>
    <w:p w14:paraId="0A02E1F4" w14:textId="77777777" w:rsidR="001A2A89" w:rsidRDefault="00106551">
      <w:pPr>
        <w:pStyle w:val="Bibliography"/>
      </w:pPr>
      <w:bookmarkStart w:id="102" w:name="ref-zhaoEffectWindWaves2003"/>
      <w:bookmarkEnd w:id="101"/>
      <w:r>
        <w:t xml:space="preserve">Zhao, D., Toba, Y., Suzuki, Y., &amp; Komori,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93">
        <w:r>
          <w:rPr>
            <w:rStyle w:val="Hyperlink"/>
          </w:rPr>
          <w:t>https://doi.org/10.3402/tellusb.v55i2.16747</w:t>
        </w:r>
      </w:hyperlink>
      <w:bookmarkEnd w:id="28"/>
      <w:bookmarkEnd w:id="30"/>
      <w:bookmarkEnd w:id="102"/>
    </w:p>
    <w:sectPr w:rsidR="001A2A89" w:rsidSect="00EF1B30">
      <w:footerReference w:type="default" r:id="rId9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00A23D" w14:textId="77777777" w:rsidR="000368A9" w:rsidRDefault="000368A9">
      <w:pPr>
        <w:spacing w:before="0" w:after="0" w:line="240" w:lineRule="auto"/>
      </w:pPr>
      <w:r>
        <w:separator/>
      </w:r>
    </w:p>
  </w:endnote>
  <w:endnote w:type="continuationSeparator" w:id="0">
    <w:p w14:paraId="4933C810" w14:textId="77777777" w:rsidR="000368A9" w:rsidRDefault="000368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835052"/>
      <w:docPartObj>
        <w:docPartGallery w:val="Page Numbers (Bottom of Page)"/>
        <w:docPartUnique/>
      </w:docPartObj>
    </w:sdtPr>
    <w:sdtEndPr>
      <w:rPr>
        <w:noProof/>
      </w:rPr>
    </w:sdtEndPr>
    <w:sdtContent>
      <w:p w14:paraId="0A02E205" w14:textId="538C78E0" w:rsidR="00642D4E" w:rsidRDefault="00106551">
        <w:pPr>
          <w:pStyle w:val="Footer"/>
          <w:jc w:val="center"/>
        </w:pPr>
        <w:r>
          <w:fldChar w:fldCharType="begin"/>
        </w:r>
        <w:r>
          <w:instrText xml:space="preserve"> PAGE   \* MERGEFORMAT </w:instrText>
        </w:r>
        <w:r>
          <w:fldChar w:fldCharType="separate"/>
        </w:r>
        <w:r w:rsidR="00897893">
          <w:rPr>
            <w:noProof/>
          </w:rPr>
          <w:t>1</w:t>
        </w:r>
        <w:r>
          <w:rPr>
            <w:noProof/>
          </w:rPr>
          <w:fldChar w:fldCharType="end"/>
        </w:r>
      </w:p>
    </w:sdtContent>
  </w:sdt>
  <w:p w14:paraId="0A02E206" w14:textId="77777777" w:rsidR="007B72BB" w:rsidRDefault="00897893" w:rsidP="00EB5DE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F547B" w14:textId="77777777" w:rsidR="000368A9" w:rsidRDefault="000368A9">
      <w:r>
        <w:separator/>
      </w:r>
    </w:p>
  </w:footnote>
  <w:footnote w:type="continuationSeparator" w:id="0">
    <w:p w14:paraId="29DDA002" w14:textId="77777777" w:rsidR="000368A9" w:rsidRDefault="000368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2C01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AE23F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715C44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A89"/>
    <w:rsid w:val="000368A9"/>
    <w:rsid w:val="00106551"/>
    <w:rsid w:val="001A2A89"/>
    <w:rsid w:val="003D7D31"/>
    <w:rsid w:val="0084576A"/>
    <w:rsid w:val="00897893"/>
    <w:rsid w:val="00AC7715"/>
    <w:rsid w:val="00B6028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2E056"/>
  <w15:docId w15:val="{FEA357FC-B306-422A-B09B-69D3B050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29/2018JG004750" TargetMode="External"/><Relationship Id="rId21" Type="http://schemas.openxmlformats.org/officeDocument/2006/relationships/hyperlink" Target="https://doi.org/10.1029/2011JG001794" TargetMode="External"/><Relationship Id="rId42" Type="http://schemas.openxmlformats.org/officeDocument/2006/relationships/hyperlink" Target="https://doi.org/10.1016/B978-1-4832-8391-3.50015-4" TargetMode="External"/><Relationship Id="rId47" Type="http://schemas.openxmlformats.org/officeDocument/2006/relationships/hyperlink" Target="https://doi.org/10.1016/j.rse.2020.111883" TargetMode="External"/><Relationship Id="rId63" Type="http://schemas.openxmlformats.org/officeDocument/2006/relationships/hyperlink" Target="https://doi.org/10.1029/2020WR027794" TargetMode="External"/><Relationship Id="rId68" Type="http://schemas.openxmlformats.org/officeDocument/2006/relationships/hyperlink" Target="https://doi.org/10.1002/lol2.10095" TargetMode="External"/><Relationship Id="rId84" Type="http://schemas.openxmlformats.org/officeDocument/2006/relationships/hyperlink" Target="https://doi.org/10.1029/2007JC004528" TargetMode="External"/><Relationship Id="rId89" Type="http://schemas.openxmlformats.org/officeDocument/2006/relationships/hyperlink" Target="https://doi.org/10.1029/2020WR028757" TargetMode="External"/><Relationship Id="rId16" Type="http://schemas.openxmlformats.org/officeDocument/2006/relationships/hyperlink" Target="https://doi.org/10.1038/s41561-019-0324-8" TargetMode="External"/><Relationship Id="rId11" Type="http://schemas.openxmlformats.org/officeDocument/2006/relationships/image" Target="media/image3.jpg"/><Relationship Id="rId32" Type="http://schemas.openxmlformats.org/officeDocument/2006/relationships/hyperlink" Target="https://doi.org/10.1002/2017JG004140" TargetMode="External"/><Relationship Id="rId37" Type="http://schemas.openxmlformats.org/officeDocument/2006/relationships/hyperlink" Target="https://doi.org/10.1029/2020WR027949" TargetMode="External"/><Relationship Id="rId53" Type="http://schemas.openxmlformats.org/officeDocument/2006/relationships/hyperlink" Target="https://doi.org/10.1177/0309133314567584" TargetMode="External"/><Relationship Id="rId58" Type="http://schemas.openxmlformats.org/officeDocument/2006/relationships/hyperlink" Target="https://doi.org/10.1002/2017WR021626" TargetMode="External"/><Relationship Id="rId74" Type="http://schemas.openxmlformats.org/officeDocument/2006/relationships/hyperlink" Target="https://doi.org/10.1126/science.1201609" TargetMode="External"/><Relationship Id="rId79" Type="http://schemas.openxmlformats.org/officeDocument/2006/relationships/hyperlink" Target="https://doi.org/10.1038/nature12760" TargetMode="External"/><Relationship Id="rId5" Type="http://schemas.openxmlformats.org/officeDocument/2006/relationships/footnotes" Target="footnotes.xml"/><Relationship Id="rId90" Type="http://schemas.openxmlformats.org/officeDocument/2006/relationships/hyperlink" Target="https://doi.org/10.1007/BF02803649" TargetMode="External"/><Relationship Id="rId95" Type="http://schemas.openxmlformats.org/officeDocument/2006/relationships/fontTable" Target="fontTable.xml"/><Relationship Id="rId22" Type="http://schemas.openxmlformats.org/officeDocument/2006/relationships/hyperlink" Target="https://doi.org/10.1002/2015WR018434" TargetMode="External"/><Relationship Id="rId27" Type="http://schemas.openxmlformats.org/officeDocument/2006/relationships/hyperlink" Target="https://doi.org/10.1002/lno.11906" TargetMode="External"/><Relationship Id="rId43" Type="http://schemas.openxmlformats.org/officeDocument/2006/relationships/hyperlink" Target="https://doi.org/10.1007/s10021-006-9013-8" TargetMode="External"/><Relationship Id="rId48" Type="http://schemas.openxmlformats.org/officeDocument/2006/relationships/hyperlink" Target="https://doi.org/10.1038/s41467-021-27228-1" TargetMode="External"/><Relationship Id="rId64" Type="http://schemas.openxmlformats.org/officeDocument/2006/relationships/hyperlink" Target="https://doi.org/10.1029/2018WR022731" TargetMode="External"/><Relationship Id="rId69" Type="http://schemas.openxmlformats.org/officeDocument/2006/relationships/hyperlink" Target="https://doi.org/10.1073/pnas.2106322119" TargetMode="External"/><Relationship Id="rId8" Type="http://schemas.openxmlformats.org/officeDocument/2006/relationships/hyperlink" Target="mailto:cbrinkerhoff@umass.edu" TargetMode="External"/><Relationship Id="rId51" Type="http://schemas.openxmlformats.org/officeDocument/2006/relationships/hyperlink" Target="https://doi.org/10.1002/hyp.11033" TargetMode="External"/><Relationship Id="rId72" Type="http://schemas.openxmlformats.org/officeDocument/2006/relationships/hyperlink" Target="https://doi.org/10.1002/2017WR021735" TargetMode="External"/><Relationship Id="rId80" Type="http://schemas.openxmlformats.org/officeDocument/2006/relationships/hyperlink" Target="https://doi.org/10.1002/lol2.10108" TargetMode="External"/><Relationship Id="rId85" Type="http://schemas.openxmlformats.org/officeDocument/2006/relationships/hyperlink" Target="https://doi.org/10.1029/2018GL080771" TargetMode="External"/><Relationship Id="rId93" Type="http://schemas.openxmlformats.org/officeDocument/2006/relationships/hyperlink" Target="https://doi.org/10.3402/tellusb.v55i2.16747"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s://doi.org/10.1029/2019GL084529" TargetMode="External"/><Relationship Id="rId25" Type="http://schemas.openxmlformats.org/officeDocument/2006/relationships/hyperlink" Target="https://zenodo.org/record/6415434" TargetMode="External"/><Relationship Id="rId33" Type="http://schemas.openxmlformats.org/officeDocument/2006/relationships/hyperlink" Target="https://doi.org/10.1029/2011JG001794" TargetMode="External"/><Relationship Id="rId38" Type="http://schemas.openxmlformats.org/officeDocument/2006/relationships/hyperlink" Target="https://doi.org/10.1029/2020GL090068" TargetMode="External"/><Relationship Id="rId46" Type="http://schemas.openxmlformats.org/officeDocument/2006/relationships/hyperlink" Target="https://doi.org/10.1002/2015WR018434" TargetMode="External"/><Relationship Id="rId59" Type="http://schemas.openxmlformats.org/officeDocument/2006/relationships/hyperlink" Target="https://doi.org/10.1002/wat2.1391" TargetMode="External"/><Relationship Id="rId67" Type="http://schemas.openxmlformats.org/officeDocument/2006/relationships/hyperlink" Target="https://doi.org/10.1002/2014GB004941" TargetMode="External"/><Relationship Id="rId20" Type="http://schemas.openxmlformats.org/officeDocument/2006/relationships/hyperlink" Target="https://pubs.usgs.gov/pp/0737/report.pdf" TargetMode="External"/><Relationship Id="rId41" Type="http://schemas.openxmlformats.org/officeDocument/2006/relationships/hyperlink" Target="https://doi.org/10.1016/0009-2509(61)87005-X" TargetMode="External"/><Relationship Id="rId54" Type="http://schemas.openxmlformats.org/officeDocument/2006/relationships/hyperlink" Target="https://doi.org/10.1073/pnas.1317606111" TargetMode="External"/><Relationship Id="rId62" Type="http://schemas.openxmlformats.org/officeDocument/2006/relationships/hyperlink" Target="https://doi.org/10.1038/s41467-019-12905-z" TargetMode="External"/><Relationship Id="rId70" Type="http://schemas.openxmlformats.org/officeDocument/2006/relationships/hyperlink" Target="https://doi.org/10.1175/JPO2903.1" TargetMode="External"/><Relationship Id="rId75" Type="http://schemas.openxmlformats.org/officeDocument/2006/relationships/hyperlink" Target="https://doi.org/10.1002/2013JG002552" TargetMode="External"/><Relationship Id="rId83" Type="http://schemas.openxmlformats.org/officeDocument/2006/relationships/hyperlink" Target="https://doi.org/10.1002/2012JC008103" TargetMode="External"/><Relationship Id="rId88" Type="http://schemas.openxmlformats.org/officeDocument/2006/relationships/hyperlink" Target="https://doi.org/10.1029/2010GB003975" TargetMode="External"/><Relationship Id="rId91" Type="http://schemas.openxmlformats.org/officeDocument/2006/relationships/hyperlink" Target="https://doi.org/10.1029/2006GL028790"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s://zenodo.org/record/6416069" TargetMode="External"/><Relationship Id="rId28" Type="http://schemas.openxmlformats.org/officeDocument/2006/relationships/hyperlink" Target="https://doi.org/10.1002/lol2.10195" TargetMode="External"/><Relationship Id="rId36" Type="http://schemas.openxmlformats.org/officeDocument/2006/relationships/hyperlink" Target="https://doi.org/10.1029/2019GL084529" TargetMode="External"/><Relationship Id="rId49" Type="http://schemas.openxmlformats.org/officeDocument/2006/relationships/hyperlink" Target="https://doi.org/10.1029/2020WR028519" TargetMode="External"/><Relationship Id="rId57" Type="http://schemas.openxmlformats.org/officeDocument/2006/relationships/hyperlink" Target="https://doi.org/10.1126/science.aau5153" TargetMode="External"/><Relationship Id="rId10" Type="http://schemas.openxmlformats.org/officeDocument/2006/relationships/image" Target="media/image2.jpg"/><Relationship Id="rId31" Type="http://schemas.openxmlformats.org/officeDocument/2006/relationships/hyperlink" Target="https://doi.org/10.1029/2019WR026611" TargetMode="External"/><Relationship Id="rId44" Type="http://schemas.openxmlformats.org/officeDocument/2006/relationships/hyperlink" Target="https://doi.org/10.1007/s00027-016-0511-2" TargetMode="External"/><Relationship Id="rId52" Type="http://schemas.openxmlformats.org/officeDocument/2006/relationships/hyperlink" Target="https://doi.org/10.1016/j.jhydrol.2019.124409" TargetMode="External"/><Relationship Id="rId60" Type="http://schemas.openxmlformats.org/officeDocument/2006/relationships/hyperlink" Target="https://doi.org/10.1215/21573689-1572535" TargetMode="External"/><Relationship Id="rId65" Type="http://schemas.openxmlformats.org/officeDocument/2006/relationships/hyperlink" Target="https://doi.org/10.5194/hess-23-4323-2019" TargetMode="External"/><Relationship Id="rId73" Type="http://schemas.openxmlformats.org/officeDocument/2006/relationships/hyperlink" Target="https://ci.nii.ac.jp/naid/10025707421/" TargetMode="External"/><Relationship Id="rId78" Type="http://schemas.openxmlformats.org/officeDocument/2006/relationships/hyperlink" Target="https://doi.org/10.1215/21573689-1597669@10.1002/(ISSN)1939-5590.MethaneVI" TargetMode="External"/><Relationship Id="rId81" Type="http://schemas.openxmlformats.org/officeDocument/2006/relationships/hyperlink" Target="https://doi.org/10.1029/2021GB006972" TargetMode="External"/><Relationship Id="rId86" Type="http://schemas.openxmlformats.org/officeDocument/2006/relationships/hyperlink" Target="https://doi.org/10.1038/s41561-019-0324-8"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tiff"/><Relationship Id="rId13" Type="http://schemas.openxmlformats.org/officeDocument/2006/relationships/image" Target="media/image5.jpg"/><Relationship Id="rId18" Type="http://schemas.openxmlformats.org/officeDocument/2006/relationships/hyperlink" Target="https://zenodo.org/record/3817817" TargetMode="External"/><Relationship Id="rId39" Type="http://schemas.openxmlformats.org/officeDocument/2006/relationships/hyperlink" Target="https://doi.org/10.1016/j.advwatres.2018.06.004" TargetMode="External"/><Relationship Id="rId34" Type="http://schemas.openxmlformats.org/officeDocument/2006/relationships/hyperlink" Target="https://doi.org/10.1007/978-3-319-32449-4_6" TargetMode="External"/><Relationship Id="rId50" Type="http://schemas.openxmlformats.org/officeDocument/2006/relationships/hyperlink" Target="https://doi.org/10.1016/j.advwatres.2015.02.007" TargetMode="External"/><Relationship Id="rId55" Type="http://schemas.openxmlformats.org/officeDocument/2006/relationships/hyperlink" Target="https://doi.org/10.1002/2014WR016109" TargetMode="External"/><Relationship Id="rId76" Type="http://schemas.openxmlformats.org/officeDocument/2006/relationships/hyperlink" Target="https://doi.org/10.2307/1352954" TargetMode="External"/><Relationship Id="rId7" Type="http://schemas.openxmlformats.org/officeDocument/2006/relationships/hyperlink" Target="mailto:cbrinkerhoff@umass.edu" TargetMode="External"/><Relationship Id="rId71" Type="http://schemas.openxmlformats.org/officeDocument/2006/relationships/hyperlink" Target="https://doi.org/10.1061/(ASCE)0733-9429(1999)125:1(3)" TargetMode="External"/><Relationship Id="rId92" Type="http://schemas.openxmlformats.org/officeDocument/2006/relationships/hyperlink" Target="https://doi.org/10.1023/A:1021215904955" TargetMode="External"/><Relationship Id="rId2" Type="http://schemas.openxmlformats.org/officeDocument/2006/relationships/styles" Target="styles.xml"/><Relationship Id="rId29" Type="http://schemas.openxmlformats.org/officeDocument/2006/relationships/hyperlink" Target="https://doi.org/10.1029/2010JG001398" TargetMode="External"/><Relationship Id="rId24" Type="http://schemas.openxmlformats.org/officeDocument/2006/relationships/hyperlink" Target="https://github.com/craigbrinkerhoff/BIKER" TargetMode="External"/><Relationship Id="rId40" Type="http://schemas.openxmlformats.org/officeDocument/2006/relationships/hyperlink" Target="https://doi.org/10.1002/2017GL074979" TargetMode="External"/><Relationship Id="rId45" Type="http://schemas.openxmlformats.org/officeDocument/2006/relationships/hyperlink" Target="https://doi.org/10.1016/j.jhydrol.2013.12.050" TargetMode="External"/><Relationship Id="rId66" Type="http://schemas.openxmlformats.org/officeDocument/2006/relationships/hyperlink" Target="https://doi.org/10.1080/17415977.2020.1803858" TargetMode="External"/><Relationship Id="rId87" Type="http://schemas.openxmlformats.org/officeDocument/2006/relationships/hyperlink" Target="https://doi.org/10.4319/lo.2010.55.4.1723" TargetMode="External"/><Relationship Id="rId61" Type="http://schemas.openxmlformats.org/officeDocument/2006/relationships/hyperlink" Target="https://doi.org/10.1029/2020WR028714" TargetMode="External"/><Relationship Id="rId82" Type="http://schemas.openxmlformats.org/officeDocument/2006/relationships/hyperlink" Target="https://doi.org/10.1007/s10533-011-9696-6" TargetMode="External"/><Relationship Id="rId19" Type="http://schemas.openxmlformats.org/officeDocument/2006/relationships/hyperlink" Target="https://pubs.usgs.gov/pp/0737/report.pdf" TargetMode="External"/><Relationship Id="rId14" Type="http://schemas.openxmlformats.org/officeDocument/2006/relationships/image" Target="media/image6.jpg"/><Relationship Id="rId30" Type="http://schemas.openxmlformats.org/officeDocument/2006/relationships/hyperlink" Target="https://doi.org/10.1029/2021WR030054" TargetMode="External"/><Relationship Id="rId35" Type="http://schemas.openxmlformats.org/officeDocument/2006/relationships/hyperlink" Target="https://doi.org/10.1038/ngeo2486" TargetMode="External"/><Relationship Id="rId56" Type="http://schemas.openxmlformats.org/officeDocument/2006/relationships/hyperlink" Target="https://doi.org/10.1029/2017EO078085" TargetMode="External"/><Relationship Id="rId77" Type="http://schemas.openxmlformats.org/officeDocument/2006/relationships/hyperlink" Target="https://doi.org/10.4319/lo.2000.45.8.17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1015</TotalTime>
  <Pages>55</Pages>
  <Words>12217</Words>
  <Characters>69642</Characters>
  <Application>Microsoft Office Word</Application>
  <DocSecurity>0</DocSecurity>
  <Lines>580</Lines>
  <Paragraphs>163</Paragraphs>
  <ScaleCrop>false</ScaleCrop>
  <Company/>
  <LinksUpToDate>false</LinksUpToDate>
  <CharactersWithSpaces>81696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
  <cp:keywords/>
  <cp:lastModifiedBy>Craig Brinkerhoff</cp:lastModifiedBy>
  <cp:revision>6</cp:revision>
  <dcterms:created xsi:type="dcterms:W3CDTF">2022-04-05T21:28:00Z</dcterms:created>
  <dcterms:modified xsi:type="dcterms:W3CDTF">2022-04-06T14:21:00Z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ies>
</file>