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5BC44" w14:textId="77777777" w:rsidR="003677D2" w:rsidRDefault="00D95A7A">
      <w:pPr>
        <w:pStyle w:val="Title"/>
      </w:pPr>
      <w:r>
        <w:t>Remotely sensing river greenhouse gas exchange velocity using the SWOT satellite</w:t>
      </w:r>
    </w:p>
    <w:p w14:paraId="0945BC45" w14:textId="77777777" w:rsidR="003677D2" w:rsidRDefault="00D95A7A">
      <w:pPr>
        <w:pStyle w:val="Author"/>
      </w:pPr>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E Harlan</w:t>
      </w:r>
      <w:r>
        <w:rPr>
          <w:vertAlign w:val="superscript"/>
        </w:rPr>
        <w:t>1</w:t>
      </w:r>
    </w:p>
    <w:p w14:paraId="0945BC46" w14:textId="77777777" w:rsidR="003677D2" w:rsidRDefault="00D95A7A" w:rsidP="00004E74">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0945BC47" w14:textId="77777777" w:rsidR="003677D2" w:rsidRDefault="00D95A7A">
      <w:pPr>
        <w:pStyle w:val="BodyTex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945BC48" w14:textId="77777777" w:rsidR="003677D2" w:rsidRDefault="00D95A7A">
      <w:pPr>
        <w:pStyle w:val="Heading2"/>
      </w:pPr>
      <w:bookmarkStart w:id="0" w:name="key-points"/>
      <w:r>
        <w:t>Key Points</w:t>
      </w:r>
    </w:p>
    <w:p w14:paraId="0945BC49" w14:textId="77777777" w:rsidR="003677D2" w:rsidRDefault="00D95A7A">
      <w:pPr>
        <w:pStyle w:val="Compact"/>
        <w:numPr>
          <w:ilvl w:val="0"/>
          <w:numId w:val="14"/>
        </w:numPr>
      </w:pPr>
      <w:r>
        <w:t xml:space="preserve">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algorithm predicts gas exchange velocity from simulated SWOT data without calibration</w:t>
      </w:r>
    </w:p>
    <w:p w14:paraId="0945BC4A" w14:textId="77777777" w:rsidR="003677D2" w:rsidRDefault="00D95A7A">
      <w:pPr>
        <w:pStyle w:val="Compact"/>
        <w:numPr>
          <w:ilvl w:val="0"/>
          <w:numId w:val="14"/>
        </w:numPr>
      </w:pPr>
      <w:r>
        <w:t>BIKER is marginally influenced by expected SWOT measurement errors</w:t>
      </w:r>
    </w:p>
    <w:p w14:paraId="0945BC4B" w14:textId="77777777" w:rsidR="003677D2" w:rsidRDefault="00D95A7A">
      <w:pPr>
        <w:pStyle w:val="Compact"/>
        <w:numPr>
          <w:ilvl w:val="0"/>
          <w:numId w:val="14"/>
        </w:numPr>
      </w:pPr>
      <w:r>
        <w:t>BIKER and near-daily SWOT data will allow for the study of gas exchange spatiotemporal dynamics at novel temporal resolutions</w:t>
      </w:r>
    </w:p>
    <w:p w14:paraId="0945BC4C" w14:textId="77777777" w:rsidR="003677D2" w:rsidRDefault="00D95A7A">
      <w:pPr>
        <w:pStyle w:val="Heading2"/>
      </w:pPr>
      <w:bookmarkStart w:id="1" w:name="keywords"/>
      <w:bookmarkEnd w:id="0"/>
      <w:r>
        <w:t>Keywords</w:t>
      </w:r>
    </w:p>
    <w:p w14:paraId="0945BC4D" w14:textId="77777777" w:rsidR="003677D2" w:rsidRDefault="00D95A7A">
      <w:pPr>
        <w:pStyle w:val="FirstParagraph"/>
      </w:pPr>
      <w:r>
        <w:t>gas exchange, fluvial geomorphology, remote sensing, open-channel flow, SWOT, biogeochemistry</w:t>
      </w:r>
    </w:p>
    <w:p w14:paraId="0945BC4E" w14:textId="77777777" w:rsidR="003677D2" w:rsidRDefault="00D95A7A">
      <w:pPr>
        <w:pStyle w:val="Heading2"/>
      </w:pPr>
      <w:bookmarkStart w:id="2" w:name="abstract"/>
      <w:bookmarkEnd w:id="1"/>
      <w:r>
        <w:t>Abstract</w:t>
      </w:r>
    </w:p>
    <w:p w14:paraId="0945BC4F" w14:textId="4F51E609" w:rsidR="003677D2" w:rsidRDefault="00D95A7A">
      <w:pPr>
        <w:pStyle w:val="FirstParagraph"/>
      </w:pPr>
      <w:r>
        <w:t xml:space="preserve">Two decades of research has shown that the global river network emits significant amounts of greenhouse gas. Despite much progress, there is still large uncertainty in the temporal dynamics of gas exchange and thus carbon emissions to the atmosphere. Much of this uncertainty stems from a lack of existing tools for studying the spatiotemporal dynamics of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rate of this diffusive transport). We propose that the NASA/CNES/UKSA/CSA Surface Water </w:t>
      </w:r>
      <w:r>
        <w:lastRenderedPageBreak/>
        <w:t xml:space="preserve">and Ocean Topography (SWOT) satellite can provide new insights to fluvial gas exchange modeling upon launch and subsequent data collection in 2022. Here, </w:t>
      </w:r>
      <w:r w:rsidR="00A92101">
        <w:t xml:space="preserve">we </w:t>
      </w:r>
      <w:r>
        <w:t>exploit the distinct geomorphology of SWOT-observable rivers (&gt; 50m wide) to develop a physical model of gas exchange that is remotely sensible and explains 50% of log-transformed variation across 166 field measurement</w:t>
      </w:r>
      <w:r w:rsidR="00E934F1">
        <w:t>s</w:t>
      </w:r>
      <w:r>
        <w:t xml:space="preserv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Exchange Rate’ algorithm. We validate BIKER on 47 SWOT-simulated rivers</w:t>
      </w:r>
      <w:r w:rsidR="00954BA0">
        <w:t xml:space="preserve"> without an in-situ calibration</w:t>
      </w:r>
      <w:r>
        <w:t xml:space="preserve">,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solely from SWOT observations with a by-river median Kling-Gupta Efficiency of 0.21. BIKER is better at inferring the temporal variation of gas exchange (median correlation coefficient of 0.91), than reproducing the absolute rates of exchange (median normalized RMSE of 51%). Finally, BIKER is robust to measurement errors implicit in the SWOT data.</w:t>
      </w:r>
      <w:r w:rsidR="00954BA0">
        <w:t xml:space="preserve"> W</w:t>
      </w:r>
      <w:r>
        <w:t xml:space="preserve">e suggest that BIKER will be useful in mapping global-scale fluvial gas exchange and improving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emissions estimates when coupled with river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models.</w:t>
      </w:r>
    </w:p>
    <w:p w14:paraId="0945BC50" w14:textId="77777777" w:rsidR="003677D2" w:rsidRDefault="00D95A7A">
      <w:pPr>
        <w:pStyle w:val="Heading2"/>
      </w:pPr>
      <w:bookmarkStart w:id="3" w:name="introduction"/>
      <w:bookmarkEnd w:id="2"/>
      <w:r>
        <w:t>1 Introduction</w:t>
      </w:r>
    </w:p>
    <w:p w14:paraId="0945BC51" w14:textId="77777777" w:rsidR="003677D2" w:rsidRDefault="00D95A7A">
      <w:pPr>
        <w:pStyle w:val="FirstParagraph"/>
      </w:pPr>
      <w:r>
        <w:t>Rivers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the air/water interface), in addition to their long understood role in transporting carbon to the oceans via downstream advection. Current estimates of total carbon dioxide evasion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to the atmosphere from the global river network vary from 1800-2000 Tg C/yr (Liu et al., 2022; Raymond et al., 2013), with 650 Tg-C/yr and 167 Tg-C/yr coming from </w:t>
      </w:r>
      <w:r>
        <w:lastRenderedPageBreak/>
        <w:t xml:space="preserve">mid-to-large rivers (Lauerwald et al., 2015) and mountain streams (Horgby et al., 2019), respectively. Despite rivers’ small percentage of the global land surface (0.67%- Liu et al., 2022), this carbon flux is on par with the total oceanic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uptake rate (2600 Tg-C/yr- Gruber et al., 2019; Horgby et al., 2019) and the global forest carbon uptake rate (2400 Tg-C/yr- Pan et al., 2011).</w:t>
      </w:r>
    </w:p>
    <w:p w14:paraId="0945BC52" w14:textId="77777777" w:rsidR="003677D2" w:rsidRDefault="00D95A7A">
      <w:pPr>
        <w:pStyle w:val="BodyText"/>
      </w:pPr>
      <w:r>
        <w:t xml:space="preserve">River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evasion is increasingly better constrained and is clearly a critical component of the global carbon cycle. Equation 1 represents this riverine flux given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e>
        </m:d>
      </m:oMath>
      <w:r>
        <w:t xml:space="preserve">) and the gas exchange velocity </w:t>
      </w:r>
      <w:r>
        <w:rPr>
          <w:i/>
          <w:iCs/>
        </w:rPr>
        <w:t>k</w:t>
      </w:r>
      <w:r>
        <w:t>. Consult Appendix A for notation used throughout this study.</w:t>
      </w:r>
    </w:p>
    <w:p w14:paraId="0945BC53" w14:textId="3D4D6E81" w:rsidR="003677D2" w:rsidRDefault="00000000">
      <w:pPr>
        <w:pStyle w:val="BodyText"/>
      </w:pPr>
      <m:oMathPara>
        <m:oMathParaPr>
          <m:jc m:val="center"/>
        </m:oMathParaP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r>
            <m:rPr>
              <m:sty m:val="p"/>
            </m:rPr>
            <w:rPr>
              <w:rFonts w:ascii="Cambria Math" w:hAnsi="Cambria Math"/>
            </w:rPr>
            <m:t>=</m:t>
          </m:r>
          <m:r>
            <w:rPr>
              <w:rFonts w:ascii="Cambria Math" w:hAnsi="Cambria Math"/>
            </w:rPr>
            <m:t>kΔ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r>
            <w:rPr>
              <w:rFonts w:ascii="Cambria Math" w:hAnsi="Cambria Math"/>
            </w:rPr>
            <m:t xml:space="preserve">                           </m:t>
          </m:r>
          <m:d>
            <m:dPr>
              <m:ctrlPr>
                <w:rPr>
                  <w:rFonts w:ascii="Cambria Math" w:hAnsi="Cambria Math"/>
                </w:rPr>
              </m:ctrlPr>
            </m:dPr>
            <m:e>
              <m:r>
                <m:rPr>
                  <m:sty m:val="b"/>
                </m:rPr>
                <w:rPr>
                  <w:rFonts w:ascii="Cambria Math" w:hAnsi="Cambria Math"/>
                </w:rPr>
                <m:t>1</m:t>
              </m:r>
            </m:e>
          </m:d>
        </m:oMath>
      </m:oMathPara>
    </w:p>
    <w:p w14:paraId="0945BC54" w14:textId="77777777" w:rsidR="003677D2" w:rsidRDefault="00D95A7A">
      <w:pPr>
        <w:pStyle w:val="FirstParagraph"/>
      </w:pPr>
      <w:r>
        <w:t xml:space="preserve">There is a robust existing literature exploring spatiotemporal patterns in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oMath>
      <w:r>
        <w:t xml:space="preserve"> (e.g. Aho et al., 2021; Aho &amp; Raymond, 2019; Crawford et al., 2017; Liu &amp; Raymond, 2018; Peter et al., 2014; Ran et al., 2017; Raymond et al., 2000; Rocher‐Ros et al., 2019). This work has lead to recent river-reach explicit modeling of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using global hydrography datasets at up to monthly temporal resolutions (Brinkerhoff et al., 2021; Horgby et al., 2019; Liu et al., 2022; Saccardi &amp; Winnick, 2021), but an equivalently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945BC55" w14:textId="77777777" w:rsidR="003677D2" w:rsidRDefault="00D95A7A">
      <w:pPr>
        <w:pStyle w:val="BodyText"/>
      </w:pPr>
      <w:r>
        <w:t xml:space="preserve">The structure of Equation 1 necessitates that calculations of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are highly sensitive to estimates of </w:t>
      </w:r>
      <w:r>
        <w:rPr>
          <w:i/>
          <w:iCs/>
        </w:rPr>
        <w:t>k</w:t>
      </w:r>
      <w:r>
        <w:t xml:space="preserve">. However, </w:t>
      </w:r>
      <w:r>
        <w:rPr>
          <w:i/>
          <w:iCs/>
        </w:rPr>
        <w:t>k</w:t>
      </w:r>
      <w:r>
        <w:t xml:space="preserve"> can only be estimated via a known gas flux, eddy-covariance measurements, or tracer additions to the stream (Hall &amp; Ulseth, 2020). In trying to constrain the global fluvial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flux across millions of rivers, this calculation is impossible and necessitates </w:t>
      </w:r>
      <w:r>
        <w:lastRenderedPageBreak/>
        <w:t xml:space="preserve">the use of predictive models for </w:t>
      </w:r>
      <w:r>
        <w:rPr>
          <w:i/>
          <w:iCs/>
        </w:rPr>
        <w:t>k</w:t>
      </w:r>
      <w:r>
        <w:t xml:space="preserve"> that are based on easily obtained river hydraulic properties. In that vein, over 20 empirical models exist 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xml:space="preserve">) of 600 to remove the effect of water temperature and gas type from predictive models, as warmer waters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945BC56" w14:textId="77777777" w:rsidR="003677D2" w:rsidRDefault="00D95A7A">
      <w:pPr>
        <w:pStyle w:val="BodyText"/>
      </w:pPr>
      <w:r>
        <w:t xml:space="preserve">Applying these </w:t>
      </w:r>
      <w:r>
        <w:rPr>
          <w:i/>
          <w:iCs/>
        </w:rPr>
        <w:t>k</w:t>
      </w:r>
      <w:r>
        <w:t xml:space="preserve"> models across watersheds, regions, or continents is called ‘upscaling.’ This upscaling allows for quantifying the difficult-to-estimate </w:t>
      </w:r>
      <w:r>
        <w:rPr>
          <w:i/>
          <w:iCs/>
        </w:rPr>
        <w:t>k</w:t>
      </w:r>
      <w:r>
        <w:t xml:space="preserve"> term in Equation 1 for any arbitrary number of rivers, but also changes the base parameters that ultimately control the final estimate of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That is, by making </w:t>
      </w:r>
      <w:r>
        <w:rPr>
          <w:i/>
          <w:iCs/>
        </w:rPr>
        <w:t>k</w:t>
      </w:r>
      <w:r>
        <w:t xml:space="preserve"> a function of hydraulics,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e>
        </m:d>
      </m:oMath>
      <w:r>
        <w:t xml:space="preserve"> is now a direct function of river hydraulics. This functional relationship is described in equation 2. It suggests that global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estimates are not only at the mercy of the accuracy and spatiotemporal resolution of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but also the accuracy and resolution of our river hydraulics estimates.</w:t>
      </w:r>
    </w:p>
    <w:p w14:paraId="0945BC57" w14:textId="4648556A" w:rsidR="003677D2" w:rsidRDefault="00000000">
      <w:pPr>
        <w:pStyle w:val="BodyText"/>
      </w:pPr>
      <m:oMathPara>
        <m:oMathParaPr>
          <m:jc m:val="center"/>
        </m:oMathParaP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rPr>
              <w:rFonts w:ascii="Cambria Math" w:hAnsi="Cambria Math"/>
            </w:rPr>
            <m:t xml:space="preserve">                           </m:t>
          </m:r>
          <m:d>
            <m:dPr>
              <m:ctrlPr>
                <w:rPr>
                  <w:rFonts w:ascii="Cambria Math" w:hAnsi="Cambria Math"/>
                </w:rPr>
              </m:ctrlPr>
            </m:dPr>
            <m:e>
              <m:r>
                <m:rPr>
                  <m:sty m:val="b"/>
                </m:rPr>
                <w:rPr>
                  <w:rFonts w:ascii="Cambria Math" w:hAnsi="Cambria Math"/>
                </w:rPr>
                <m:t>2</m:t>
              </m:r>
            </m:e>
          </m:d>
        </m:oMath>
      </m:oMathPara>
    </w:p>
    <w:p w14:paraId="0945BC58" w14:textId="77777777" w:rsidR="003677D2" w:rsidRDefault="00D95A7A">
      <w:pPr>
        <w:pStyle w:val="FirstParagraph"/>
      </w:pPr>
      <w:r>
        <w:t xml:space="preserve">Global upscaling has been performed using various techniques. Raymond et al. (2013), Lauerwald et al. (2015), and Horgby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w:t>
      </w:r>
      <w:r>
        <w:lastRenderedPageBreak/>
        <w:t xml:space="preserve">terms used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assessment of monthly temporal dynamics in global river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 In all of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were ignored because of hydraulic data limitations. It has been shown at the field-scale that temporal dynamics of gas exchange can vary widely from site to site (Wallin et al., 2011), but it has remained impractical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945BC59" w14:textId="77777777" w:rsidR="003677D2" w:rsidRDefault="00D95A7A">
      <w:pPr>
        <w:pStyle w:val="BodyText"/>
      </w:pPr>
      <w:r>
        <w:t xml:space="preserve">Wang et al. (2021) recently attempted to address this global </w:t>
      </w:r>
      <w:r>
        <w:rPr>
          <w:i/>
          <w:iCs/>
        </w:rPr>
        <w:t>k</w:t>
      </w:r>
      <w:r>
        <w:t xml:space="preserve"> problem by simulating the gas exchange velocity of dissolved oxygen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35 rivers of many sizes (widths ranging from 0.23-349m) using a stream metabolism inverse model (Appling et al., 2018) and in situ dissolved oxygen 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their ‘observations’. They then compared this simulated dataset against direct estimates of </w:t>
      </w:r>
      <w:r>
        <w:rPr>
          <w:i/>
          <w:iCs/>
        </w:rPr>
        <w:t>k</w:t>
      </w:r>
      <w:r>
        <w:t>,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dissolved oxygen data for every river (Hall &amp; Ulseth, 2020).</w:t>
      </w:r>
    </w:p>
    <w:p w14:paraId="0945BC5A" w14:textId="77777777" w:rsidR="003677D2" w:rsidRDefault="00D95A7A">
      <w:pPr>
        <w:pStyle w:val="BodyText"/>
      </w:pPr>
      <w:r>
        <w:lastRenderedPageBreak/>
        <w:t xml:space="preserve">We have established that literature has a reasonably good understanding of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945BC5B" w14:textId="77777777" w:rsidR="003677D2" w:rsidRDefault="00D95A7A">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to rivers at least 50m wide (Biancamaria et al., 2016). Via its direct hydraulic measurements, SWOT is expected to usher in a sea change in global-scale hydrology, and could similarly influence fluvial biogeochemsitry if techniques are developed to ingest SWOT data and infer </w:t>
      </w:r>
      <w:r>
        <w:rPr>
          <w:i/>
          <w:iCs/>
        </w:rPr>
        <w:t>k</w:t>
      </w:r>
      <w:r>
        <w:t>. In this context, we borrow tools from fluvial geomorphology and existing SWOT algorithms to begin addressing the current knowledge gap in the spatiotemporal dynamics of gas exchange velocity. More specifically, we seek to answer the following two questions:</w:t>
      </w:r>
    </w:p>
    <w:p w14:paraId="0945BC5C" w14:textId="77777777" w:rsidR="003677D2" w:rsidRDefault="00D95A7A">
      <w:pPr>
        <w:numPr>
          <w:ilvl w:val="0"/>
          <w:numId w:val="15"/>
        </w:numPr>
      </w:pPr>
      <w:r>
        <w:t xml:space="preserve">What is the performance of a physically-based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unique to SWOT-observed rivers?</w:t>
      </w:r>
    </w:p>
    <w:p w14:paraId="0945BC5D" w14:textId="77777777" w:rsidR="003677D2" w:rsidRDefault="00D95A7A">
      <w:pPr>
        <w:numPr>
          <w:ilvl w:val="0"/>
          <w:numId w:val="15"/>
        </w:numPr>
      </w:pPr>
      <w:r>
        <w:lastRenderedPageBreak/>
        <w:t xml:space="preserve">How well can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its uncertainty) solely from SWOT observations?</w:t>
      </w:r>
    </w:p>
    <w:p w14:paraId="0945BC5E" w14:textId="77777777" w:rsidR="003677D2" w:rsidRDefault="00D95A7A">
      <w:pPr>
        <w:pStyle w:val="FirstParagraph"/>
      </w:pPr>
      <w:r>
        <w:t xml:space="preserve">To answer the 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to predict gas fluxes and compare these against established literature methods that rely on hydraulic scaling equations.</w:t>
      </w:r>
    </w:p>
    <w:p w14:paraId="0945BC5F" w14:textId="77777777" w:rsidR="003677D2" w:rsidRDefault="00D95A7A">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while Figure S1 details the entire study’s workflow.</w:t>
      </w:r>
    </w:p>
    <w:p w14:paraId="0945BC60" w14:textId="77777777" w:rsidR="003677D2" w:rsidRDefault="00D95A7A">
      <w:r>
        <w:rPr>
          <w:noProof/>
        </w:rPr>
        <w:lastRenderedPageBreak/>
        <w:drawing>
          <wp:inline distT="0" distB="0" distL="0" distR="0" wp14:anchorId="0945BDF8" wp14:editId="0945BDF9">
            <wp:extent cx="5943600" cy="4254769"/>
            <wp:effectExtent l="0" t="0" r="0" b="0"/>
            <wp:docPr id="25"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6" name="Picture" descr="cache/maps/diagram.tif"/>
                    <pic:cNvPicPr>
                      <a:picLocks noChangeAspect="1" noChangeArrowheads="1"/>
                    </pic:cNvPicPr>
                  </pic:nvPicPr>
                  <pic:blipFill>
                    <a:blip r:embed="rId9"/>
                    <a:stretch>
                      <a:fillRect/>
                    </a:stretch>
                  </pic:blipFill>
                  <pic:spPr bwMode="auto">
                    <a:xfrm>
                      <a:off x="0" y="0"/>
                      <a:ext cx="5943600" cy="4254769"/>
                    </a:xfrm>
                    <a:prstGeom prst="rect">
                      <a:avLst/>
                    </a:prstGeom>
                    <a:noFill/>
                    <a:ln w="9525">
                      <a:noFill/>
                      <a:headEnd/>
                      <a:tailEnd/>
                    </a:ln>
                  </pic:spPr>
                </pic:pic>
              </a:graphicData>
            </a:graphic>
          </wp:inline>
        </w:drawing>
      </w:r>
    </w:p>
    <w:p w14:paraId="0945BC61" w14:textId="77777777" w:rsidR="003677D2" w:rsidRDefault="00D95A7A">
      <w:pPr>
        <w:pStyle w:val="ImageCaption"/>
      </w:pPr>
      <w:r>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945BC62" w14:textId="77777777" w:rsidR="003677D2" w:rsidRDefault="00D95A7A">
      <w:pPr>
        <w:pStyle w:val="Heading2"/>
      </w:pPr>
      <w:bookmarkStart w:id="4" w:name="X4831ebf674333345ac8c9234669e9cb0d80a09d"/>
      <w:bookmarkEnd w:id="3"/>
      <w:r>
        <w:lastRenderedPageBreak/>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945BC63" w14:textId="77777777" w:rsidR="003677D2" w:rsidRDefault="00D95A7A">
      <w:pPr>
        <w:pStyle w:val="Heading3"/>
      </w:pPr>
      <w:bookmarkStart w:id="5" w:name="data"/>
      <w:r>
        <w:t>2.1 Data</w:t>
      </w:r>
    </w:p>
    <w:p w14:paraId="0945BC64" w14:textId="77777777" w:rsidR="003677D2" w:rsidRDefault="00D95A7A">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field-estimated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measured stream hydraulics collected from the literature. In total, we obtain 763 estimates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estimates previously gathered by Raymond et al. (2012) and Ulseth et al. (2019). The remaining estimates come from Churchill et al. (1964) and Owens et al. (1964). See Table S1 for a complete list of the studies that collected these data.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0945BC65" w14:textId="77777777" w:rsidR="003677D2" w:rsidRDefault="00D95A7A">
      <w:pPr>
        <w:pStyle w:val="BodyText"/>
      </w:pPr>
      <w:r>
        <w:t xml:space="preserve">The 763 estimates cover different times of year and hydrological events. They include both individual estimates and repeat estimates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m3/s to 489 m3/s, and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ranges from 0.1 m/dy to 4,118 m/dy). While there are still geographic and hydrologic biases in this dataset, it is to our knowledge the largest such dataset of field-estimated,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where hydraulic data is concurrently available.</w:t>
      </w:r>
    </w:p>
    <w:p w14:paraId="0945BC66" w14:textId="77777777" w:rsidR="003677D2" w:rsidRDefault="00D95A7A">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w:t>
      </w:r>
      <w:r>
        <w:lastRenderedPageBreak/>
        <w:t>made to calibrate United States Geological Survey (USGS) streamgauge rating curves and made public by the USGS. This dataset is used to calculate how frequently SWOT observable rivers meet our large-river hydraulic assumptions (Section 2.3).</w:t>
      </w:r>
    </w:p>
    <w:p w14:paraId="0945BC67" w14:textId="77777777" w:rsidR="003677D2" w:rsidRDefault="00D95A7A">
      <w:pPr>
        <w:pStyle w:val="Heading3"/>
      </w:pPr>
      <w:bookmarkStart w:id="6" w:name="Xe0474c0723719b4b4d9a03c02561ac56c964d77"/>
      <w:bookmarkEnd w:id="5"/>
      <w:r>
        <w:t xml:space="preserve">2.2 Process-based hydraulic modeling of river </w:t>
      </w:r>
      <w:r>
        <w:rPr>
          <w:i/>
          <w:iCs/>
        </w:rPr>
        <w:t>k</w:t>
      </w:r>
    </w:p>
    <w:p w14:paraId="0945BC68" w14:textId="77777777" w:rsidR="003677D2" w:rsidRDefault="00D95A7A">
      <w:pPr>
        <w:pStyle w:val="FirstParagraph"/>
      </w:pPr>
      <w:r>
        <w:rPr>
          <w:i/>
          <w:iCs/>
        </w:rPr>
        <w:t>k</w:t>
      </w:r>
      <w:r>
        <w:t xml:space="preserve"> scales with near-surface turbulence in turbulent streamflows (Hall &amp; Ulseth, 2020), and extensive field and laboratory experiments have converged on the ‘small-eddy model’ for </w:t>
      </w:r>
      <w:r>
        <w:rPr>
          <w:i/>
          <w:iCs/>
        </w:rPr>
        <w:t>k</w:t>
      </w:r>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(e.g. Katul et al., 2018; Lorke &amp; Peeters, 2006; Moog &amp; Jirka, 1999b; Tokoro et al., 2008; Vachon et al., 2010; Wang et al., 2021; Zappa et al., 2003, 2007). The small-eddy model is provided as Equation 3, where </w:t>
      </w:r>
      <m:oMath>
        <m:r>
          <w:rPr>
            <w:rFonts w:ascii="Cambria Math" w:hAnsi="Cambria Math"/>
          </w:rPr>
          <m:t>ϵ</m:t>
        </m:r>
      </m:oMath>
      <w:r>
        <w:t xml:space="preserve"> is the dissipation rate of near-surface turbulence, </w:t>
      </w:r>
      <m:oMath>
        <m:r>
          <w:rPr>
            <w:rFonts w:ascii="Cambria Math" w:hAnsi="Cambria Math"/>
          </w:rPr>
          <m:t>v</m:t>
        </m:r>
      </m:oMath>
      <w:r>
        <w:t xml:space="preserve"> is the kinematic viscosity, and </w:t>
      </w:r>
      <w:r>
        <w:rPr>
          <w:i/>
          <w:iCs/>
        </w:rPr>
        <w:t>Sc</w:t>
      </w:r>
      <w:r>
        <w:t xml:space="preserve"> is the Schmidt number.</w:t>
      </w:r>
    </w:p>
    <w:p w14:paraId="0945BC69" w14:textId="6E86E003" w:rsidR="003677D2" w:rsidRDefault="00D95A7A">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r>
            <w:rPr>
              <w:rFonts w:ascii="Cambria Math" w:hAnsi="Cambria Math"/>
            </w:rPr>
            <m:t xml:space="preserve">                           </m:t>
          </m:r>
          <m:d>
            <m:dPr>
              <m:ctrlPr>
                <w:rPr>
                  <w:rFonts w:ascii="Cambria Math" w:hAnsi="Cambria Math"/>
                </w:rPr>
              </m:ctrlPr>
            </m:dPr>
            <m:e>
              <m:r>
                <m:rPr>
                  <m:sty m:val="b"/>
                </m:rPr>
                <w:rPr>
                  <w:rFonts w:ascii="Cambria Math" w:hAnsi="Cambria Math"/>
                </w:rPr>
                <m:t>3</m:t>
              </m:r>
            </m:e>
          </m:d>
        </m:oMath>
      </m:oMathPara>
    </w:p>
    <w:p w14:paraId="0945BC6A" w14:textId="77777777" w:rsidR="003677D2" w:rsidRDefault="00D95A7A">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 (equation 4, referred to as the ‘Reynolds extension’ model). The Reynolds extension model is hypothetically useful in low-turbulence scenarios where a relative lack of large-scale eddies effectively ‘filter out’ the number of small-eddies that actually </w:t>
      </w:r>
      <w:r>
        <w:lastRenderedPageBreak/>
        <w:t xml:space="preserve">reach the interface and initiate gas exchange (Talke et al., 2013). While scaling </w:t>
      </w:r>
      <w:r>
        <w:rPr>
          <w:i/>
          <w:iCs/>
        </w:rPr>
        <w:t>k</w:t>
      </w:r>
      <w:r>
        <w:t xml:space="preserve"> via a shear Reynold’s formulation is sometimes done to parameterize wave-breaking gas exchange models in the open ocean (e.g. Brumer et al., 2017; Zhao et al., 2003;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the Reynolds extension model has never been empirically tested in predicting river </w:t>
      </w:r>
      <w:r>
        <w:rPr>
          <w:i/>
          <w:iCs/>
        </w:rPr>
        <w:t>k</w:t>
      </w:r>
      <w:r>
        <w:t>, aside from confirming that large-scale eddies differentially move turbulence to the surface in a large river (Talke et al., 2013).</w:t>
      </w:r>
    </w:p>
    <w:p w14:paraId="0945BC6B" w14:textId="0FE06009" w:rsidR="003677D2" w:rsidRDefault="00D95A7A">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r>
                <w:rPr>
                  <w:rFonts w:ascii="Cambria Math" w:hAnsi="Cambria Math"/>
                </w:rPr>
                <m:t>3</m:t>
              </m:r>
              <m:r>
                <m:rPr>
                  <m:sty m:val="p"/>
                </m:rPr>
                <w:rPr>
                  <w:rFonts w:ascii="Cambria Math" w:hAnsi="Cambria Math"/>
                </w:rPr>
                <m:t>/</m:t>
              </m:r>
              <m:r>
                <w:rPr>
                  <w:rFonts w:ascii="Cambria Math" w:hAnsi="Cambria Math"/>
                </w:rPr>
                <m:t>8</m:t>
              </m:r>
            </m:sup>
          </m:sSup>
          <m:r>
            <w:rPr>
              <w:rFonts w:ascii="Cambria Math" w:hAnsi="Cambria Math"/>
            </w:rPr>
            <m:t xml:space="preserve">                           </m:t>
          </m:r>
          <m:d>
            <m:dPr>
              <m:ctrlPr>
                <w:rPr>
                  <w:rFonts w:ascii="Cambria Math" w:hAnsi="Cambria Math"/>
                </w:rPr>
              </m:ctrlPr>
            </m:dPr>
            <m:e>
              <m:r>
                <m:rPr>
                  <m:sty m:val="b"/>
                </m:rPr>
                <w:rPr>
                  <w:rFonts w:ascii="Cambria Math" w:hAnsi="Cambria Math"/>
                </w:rPr>
                <m:t>4</m:t>
              </m:r>
            </m:e>
          </m:d>
        </m:oMath>
      </m:oMathPara>
    </w:p>
    <w:p w14:paraId="0945BC6C" w14:textId="77777777" w:rsidR="003677D2" w:rsidRDefault="00D95A7A">
      <w:pPr>
        <w:pStyle w:val="FirstParagraph"/>
      </w:pPr>
      <w:r>
        <w:t xml:space="preserve">Equations 3 and 4 both rely on </w:t>
      </w:r>
      <m:oMath>
        <m:r>
          <w:rPr>
            <w:rFonts w:ascii="Cambria Math" w:hAnsi="Cambria Math"/>
          </w:rPr>
          <m:t>ϵ</m:t>
        </m:r>
      </m:oMath>
      <w:r>
        <w:t xml:space="preserve">, which is difficult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rivers (Moog &amp; Jirka, 1999b). Authors have since shown that Equation 6 can reasonably predict </w:t>
      </w:r>
      <w:r>
        <w:rPr>
          <w:i/>
          <w:iCs/>
        </w:rPr>
        <w:t>k</w:t>
      </w:r>
      <w:r>
        <w:t xml:space="preserve"> in rivers and streams (Raymond et al., 2012; Ulseth et al., 2019; Wang et al., 2021).</w:t>
      </w:r>
    </w:p>
    <w:p w14:paraId="0945BC6D" w14:textId="4C65C7F5" w:rsidR="003677D2" w:rsidRDefault="00D95A7A">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r>
            <w:rPr>
              <w:rFonts w:ascii="Cambria Math" w:hAnsi="Cambria Math"/>
            </w:rPr>
            <m:t xml:space="preserve">                           </m:t>
          </m:r>
          <m:d>
            <m:dPr>
              <m:ctrlPr>
                <w:rPr>
                  <w:rFonts w:ascii="Cambria Math" w:hAnsi="Cambria Math"/>
                </w:rPr>
              </m:ctrlPr>
            </m:dPr>
            <m:e>
              <m:r>
                <m:rPr>
                  <m:sty m:val="b"/>
                </m:rPr>
                <w:rPr>
                  <w:rFonts w:ascii="Cambria Math" w:hAnsi="Cambria Math"/>
                </w:rPr>
                <m:t>5</m:t>
              </m:r>
            </m:e>
          </m:d>
        </m:oMath>
      </m:oMathPara>
    </w:p>
    <w:p w14:paraId="0945BC6E" w14:textId="64D23C00" w:rsidR="003677D2" w:rsidRDefault="00D95A7A">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r>
            <w:rPr>
              <w:rFonts w:ascii="Cambria Math" w:hAnsi="Cambria Math"/>
            </w:rPr>
            <m:t xml:space="preserve">                           </m:t>
          </m:r>
          <m:d>
            <m:dPr>
              <m:ctrlPr>
                <w:rPr>
                  <w:rFonts w:ascii="Cambria Math" w:hAnsi="Cambria Math"/>
                </w:rPr>
              </m:ctrlPr>
            </m:dPr>
            <m:e>
              <m:r>
                <m:rPr>
                  <m:sty m:val="b"/>
                </m:rPr>
                <w:rPr>
                  <w:rFonts w:ascii="Cambria Math" w:hAnsi="Cambria Math"/>
                </w:rPr>
                <m:t>6</m:t>
              </m:r>
            </m:e>
          </m:d>
        </m:oMath>
      </m:oMathPara>
    </w:p>
    <w:p w14:paraId="0945BC6F" w14:textId="77777777" w:rsidR="003677D2" w:rsidRDefault="00D95A7A">
      <w:pPr>
        <w:pStyle w:val="Heading3"/>
      </w:pPr>
      <w:bookmarkStart w:id="7" w:name="deriving-a-large-river-k_600-model"/>
      <w:bookmarkEnd w:id="6"/>
      <w:r>
        <w:lastRenderedPageBreak/>
        <w:t xml:space="preserve">2.3 Deriving a large-river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945BC70" w14:textId="5F9E58DD" w:rsidR="003677D2" w:rsidRDefault="00D95A7A">
      <w:pPr>
        <w:pStyle w:val="FirstParagraph"/>
      </w:pPr>
      <w:r>
        <w:t xml:space="preserve">Given the theoretical context provided in Section 2.2, we now turn to SWOT-observable rivers specifically. Rivers and streams change predictably along their longitudinal profile from source to sea, and we can exploit the hydraulic geometry of large rivers at the end of this continuum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i.e.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 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only 0.02 (n = 22</w:t>
      </w:r>
      <w:r w:rsidR="0023029A">
        <w:t>,</w:t>
      </w:r>
      <w:r>
        <w:t>452; see Text S1 for how we built this dataset). We refer to these rivers as ‘hydraulically-wide’.</w:t>
      </w:r>
    </w:p>
    <w:p w14:paraId="0945BC71" w14:textId="77777777" w:rsidR="003677D2" w:rsidRDefault="00D95A7A">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We first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 and then log-transform to maintain homogeneous variance across the orders of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 and is theoretically valid only in a hydraulically-wide channel.</w:t>
      </w:r>
    </w:p>
    <w:p w14:paraId="0945BC72" w14:textId="2DE70330" w:rsidR="003677D2" w:rsidRDefault="00D95A7A">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gS</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log</m:t>
          </m:r>
          <m:d>
            <m:dPr>
              <m:ctrlPr>
                <w:rPr>
                  <w:rFonts w:ascii="Cambria Math" w:hAnsi="Cambria Math"/>
                </w:rPr>
              </m:ctrlPr>
            </m:dPr>
            <m:e>
              <m:acc>
                <m:accPr>
                  <m:chr m:val="‾"/>
                  <m:ctrlPr>
                    <w:rPr>
                      <w:rFonts w:ascii="Cambria Math" w:hAnsi="Cambria Math"/>
                    </w:rPr>
                  </m:ctrlPr>
                </m:accPr>
                <m:e>
                  <m:r>
                    <w:rPr>
                      <w:rFonts w:ascii="Cambria Math" w:hAnsi="Cambria Math"/>
                    </w:rPr>
                    <m:t>U</m:t>
                  </m:r>
                </m:e>
              </m:acc>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H</m:t>
              </m:r>
            </m:e>
          </m:d>
          <m:r>
            <w:rPr>
              <w:rFonts w:ascii="Cambria Math" w:hAnsi="Cambria Math"/>
            </w:rPr>
            <m:t xml:space="preserve">                           </m:t>
          </m:r>
          <m:d>
            <m:dPr>
              <m:ctrlPr>
                <w:rPr>
                  <w:rFonts w:ascii="Cambria Math" w:hAnsi="Cambria Math"/>
                </w:rPr>
              </m:ctrlPr>
            </m:dPr>
            <m:e>
              <m:r>
                <m:rPr>
                  <m:sty m:val="b"/>
                </m:rPr>
                <w:rPr>
                  <w:rFonts w:ascii="Cambria Math" w:hAnsi="Cambria Math"/>
                </w:rPr>
                <m:t>7</m:t>
              </m:r>
            </m:e>
          </m:d>
        </m:oMath>
      </m:oMathPara>
    </w:p>
    <w:p w14:paraId="0945BC73" w14:textId="77777777" w:rsidR="003677D2" w:rsidRDefault="00D95A7A">
      <w:pPr>
        <w:pStyle w:val="FirstParagraph"/>
      </w:pPr>
      <w:r>
        <w:lastRenderedPageBreak/>
        <w:t xml:space="preserve">We also test the performance of three other models for predicting </w:t>
      </w:r>
      <w:r>
        <w:rPr>
          <w:i/>
          <w:iCs/>
        </w:rPr>
        <w:t>k</w:t>
      </w:r>
      <w:r>
        <w:t xml:space="preserve"> in hydraulically-wide channels via the other three unique combinations of Equations 3-4 and Equations 5-6. While the complete model derivations and results for all four models are provided in Text S2 and Figure S2, the final and best-performing model (Equation 7) is presented and used below.</w:t>
      </w:r>
    </w:p>
    <w:p w14:paraId="0945BC74" w14:textId="77777777" w:rsidR="003677D2" w:rsidRDefault="00D95A7A">
      <w:pPr>
        <w:pStyle w:val="Heading3"/>
      </w:pPr>
      <w:bookmarkStart w:id="8" w:name="model-validation"/>
      <w:bookmarkEnd w:id="7"/>
      <w:r>
        <w:t>2.4 Model validation</w:t>
      </w:r>
    </w:p>
    <w:p w14:paraId="0945BC75" w14:textId="77777777" w:rsidR="003677D2" w:rsidRDefault="00D95A7A">
      <w:pPr>
        <w:pStyle w:val="FirstParagraph"/>
      </w:pPr>
      <w:r>
        <w:t xml:space="preserve">With Equation 7 derived, we now test its strength of fit in hydraulically-wide river flows. We validate on the dataset of in situ estimates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those made in hydraulically-wide channels, which was defined as flows whose hydraulic radius was within 1% of their mean flow depth. All told, there are 166 estimates of hydraulically-wide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 a Bayesian linear regression model, where the theoretically-derived coefficients from equation 7 are used as reasonably informative priors for the regression coefficients. The intercept and model uncertainty both use uninformed priors. See Text S3 for the model specification. We assess the goodness-of-fit using the posterior mean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following (Gelman et al., 2019).</w:t>
      </w:r>
    </w:p>
    <w:p w14:paraId="0945BC76" w14:textId="77777777" w:rsidR="003677D2" w:rsidRDefault="00D95A7A">
      <w:r>
        <w:rPr>
          <w:noProof/>
        </w:rPr>
        <w:lastRenderedPageBreak/>
        <w:drawing>
          <wp:inline distT="0" distB="0" distL="0" distR="0" wp14:anchorId="0945BDFA" wp14:editId="0945BDFB">
            <wp:extent cx="5486400" cy="5486400"/>
            <wp:effectExtent l="0" t="0" r="0" b="0"/>
            <wp:docPr id="32" name="Picture" descr="Figure 2: Empirical testing of our large-river k_{600} model on 166 measurements made in hydraulically-wide rivers. Dashed grey line denotes the 1:1 line. For the model, points reflect posterior means while lines reflect the 95% credible intervals."/>
            <wp:cNvGraphicFramePr/>
            <a:graphic xmlns:a="http://schemas.openxmlformats.org/drawingml/2006/main">
              <a:graphicData uri="http://schemas.openxmlformats.org/drawingml/2006/picture">
                <pic:pic xmlns:pic="http://schemas.openxmlformats.org/drawingml/2006/picture">
                  <pic:nvPicPr>
                    <pic:cNvPr id="33" name="Picture" descr="cache/k600_theory/fig2.jpg"/>
                    <pic:cNvPicPr>
                      <a:picLocks noChangeAspect="1" noChangeArrowheads="1"/>
                    </pic:cNvPicPr>
                  </pic:nvPicPr>
                  <pic:blipFill>
                    <a:blip r:embed="rId10"/>
                    <a:stretch>
                      <a:fillRect/>
                    </a:stretch>
                  </pic:blipFill>
                  <pic:spPr bwMode="auto">
                    <a:xfrm>
                      <a:off x="0" y="0"/>
                      <a:ext cx="5486400" cy="5486400"/>
                    </a:xfrm>
                    <a:prstGeom prst="rect">
                      <a:avLst/>
                    </a:prstGeom>
                    <a:noFill/>
                    <a:ln w="9525">
                      <a:noFill/>
                      <a:headEnd/>
                      <a:tailEnd/>
                    </a:ln>
                  </pic:spPr>
                </pic:pic>
              </a:graphicData>
            </a:graphic>
          </wp:inline>
        </w:drawing>
      </w:r>
    </w:p>
    <w:p w14:paraId="0945BC77" w14:textId="77777777" w:rsidR="003677D2" w:rsidRDefault="00D95A7A">
      <w:pPr>
        <w:pStyle w:val="ImageCaption"/>
      </w:pPr>
      <w:r>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hydraulically-wide rivers. Dashed grey line denotes the 1:1 line. For the model, points reflect posterior means while lines reflect the 95% credible intervals.</w:t>
      </w:r>
    </w:p>
    <w:p w14:paraId="0945BC78" w14:textId="77777777" w:rsidR="003677D2" w:rsidRDefault="00D95A7A">
      <w:pPr>
        <w:pStyle w:val="BodyText"/>
      </w:pPr>
      <w:r>
        <w:t xml:space="preserve">Equation 7 explains 50% of variation in observed (log-transformed)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hydraulically-wide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 (Figure 2). The </w:t>
      </w:r>
      <w:r>
        <w:lastRenderedPageBreak/>
        <w:t xml:space="preserve">posterior mean in natural log space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3.89 (Table 1). While the individual residuals can be quite large (indicating that additional processes and/or field estimation error are presumably controlling the 50% unexplained variation in log-transformed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 general 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We also tested two non-Bayes implementations of equation 7 using 1) the theoretically-derived coefficients and 2) a fully empirical line fitting approach (Table 1). Interestingly, the data exerted little-to-no influence on the theoretically-derived priors, and both the empirical and posterior coefficients were virtually identical to those obtained theoretically (Table 1), indicating that equation 7 is a good theoretical model for gas exchange in hydraulically wide flows.</w:t>
      </w:r>
    </w:p>
    <w:p w14:paraId="0945BC79" w14:textId="77777777" w:rsidR="003677D2" w:rsidRDefault="00D95A7A">
      <w:pPr>
        <w:pStyle w:val="BodyText"/>
      </w:pPr>
      <w:r>
        <w:rPr>
          <w:i/>
          <w:iCs/>
        </w:rPr>
        <w:t xml:space="preserve">Table 1: Comparison of three regression models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Pr>
          <w:i/>
          <w:iCs/>
        </w:rPr>
        <w:t xml:space="preserve"> model for hydraulically-wide rivers. ‘Theoretical’ refers to the model coefficients derived by imposing a hydraulically wide channel on the ‘Reynolds-extension’ model for gas exchange (section 2.3). ‘Empirical’ refers to the result of fitting the coefficients by least-squares regression. ‘Bayesian’ refers to the posterior means of the coefficients, conditional on priors informed by the ‘Theoretical’ coefficients (Text S3, Figure 2).</w:t>
      </w:r>
    </w:p>
    <w:tbl>
      <w:tblPr>
        <w:tblW w:w="5000" w:type="pct"/>
        <w:tblLook w:val="0020" w:firstRow="1" w:lastRow="0" w:firstColumn="0" w:lastColumn="0" w:noHBand="0" w:noVBand="0"/>
      </w:tblPr>
      <w:tblGrid>
        <w:gridCol w:w="3283"/>
        <w:gridCol w:w="2216"/>
        <w:gridCol w:w="2007"/>
        <w:gridCol w:w="1854"/>
      </w:tblGrid>
      <w:tr w:rsidR="003677D2" w14:paraId="0945BC7E" w14:textId="77777777">
        <w:trPr>
          <w:tblHeader/>
        </w:trPr>
        <w:tc>
          <w:tcPr>
            <w:tcW w:w="0" w:type="auto"/>
          </w:tcPr>
          <w:p w14:paraId="0945BC7A" w14:textId="77777777" w:rsidR="003677D2" w:rsidRDefault="00D95A7A">
            <w:pPr>
              <w:pStyle w:val="Compact"/>
              <w:jc w:val="left"/>
            </w:pPr>
            <w:r>
              <w:rPr>
                <w:b/>
                <w:bCs/>
              </w:rPr>
              <w:t>Equation 7 results</w:t>
            </w:r>
          </w:p>
        </w:tc>
        <w:tc>
          <w:tcPr>
            <w:tcW w:w="0" w:type="auto"/>
          </w:tcPr>
          <w:p w14:paraId="0945BC7B" w14:textId="77777777" w:rsidR="003677D2" w:rsidRDefault="00D95A7A">
            <w:pPr>
              <w:pStyle w:val="Compact"/>
              <w:jc w:val="left"/>
            </w:pPr>
            <w:r>
              <w:rPr>
                <w:b/>
                <w:bCs/>
              </w:rPr>
              <w:t>‘Theoretical’</w:t>
            </w:r>
          </w:p>
        </w:tc>
        <w:tc>
          <w:tcPr>
            <w:tcW w:w="0" w:type="auto"/>
          </w:tcPr>
          <w:p w14:paraId="0945BC7C" w14:textId="77777777" w:rsidR="003677D2" w:rsidRDefault="00D95A7A">
            <w:pPr>
              <w:pStyle w:val="Compact"/>
              <w:jc w:val="left"/>
            </w:pPr>
            <w:r>
              <w:rPr>
                <w:b/>
                <w:bCs/>
              </w:rPr>
              <w:t>‘Empirical’</w:t>
            </w:r>
          </w:p>
        </w:tc>
        <w:tc>
          <w:tcPr>
            <w:tcW w:w="0" w:type="auto"/>
          </w:tcPr>
          <w:p w14:paraId="0945BC7D" w14:textId="77777777" w:rsidR="003677D2" w:rsidRDefault="00D95A7A">
            <w:pPr>
              <w:pStyle w:val="Compact"/>
              <w:jc w:val="left"/>
            </w:pPr>
            <w:r>
              <w:rPr>
                <w:b/>
                <w:bCs/>
              </w:rPr>
              <w:t>‘Bayesian’</w:t>
            </w:r>
          </w:p>
        </w:tc>
      </w:tr>
      <w:tr w:rsidR="003677D2" w14:paraId="0945BC83" w14:textId="77777777">
        <w:tc>
          <w:tcPr>
            <w:tcW w:w="0" w:type="auto"/>
          </w:tcPr>
          <w:p w14:paraId="0945BC7F" w14:textId="77777777" w:rsidR="003677D2" w:rsidRDefault="00000000">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1</m:t>
                    </m:r>
                  </m:sub>
                </m:sSub>
              </m:oMath>
            </m:oMathPara>
          </w:p>
        </w:tc>
        <w:tc>
          <w:tcPr>
            <w:tcW w:w="0" w:type="auto"/>
          </w:tcPr>
          <w:p w14:paraId="0945BC80" w14:textId="77777777" w:rsidR="003677D2" w:rsidRDefault="00000000">
            <w:pPr>
              <w:pStyle w:val="Compact"/>
              <w:jc w:val="left"/>
            </w:pPr>
            <m:oMathPara>
              <m:oMath>
                <m:f>
                  <m:fPr>
                    <m:ctrlPr>
                      <w:rPr>
                        <w:rFonts w:ascii="Cambria Math" w:hAnsi="Cambria Math"/>
                      </w:rPr>
                    </m:ctrlPr>
                  </m:fPr>
                  <m:num>
                    <m:r>
                      <w:rPr>
                        <w:rFonts w:ascii="Cambria Math" w:hAnsi="Cambria Math"/>
                      </w:rPr>
                      <m:t>7</m:t>
                    </m:r>
                  </m:num>
                  <m:den>
                    <m:r>
                      <w:rPr>
                        <w:rFonts w:ascii="Cambria Math" w:hAnsi="Cambria Math"/>
                      </w:rPr>
                      <m:t>16</m:t>
                    </m:r>
                  </m:den>
                </m:f>
                <m:r>
                  <m:rPr>
                    <m:sty m:val="p"/>
                  </m:rPr>
                  <w:rPr>
                    <w:rFonts w:ascii="Cambria Math" w:hAnsi="Cambria Math"/>
                  </w:rPr>
                  <m:t>≈</m:t>
                </m:r>
                <m:r>
                  <w:rPr>
                    <w:rFonts w:ascii="Cambria Math" w:hAnsi="Cambria Math"/>
                  </w:rPr>
                  <m:t>0.44</m:t>
                </m:r>
              </m:oMath>
            </m:oMathPara>
          </w:p>
        </w:tc>
        <w:tc>
          <w:tcPr>
            <w:tcW w:w="0" w:type="auto"/>
          </w:tcPr>
          <w:p w14:paraId="0945BC81" w14:textId="77777777" w:rsidR="003677D2" w:rsidRDefault="00D95A7A">
            <w:pPr>
              <w:pStyle w:val="Compact"/>
              <w:jc w:val="left"/>
            </w:pPr>
            <w:r>
              <w:t>0.42</w:t>
            </w:r>
          </w:p>
        </w:tc>
        <w:tc>
          <w:tcPr>
            <w:tcW w:w="0" w:type="auto"/>
          </w:tcPr>
          <w:p w14:paraId="0945BC82" w14:textId="77777777" w:rsidR="003677D2" w:rsidRDefault="00D95A7A">
            <w:pPr>
              <w:pStyle w:val="Compact"/>
              <w:jc w:val="left"/>
            </w:pPr>
            <w:r>
              <w:t>0.43</w:t>
            </w:r>
          </w:p>
        </w:tc>
      </w:tr>
      <w:tr w:rsidR="003677D2" w14:paraId="0945BC88" w14:textId="77777777">
        <w:tc>
          <w:tcPr>
            <w:tcW w:w="0" w:type="auto"/>
          </w:tcPr>
          <w:p w14:paraId="0945BC84" w14:textId="77777777" w:rsidR="003677D2" w:rsidRDefault="00000000">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2</m:t>
                    </m:r>
                  </m:sub>
                </m:sSub>
              </m:oMath>
            </m:oMathPara>
          </w:p>
        </w:tc>
        <w:tc>
          <w:tcPr>
            <w:tcW w:w="0" w:type="auto"/>
          </w:tcPr>
          <w:p w14:paraId="0945BC85" w14:textId="77777777" w:rsidR="003677D2" w:rsidRDefault="00000000">
            <w:pPr>
              <w:pStyle w:val="Compact"/>
              <w:jc w:val="left"/>
            </w:pPr>
            <m:oMathPara>
              <m:oMath>
                <m:f>
                  <m:fPr>
                    <m:ctrlPr>
                      <w:rPr>
                        <w:rFonts w:ascii="Cambria Math" w:hAnsi="Cambria Math"/>
                      </w:rPr>
                    </m:ctrlPr>
                  </m:fPr>
                  <m:num>
                    <m:r>
                      <w:rPr>
                        <w:rFonts w:ascii="Cambria Math" w:hAnsi="Cambria Math"/>
                      </w:rPr>
                      <m:t>1</m:t>
                    </m:r>
                  </m:num>
                  <m:den>
                    <m:r>
                      <w:rPr>
                        <w:rFonts w:ascii="Cambria Math" w:hAnsi="Cambria Math"/>
                      </w:rPr>
                      <m:t>4</m:t>
                    </m:r>
                  </m:den>
                </m:f>
                <m:r>
                  <m:rPr>
                    <m:sty m:val="p"/>
                  </m:rPr>
                  <w:rPr>
                    <w:rFonts w:ascii="Cambria Math" w:hAnsi="Cambria Math"/>
                  </w:rPr>
                  <m:t>≈</m:t>
                </m:r>
                <m:r>
                  <w:rPr>
                    <w:rFonts w:ascii="Cambria Math" w:hAnsi="Cambria Math"/>
                  </w:rPr>
                  <m:t>0.25</m:t>
                </m:r>
              </m:oMath>
            </m:oMathPara>
          </w:p>
        </w:tc>
        <w:tc>
          <w:tcPr>
            <w:tcW w:w="0" w:type="auto"/>
          </w:tcPr>
          <w:p w14:paraId="0945BC86" w14:textId="77777777" w:rsidR="003677D2" w:rsidRDefault="00D95A7A">
            <w:pPr>
              <w:pStyle w:val="Compact"/>
              <w:jc w:val="left"/>
            </w:pPr>
            <w:r>
              <w:t>0.32</w:t>
            </w:r>
          </w:p>
        </w:tc>
        <w:tc>
          <w:tcPr>
            <w:tcW w:w="0" w:type="auto"/>
          </w:tcPr>
          <w:p w14:paraId="0945BC87" w14:textId="77777777" w:rsidR="003677D2" w:rsidRDefault="00D95A7A">
            <w:pPr>
              <w:pStyle w:val="Compact"/>
              <w:jc w:val="left"/>
            </w:pPr>
            <w:r>
              <w:t>0.31</w:t>
            </w:r>
          </w:p>
        </w:tc>
      </w:tr>
      <w:tr w:rsidR="003677D2" w14:paraId="0945BC8D" w14:textId="77777777">
        <w:tc>
          <w:tcPr>
            <w:tcW w:w="0" w:type="auto"/>
          </w:tcPr>
          <w:p w14:paraId="0945BC89" w14:textId="77777777" w:rsidR="003677D2" w:rsidRDefault="00000000">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3</m:t>
                    </m:r>
                  </m:sub>
                </m:sSub>
              </m:oMath>
            </m:oMathPara>
          </w:p>
        </w:tc>
        <w:tc>
          <w:tcPr>
            <w:tcW w:w="0" w:type="auto"/>
          </w:tcPr>
          <w:p w14:paraId="0945BC8A" w14:textId="77777777" w:rsidR="003677D2" w:rsidRDefault="00000000">
            <w:pPr>
              <w:pStyle w:val="Compact"/>
              <w:jc w:val="left"/>
            </w:pPr>
            <m:oMathPara>
              <m:oMath>
                <m:f>
                  <m:fPr>
                    <m:ctrlPr>
                      <w:rPr>
                        <w:rFonts w:ascii="Cambria Math" w:hAnsi="Cambria Math"/>
                      </w:rPr>
                    </m:ctrlPr>
                  </m:fPr>
                  <m:num>
                    <m:r>
                      <w:rPr>
                        <w:rFonts w:ascii="Cambria Math" w:hAnsi="Cambria Math"/>
                      </w:rPr>
                      <m:t>9</m:t>
                    </m:r>
                  </m:num>
                  <m:den>
                    <m:r>
                      <w:rPr>
                        <w:rFonts w:ascii="Cambria Math" w:hAnsi="Cambria Math"/>
                      </w:rPr>
                      <m:t>16</m:t>
                    </m:r>
                  </m:den>
                </m:f>
                <m:r>
                  <m:rPr>
                    <m:sty m:val="p"/>
                  </m:rPr>
                  <w:rPr>
                    <w:rFonts w:ascii="Cambria Math" w:hAnsi="Cambria Math"/>
                  </w:rPr>
                  <m:t>≈</m:t>
                </m:r>
                <m:r>
                  <w:rPr>
                    <w:rFonts w:ascii="Cambria Math" w:hAnsi="Cambria Math"/>
                  </w:rPr>
                  <m:t>0.56</m:t>
                </m:r>
              </m:oMath>
            </m:oMathPara>
          </w:p>
        </w:tc>
        <w:tc>
          <w:tcPr>
            <w:tcW w:w="0" w:type="auto"/>
          </w:tcPr>
          <w:p w14:paraId="0945BC8B" w14:textId="77777777" w:rsidR="003677D2" w:rsidRDefault="00D95A7A">
            <w:pPr>
              <w:pStyle w:val="Compact"/>
              <w:jc w:val="left"/>
            </w:pPr>
            <w:r>
              <w:t>0.5</w:t>
            </w:r>
          </w:p>
        </w:tc>
        <w:tc>
          <w:tcPr>
            <w:tcW w:w="0" w:type="auto"/>
          </w:tcPr>
          <w:p w14:paraId="0945BC8C" w14:textId="77777777" w:rsidR="003677D2" w:rsidRDefault="00D95A7A">
            <w:pPr>
              <w:pStyle w:val="Compact"/>
              <w:jc w:val="left"/>
            </w:pPr>
            <w:r>
              <w:t>0.52</w:t>
            </w:r>
          </w:p>
        </w:tc>
      </w:tr>
      <w:tr w:rsidR="003677D2" w14:paraId="0945BC92" w14:textId="77777777">
        <w:tc>
          <w:tcPr>
            <w:tcW w:w="0" w:type="auto"/>
          </w:tcPr>
          <w:p w14:paraId="0945BC8E" w14:textId="77777777" w:rsidR="003677D2" w:rsidRDefault="00000000">
            <w:pPr>
              <w:pStyle w:val="Compact"/>
              <w:jc w:val="left"/>
            </w:pP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D95A7A">
              <w:t xml:space="preserve"> (natural log space)</w:t>
            </w:r>
          </w:p>
        </w:tc>
        <w:tc>
          <w:tcPr>
            <w:tcW w:w="0" w:type="auto"/>
          </w:tcPr>
          <w:p w14:paraId="0945BC8F" w14:textId="77777777" w:rsidR="003677D2" w:rsidRDefault="00D95A7A">
            <w:pPr>
              <w:pStyle w:val="Compact"/>
              <w:jc w:val="left"/>
            </w:pPr>
            <w:r>
              <w:t>3.85</w:t>
            </w:r>
          </w:p>
        </w:tc>
        <w:tc>
          <w:tcPr>
            <w:tcW w:w="0" w:type="auto"/>
          </w:tcPr>
          <w:p w14:paraId="0945BC90" w14:textId="77777777" w:rsidR="003677D2" w:rsidRDefault="00D95A7A">
            <w:pPr>
              <w:pStyle w:val="Compact"/>
              <w:jc w:val="left"/>
            </w:pPr>
            <w:r>
              <w:t>3.85</w:t>
            </w:r>
          </w:p>
        </w:tc>
        <w:tc>
          <w:tcPr>
            <w:tcW w:w="0" w:type="auto"/>
          </w:tcPr>
          <w:p w14:paraId="0945BC91" w14:textId="77777777" w:rsidR="003677D2" w:rsidRDefault="00D95A7A">
            <w:pPr>
              <w:pStyle w:val="Compact"/>
              <w:jc w:val="left"/>
            </w:pPr>
            <w:r>
              <w:t>3.89</w:t>
            </w:r>
          </w:p>
        </w:tc>
      </w:tr>
      <w:tr w:rsidR="003677D2" w14:paraId="0945BC97" w14:textId="77777777">
        <w:tc>
          <w:tcPr>
            <w:tcW w:w="0" w:type="auto"/>
          </w:tcPr>
          <w:p w14:paraId="0945BC93" w14:textId="77777777" w:rsidR="003677D2" w:rsidRDefault="00000000">
            <w:pPr>
              <w:pStyle w:val="Compact"/>
              <w:jc w:val="left"/>
            </w:pPr>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0" w:type="auto"/>
          </w:tcPr>
          <w:p w14:paraId="0945BC94" w14:textId="77777777" w:rsidR="003677D2" w:rsidRDefault="00D95A7A">
            <w:pPr>
              <w:pStyle w:val="Compact"/>
              <w:jc w:val="left"/>
            </w:pPr>
            <w:r>
              <w:t>0.5</w:t>
            </w:r>
          </w:p>
        </w:tc>
        <w:tc>
          <w:tcPr>
            <w:tcW w:w="0" w:type="auto"/>
          </w:tcPr>
          <w:p w14:paraId="0945BC95" w14:textId="77777777" w:rsidR="003677D2" w:rsidRDefault="00D95A7A">
            <w:pPr>
              <w:pStyle w:val="Compact"/>
              <w:jc w:val="left"/>
            </w:pPr>
            <w:r>
              <w:t>0.5</w:t>
            </w:r>
          </w:p>
        </w:tc>
        <w:tc>
          <w:tcPr>
            <w:tcW w:w="0" w:type="auto"/>
          </w:tcPr>
          <w:p w14:paraId="0945BC96" w14:textId="77777777" w:rsidR="003677D2" w:rsidRDefault="00D95A7A">
            <w:pPr>
              <w:pStyle w:val="Compact"/>
              <w:jc w:val="left"/>
            </w:pPr>
            <w:r>
              <w:t>0.5</w:t>
            </w:r>
          </w:p>
        </w:tc>
      </w:tr>
    </w:tbl>
    <w:p w14:paraId="0945BC98" w14:textId="77777777" w:rsidR="003677D2" w:rsidRDefault="00D95A7A">
      <w:pPr>
        <w:pStyle w:val="BodyText"/>
      </w:pPr>
      <w:r>
        <w:lastRenderedPageBreak/>
        <w:t>Compared to other combinations of Equations 3-6 (Figure S2), there is also a better fit using equation 7 thanks to the addition of the Reynold’s number scaling for low-turbulent flows (as expected). The success of the final model in hydraulically-wide channels (provided as equation 8 using the posterior means) provides us with a physical-model for gas evasion built with SWOT in mind. The river hydraulics terms in Equation 8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0945BC99" w14:textId="10AB67AB" w:rsidR="003677D2" w:rsidRDefault="00D95A7A">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600</m:t>
                  </m:r>
                </m:sub>
              </m:sSub>
            </m:e>
          </m:d>
          <m:r>
            <m:rPr>
              <m:sty m:val="p"/>
            </m:rPr>
            <w:rPr>
              <w:rFonts w:ascii="Cambria Math" w:hAnsi="Cambria Math"/>
            </w:rPr>
            <m:t>=</m:t>
          </m:r>
          <m:r>
            <w:rPr>
              <w:rFonts w:ascii="Cambria Math" w:hAnsi="Cambria Math"/>
            </w:rPr>
            <m:t>3.89</m:t>
          </m:r>
          <m:r>
            <m:rPr>
              <m:sty m:val="p"/>
            </m:rPr>
            <w:rPr>
              <w:rFonts w:ascii="Cambria Math" w:hAnsi="Cambria Math"/>
            </w:rPr>
            <m:t>+</m:t>
          </m:r>
          <m:d>
            <m:dPr>
              <m:ctrlPr>
                <w:rPr>
                  <w:rFonts w:ascii="Cambria Math" w:hAnsi="Cambria Math"/>
                </w:rPr>
              </m:ctrlPr>
            </m:dPr>
            <m:e>
              <m:r>
                <w:rPr>
                  <w:rFonts w:ascii="Cambria Math" w:hAnsi="Cambria Math"/>
                </w:rPr>
                <m:t>0.43</m:t>
              </m:r>
            </m:e>
          </m:d>
          <m:r>
            <w:rPr>
              <w:rFonts w:ascii="Cambria Math" w:hAnsi="Cambria Math"/>
            </w:rPr>
            <m:t>log</m:t>
          </m:r>
          <m:d>
            <m:dPr>
              <m:ctrlPr>
                <w:rPr>
                  <w:rFonts w:ascii="Cambria Math" w:hAnsi="Cambria Math"/>
                </w:rPr>
              </m:ctrlPr>
            </m:dPr>
            <m:e>
              <m:r>
                <w:rPr>
                  <w:rFonts w:ascii="Cambria Math" w:hAnsi="Cambria Math"/>
                </w:rPr>
                <m:t>gS</m:t>
              </m:r>
            </m:e>
          </m:d>
          <m:r>
            <m:rPr>
              <m:sty m:val="p"/>
            </m:rPr>
            <w:rPr>
              <w:rFonts w:ascii="Cambria Math" w:hAnsi="Cambria Math"/>
            </w:rPr>
            <m:t>+</m:t>
          </m:r>
          <m:d>
            <m:dPr>
              <m:ctrlPr>
                <w:rPr>
                  <w:rFonts w:ascii="Cambria Math" w:hAnsi="Cambria Math"/>
                </w:rPr>
              </m:ctrlPr>
            </m:dPr>
            <m:e>
              <m:r>
                <w:rPr>
                  <w:rFonts w:ascii="Cambria Math" w:hAnsi="Cambria Math"/>
                </w:rPr>
                <m:t>0.31</m:t>
              </m:r>
            </m:e>
          </m:d>
          <m:r>
            <w:rPr>
              <w:rFonts w:ascii="Cambria Math" w:hAnsi="Cambria Math"/>
            </w:rPr>
            <m:t>log</m:t>
          </m:r>
          <m:d>
            <m:dPr>
              <m:ctrlPr>
                <w:rPr>
                  <w:rFonts w:ascii="Cambria Math" w:hAnsi="Cambria Math"/>
                </w:rPr>
              </m:ctrlPr>
            </m:dPr>
            <m:e>
              <m:acc>
                <m:accPr>
                  <m:chr m:val="‾"/>
                  <m:ctrlPr>
                    <w:rPr>
                      <w:rFonts w:ascii="Cambria Math" w:hAnsi="Cambria Math"/>
                    </w:rPr>
                  </m:ctrlPr>
                </m:accPr>
                <m:e>
                  <m:r>
                    <w:rPr>
                      <w:rFonts w:ascii="Cambria Math" w:hAnsi="Cambria Math"/>
                    </w:rPr>
                    <m:t>U</m:t>
                  </m:r>
                </m:e>
              </m:acc>
            </m:e>
          </m:d>
          <m:r>
            <m:rPr>
              <m:sty m:val="p"/>
            </m:rPr>
            <w:rPr>
              <w:rFonts w:ascii="Cambria Math" w:hAnsi="Cambria Math"/>
            </w:rPr>
            <m:t>+</m:t>
          </m:r>
          <m:d>
            <m:dPr>
              <m:ctrlPr>
                <w:rPr>
                  <w:rFonts w:ascii="Cambria Math" w:hAnsi="Cambria Math"/>
                </w:rPr>
              </m:ctrlPr>
            </m:dPr>
            <m:e>
              <m:r>
                <w:rPr>
                  <w:rFonts w:ascii="Cambria Math" w:hAnsi="Cambria Math"/>
                </w:rPr>
                <m:t>0.52</m:t>
              </m:r>
            </m:e>
          </m:d>
          <m:r>
            <w:rPr>
              <w:rFonts w:ascii="Cambria Math" w:hAnsi="Cambria Math"/>
            </w:rPr>
            <m:t>log</m:t>
          </m:r>
          <m:d>
            <m:dPr>
              <m:ctrlPr>
                <w:rPr>
                  <w:rFonts w:ascii="Cambria Math" w:hAnsi="Cambria Math"/>
                </w:rPr>
              </m:ctrlPr>
            </m:dPr>
            <m:e>
              <m:r>
                <w:rPr>
                  <w:rFonts w:ascii="Cambria Math" w:hAnsi="Cambria Math"/>
                </w:rPr>
                <m:t>H</m:t>
              </m:r>
            </m:e>
          </m:d>
          <m:r>
            <w:rPr>
              <w:rFonts w:ascii="Cambria Math" w:hAnsi="Cambria Math"/>
            </w:rPr>
            <m:t xml:space="preserve">                           </m:t>
          </m:r>
          <m:d>
            <m:dPr>
              <m:ctrlPr>
                <w:rPr>
                  <w:rFonts w:ascii="Cambria Math" w:hAnsi="Cambria Math"/>
                </w:rPr>
              </m:ctrlPr>
            </m:dPr>
            <m:e>
              <m:r>
                <m:rPr>
                  <m:sty m:val="b"/>
                </m:rPr>
                <w:rPr>
                  <w:rFonts w:ascii="Cambria Math" w:hAnsi="Cambria Math"/>
                </w:rPr>
                <m:t>8</m:t>
              </m:r>
            </m:e>
          </m:d>
        </m:oMath>
      </m:oMathPara>
    </w:p>
    <w:p w14:paraId="0945BC9A" w14:textId="77777777" w:rsidR="003677D2" w:rsidRDefault="00D95A7A">
      <w:pPr>
        <w:pStyle w:val="Heading2"/>
      </w:pPr>
      <w:bookmarkStart w:id="9" w:name="Xef332eddab31b6cce8fead577ce207a954fddec"/>
      <w:bookmarkEnd w:id="4"/>
      <w:bookmarkEnd w:id="8"/>
      <w:r>
        <w:t>3 BIKER algorithm development and validation</w:t>
      </w:r>
    </w:p>
    <w:p w14:paraId="0945BC9B" w14:textId="77777777" w:rsidR="003677D2" w:rsidRDefault="00D95A7A">
      <w:pPr>
        <w:pStyle w:val="Heading3"/>
      </w:pPr>
      <w:bookmarkStart w:id="10" w:name="data-1"/>
      <w:r>
        <w:t>3.1 Data</w:t>
      </w:r>
    </w:p>
    <w:p w14:paraId="0945BC9C" w14:textId="77777777" w:rsidR="003677D2" w:rsidRDefault="00D95A7A">
      <w:pPr>
        <w:pStyle w:val="FirstParagraph"/>
      </w:pPr>
      <w:r>
        <w:t xml:space="preserve">To validate BIKER, we cannot use actual SWOT measurements as SWOT has yet to launch. In the hydrology literature, it has become standard practice to benchmark SWOT-related algorithms on “SWOT-like” data (Durand et al., 2016; Frasson et al., 2021). We use 47 SWOT-simulated rivers for validation, where these simulated rivers are simply reach-averaged hydraulic model outputs where the water surface heights, slopes, and widths are labelled as RS observations and are used as the sole inputs to BIKER (Figure S1).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Frasson et al. (2021) and Durand et </w:t>
      </w:r>
      <w:r>
        <w:lastRenderedPageBreak/>
        <w:t>al. (2016). See Figure S3 for a map of these river’s locations along the global SWOT river network (Altenau et al., 2021).</w:t>
      </w:r>
    </w:p>
    <w:p w14:paraId="0945BC9D" w14:textId="77777777" w:rsidR="003677D2" w:rsidRDefault="00D95A7A">
      <w:pPr>
        <w:pStyle w:val="BodyText"/>
      </w:pPr>
      <w:r>
        <w:t>There is considerable geographic bias in our validation rivers, with rivers only present in North America, Western Europe, and Bangladesh. Further, no Arctic rivers are included. We acknowledge that this bias limits our ability to validate BIKER across many environments ahead of SWOT’s launch. However, it is a sufficient validation set for a first proof-of-concept study consistent with the hydrology literature for SWOT. Further, the data requirements to create these test cases are strict and the processing time is enormous. Also note that SWOT water surface slope measurements will have a lower detection limit of 1.7 cm/km (Biancamaria et al., 2016), and therefore any slope measurement in our data less than this threshold was reassigned this minimum value.</w:t>
      </w:r>
    </w:p>
    <w:p w14:paraId="0945BC9E" w14:textId="77777777" w:rsidR="003677D2" w:rsidRDefault="00D95A7A">
      <w:pPr>
        <w:pStyle w:val="BodyText"/>
      </w:pPr>
      <w:r>
        <w:t xml:space="preserve">We validate BIKER under two different ‘error scenarios’ (section 3.2.2).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of 47 rivers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and then applied to these 16 rivers by Frasson et al. (2021). This error modelling is non-trivial and computationally expensive, and so Frasson et al. (2021) were </w:t>
      </w:r>
      <w:r>
        <w:lastRenderedPageBreak/>
        <w:t>limited to only 16 test cases with SWOT measurement errors. Likewise, we stick to these 16 rivers for the same reason. These rivers are detailed in Figure S3. Given that it is only 16 synthetic rivers, caution should be used in over generalizing our results beyond our proof of concept.</w:t>
      </w:r>
    </w:p>
    <w:p w14:paraId="0945BC9F" w14:textId="77777777" w:rsidR="003677D2" w:rsidRDefault="00D95A7A">
      <w:pPr>
        <w:pStyle w:val="BodyText"/>
      </w:pPr>
      <w:r>
        <w:t xml:space="preserve">For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evasion and carbon emissions calculations, we use 26 bi-weekly dissolved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samples collected by Beaulieu et al. (2012) at one location in the Ohio River (Figure S3) for one calender year from 2008-2009 (Figure S4). Note that this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data is for the Ohio River only but was applied to all rivers to provide a physically realistic signal for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fluxes with meaningful seasonality and dynamics. Therefore, the raw carbon emissions estimates presented in this paper are meaningless in the context of actually measured carbon emissions from these rivers but are better than specifying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these fluxes with published methods. Therefore, applying these ‘unit’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values allows for such a comparison by providing a realistic timeseries.</w:t>
      </w:r>
    </w:p>
    <w:p w14:paraId="0945BCA0" w14:textId="77777777" w:rsidR="003677D2" w:rsidRDefault="00D95A7A">
      <w:pPr>
        <w:pStyle w:val="Heading3"/>
      </w:pPr>
      <w:bookmarkStart w:id="11" w:name="section-3-methods"/>
      <w:bookmarkEnd w:id="10"/>
      <w:r>
        <w:t>3.2 Section 3 methods</w:t>
      </w:r>
    </w:p>
    <w:p w14:paraId="0945BCA1" w14:textId="77777777" w:rsidR="003677D2" w:rsidRDefault="00D95A7A">
      <w:pPr>
        <w:pStyle w:val="Heading4"/>
      </w:pPr>
      <w:bookmarkStart w:id="12" w:name="biker"/>
      <w:r>
        <w:t>3.2.1 BIKER</w:t>
      </w:r>
    </w:p>
    <w:p w14:paraId="0945BCA2" w14:textId="77777777" w:rsidR="003677D2" w:rsidRDefault="00D95A7A">
      <w:pPr>
        <w:pStyle w:val="FirstParagraph"/>
      </w:pPr>
      <w:r>
        <w:t xml:space="preserve">To develop BIKER, we follow the work of Hagemann et al. (2017), Brinkerhoff et al. (2020), and Durand et al. (2014)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H</w:t>
      </w:r>
      <w:r>
        <w:t xml:space="preserve">, and </w:t>
      </w:r>
      <m:oMath>
        <m:acc>
          <m:accPr>
            <m:chr m:val="‾"/>
            <m:ctrlPr>
              <w:rPr>
                <w:rFonts w:ascii="Cambria Math" w:hAnsi="Cambria Math"/>
              </w:rPr>
            </m:ctrlPr>
          </m:accPr>
          <m:e>
            <m:r>
              <w:rPr>
                <w:rFonts w:ascii="Cambria Math" w:hAnsi="Cambria Math"/>
              </w:rPr>
              <m:t>U</m:t>
            </m:r>
          </m:e>
        </m:acc>
      </m:oMath>
      <w:r>
        <w:t xml:space="preserve"> from SWOT observations. These Bayesian approaches to inverse modeling via SWOT data start from Bayes rule (Equation 9), where </w:t>
      </w:r>
      <m:oMath>
        <m:r>
          <w:rPr>
            <w:rFonts w:ascii="Cambria Math" w:hAnsi="Cambria Math"/>
          </w:rPr>
          <m:t>Θ</m:t>
        </m:r>
      </m:oMath>
      <w:r>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rPr>
          <w:i/>
          <w:iCs/>
        </w:rPr>
        <w:t>x</w:t>
      </w:r>
      <w:r>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is the sampling model where data are conditional on the parameters, and </w:t>
      </w:r>
      <m:oMath>
        <m:r>
          <w:rPr>
            <w:rFonts w:ascii="Cambria Math" w:hAnsi="Cambria Math"/>
          </w:rPr>
          <w:lastRenderedPageBreak/>
          <m:t>p</m:t>
        </m:r>
        <m:d>
          <m:dPr>
            <m:ctrlPr>
              <w:rPr>
                <w:rFonts w:ascii="Cambria Math" w:hAnsi="Cambria Math"/>
              </w:rPr>
            </m:ctrlPr>
          </m:dPr>
          <m:e>
            <m:r>
              <w:rPr>
                <w:rFonts w:ascii="Cambria Math" w:hAnsi="Cambria Math"/>
              </w:rPr>
              <m:t>Θ</m:t>
            </m:r>
          </m:e>
        </m:d>
      </m:oMath>
      <w:r>
        <w:t xml:space="preserve"> is the 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oMath>
      <w:r>
        <w:t>. Sampling algorithms are then used to approximate the actual posterior distribution, as is done in BIKER.</w:t>
      </w:r>
    </w:p>
    <w:p w14:paraId="0945BCA3" w14:textId="226E8AB5" w:rsidR="003677D2" w:rsidRDefault="00D95A7A">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hAnsi="Cambria Math"/>
            </w:rPr>
            <m:t xml:space="preserve">                           </m:t>
          </m:r>
          <m:d>
            <m:dPr>
              <m:ctrlPr>
                <w:rPr>
                  <w:rFonts w:ascii="Cambria Math" w:hAnsi="Cambria Math"/>
                </w:rPr>
              </m:ctrlPr>
            </m:dPr>
            <m:e>
              <m:r>
                <m:rPr>
                  <m:sty m:val="b"/>
                </m:rPr>
                <w:rPr>
                  <w:rFonts w:ascii="Cambria Math" w:hAnsi="Cambria Math"/>
                </w:rPr>
                <m:t>9</m:t>
              </m:r>
            </m:e>
          </m:d>
        </m:oMath>
      </m:oMathPara>
    </w:p>
    <w:p w14:paraId="0945BCA4" w14:textId="77777777" w:rsidR="003677D2" w:rsidRDefault="00D95A7A">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8) as a Bayesian sampling model that is conditional on the non-remotely-sensed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This approach is similar to the ‘McFLI’ (Mass-Conserved Flow Law Inversion) logic used in some SWOT remote sensing of discharge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This algebra is carried out using Equation 8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Following Section 2.3, we continue to assume that the channel is hydraulically-wide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we use the “Durand transform” originally published by (Durand et al., 2014): the wetted channel area </w:t>
      </w:r>
      <w:r>
        <w:rPr>
          <w:i/>
          <w:iCs/>
        </w:rPr>
        <w:t>A</w:t>
      </w:r>
      <w:r>
        <w:t xml:space="preserve"> is further split into the 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r>
        <w:rPr>
          <w:i/>
          <w:iCs/>
        </w:rPr>
        <w:t>i</w:t>
      </w:r>
      <w:r>
        <w:t xml:space="preserve"> and timestep </w:t>
      </w:r>
      <w:r>
        <w:rPr>
          <w:i/>
          <w:iCs/>
        </w:rPr>
        <w:t>t</w:t>
      </w:r>
      <w:r>
        <w:t xml:space="preserve"> within a mass-conserved river reach.</w:t>
      </w:r>
    </w:p>
    <w:p w14:paraId="22798256" w14:textId="77777777" w:rsidR="00247121" w:rsidRDefault="00D95A7A" w:rsidP="005519D4">
      <w:pPr>
        <w:pStyle w:val="BodyText"/>
      </w:pPr>
      <w:r>
        <w:t xml:space="preserve">All of the above algebra simplifies to Equation 10.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estimated by tracer additions to a stream is inherently a reach-scale quantity (in a mass-conserved reach). </w:t>
      </w:r>
      <w:r>
        <w:lastRenderedPageBreak/>
        <w:t xml:space="preserve">Therefore, Equations 7, 8, and 10 all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 thus lowering the number of parameters BIKER must infer and making the problem much better constrained.</w:t>
      </w:r>
    </w:p>
    <w:p w14:paraId="37206899" w14:textId="77777777" w:rsidR="00247121" w:rsidRPr="00D227C4" w:rsidRDefault="00D95A7A" w:rsidP="005519D4">
      <w:pPr>
        <w:pStyle w:val="BodyText"/>
        <w:rPr>
          <w:rFonts w:eastAsiaTheme="minorEastAsia"/>
        </w:rPr>
      </w:pPr>
      <m:oMathPara>
        <m:oMathParaPr>
          <m:jc m:val="left"/>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r>
            <w:rPr>
              <w:rFonts w:ascii="Cambria Math" w:hAnsi="Cambria Math"/>
            </w:rPr>
            <m:t>3.89</m:t>
          </m:r>
          <m:r>
            <m:rPr>
              <m:sty m:val="p"/>
            </m:rPr>
            <w:rPr>
              <w:rFonts w:ascii="Cambria Math" w:hAnsi="Cambria Math"/>
            </w:rPr>
            <m:t>+</m:t>
          </m:r>
          <m:d>
            <m:dPr>
              <m:ctrlPr>
                <w:rPr>
                  <w:rFonts w:ascii="Cambria Math" w:hAnsi="Cambria Math"/>
                </w:rPr>
              </m:ctrlPr>
            </m:dPr>
            <m:e>
              <m:r>
                <w:rPr>
                  <w:rFonts w:ascii="Cambria Math" w:hAnsi="Cambria Math"/>
                </w:rPr>
                <m:t>0.4320</m:t>
              </m:r>
            </m:e>
          </m:d>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0.5862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d>
            <m:dPr>
              <m:ctrlPr>
                <w:rPr>
                  <w:rFonts w:ascii="Cambria Math" w:hAnsi="Cambria Math"/>
                </w:rPr>
              </m:ctrlPr>
            </m:dPr>
            <m:e>
              <m:r>
                <w:rPr>
                  <w:rFonts w:ascii="Cambria Math" w:hAnsi="Cambria Math"/>
                </w:rPr>
                <m:t>0.3084</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i</m:t>
                      </m:r>
                    </m:sub>
                  </m:sSub>
                </m:den>
              </m:f>
            </m:e>
          </m:d>
          <m:r>
            <m:rPr>
              <m:sty m:val="p"/>
            </m:rPr>
            <w:rPr>
              <w:rFonts w:ascii="Cambria Math" w:hAnsi="Cambria Math"/>
            </w:rPr>
            <m:t>+</m:t>
          </m:r>
        </m:oMath>
      </m:oMathPara>
    </w:p>
    <w:p w14:paraId="0945BCA6" w14:textId="7842C7E3" w:rsidR="003677D2" w:rsidRPr="005519D4" w:rsidRDefault="00000000" w:rsidP="00D227C4">
      <w:pPr>
        <w:pStyle w:val="BodyText"/>
        <w:ind w:firstLine="0"/>
      </w:pPr>
      <m:oMathPara>
        <m:oMath>
          <m:d>
            <m:dPr>
              <m:ctrlPr>
                <w:rPr>
                  <w:rFonts w:ascii="Cambria Math" w:hAnsi="Cambria Math"/>
                </w:rPr>
              </m:ctrlPr>
            </m:dPr>
            <m:e>
              <m:r>
                <w:rPr>
                  <w:rFonts w:ascii="Cambria Math" w:hAnsi="Cambria Math"/>
                </w:rPr>
                <m:t>0.7282</m:t>
              </m:r>
            </m:e>
          </m:d>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den>
              </m:f>
            </m:e>
          </m:d>
          <m:r>
            <w:rPr>
              <w:rFonts w:ascii="Cambria Math" w:hAnsi="Cambria Math"/>
            </w:rPr>
            <m:t xml:space="preserve">                           </m:t>
          </m:r>
          <m:d>
            <m:dPr>
              <m:ctrlPr>
                <w:rPr>
                  <w:rFonts w:ascii="Cambria Math" w:hAnsi="Cambria Math"/>
                </w:rPr>
              </m:ctrlPr>
            </m:dPr>
            <m:e>
              <m:r>
                <m:rPr>
                  <m:sty m:val="b"/>
                </m:rPr>
                <w:rPr>
                  <w:rFonts w:ascii="Cambria Math" w:hAnsi="Cambria Math"/>
                </w:rPr>
                <m:t>10</m:t>
              </m:r>
            </m:e>
          </m:d>
        </m:oMath>
      </m:oMathPara>
    </w:p>
    <w:p w14:paraId="5047E53D" w14:textId="77777777" w:rsidR="00247121" w:rsidRDefault="00D95A7A" w:rsidP="00247121">
      <w:pPr>
        <w:pStyle w:val="FirstParagraph"/>
      </w:pPr>
      <w:r>
        <w:t xml:space="preserve">Next, Equation 10 is re-written as a Bayesian sampling model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in which the joint data distribution </w:t>
      </w:r>
      <w:r>
        <w:rPr>
          <w:i/>
          <w:iCs/>
        </w:rPr>
        <w:t>x</w:t>
      </w:r>
      <w:r>
        <w:t xml:space="preserve"> (i.e. SWOT observations) is sampled from the joint parameter distribution (</w:t>
      </w:r>
      <m:oMath>
        <m:r>
          <w:rPr>
            <w:rFonts w:ascii="Cambria Math" w:hAnsi="Cambria Math"/>
          </w:rPr>
          <m:t>Θ</m:t>
        </m:r>
      </m:oMath>
      <w:r>
        <w:t xml:space="preserve">). We first rearrange equation 10 to isolate </w:t>
      </w:r>
      <w:r>
        <w:rPr>
          <w:i/>
          <w:iCs/>
        </w:rPr>
        <w:t>x</w:t>
      </w:r>
      <w:r>
        <w:t xml:space="preserve"> from </w:t>
      </w:r>
      <m:oMath>
        <m:r>
          <w:rPr>
            <w:rFonts w:ascii="Cambria Math" w:hAnsi="Cambria Math"/>
          </w:rPr>
          <m:t>Θ</m:t>
        </m:r>
      </m:oMath>
      <w:r>
        <w:t xml:space="preserve"> (equation 11). Then, equation 12a-c re-expresses equation 11 as a normal distribution with standard deviation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The uncertainty expressed by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arises from uncertainties in 1) parameters in Equation 8, 2) Manning’s equation, and 3) the hydraulically wide channel assumption.</w:t>
      </w:r>
    </w:p>
    <w:p w14:paraId="110B0659" w14:textId="77777777" w:rsidR="00247121" w:rsidRPr="00D227C4" w:rsidRDefault="00D95A7A" w:rsidP="00247121">
      <w:pPr>
        <w:pStyle w:val="FirstParagraph"/>
        <w:rPr>
          <w:rFonts w:eastAsiaTheme="minorEastAsia"/>
        </w:rPr>
      </w:pPr>
      <m:oMathPara>
        <m:oMathParaPr>
          <m:jc m:val="left"/>
        </m:oMathParaPr>
        <m:oMath>
          <m:r>
            <w:rPr>
              <w:rFonts w:ascii="Cambria Math" w:hAnsi="Cambria Math"/>
            </w:rPr>
            <m:t>3.89</m:t>
          </m:r>
          <m:r>
            <m:rPr>
              <m:sty m:val="p"/>
            </m:rPr>
            <w:rPr>
              <w:rFonts w:ascii="Cambria Math" w:hAnsi="Cambria Math"/>
            </w:rPr>
            <m:t>+</m:t>
          </m:r>
          <m:d>
            <m:dPr>
              <m:ctrlPr>
                <w:rPr>
                  <w:rFonts w:ascii="Cambria Math" w:hAnsi="Cambria Math"/>
                </w:rPr>
              </m:ctrlPr>
            </m:dPr>
            <m:e>
              <m:r>
                <w:rPr>
                  <w:rFonts w:ascii="Cambria Math" w:hAnsi="Cambria Math"/>
                </w:rPr>
                <m:t>0.4320</m:t>
              </m:r>
            </m:e>
          </m:d>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0.5862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d>
            <m:dPr>
              <m:ctrlPr>
                <w:rPr>
                  <w:rFonts w:ascii="Cambria Math" w:hAnsi="Cambria Math"/>
                </w:rPr>
              </m:ctrlPr>
            </m:dPr>
            <m:e>
              <m:r>
                <w:rPr>
                  <w:rFonts w:ascii="Cambria Math" w:hAnsi="Cambria Math"/>
                </w:rPr>
                <m:t>0.7282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oMath>
      </m:oMathPara>
    </w:p>
    <w:p w14:paraId="0945BCA8" w14:textId="238536F0" w:rsidR="003677D2" w:rsidRPr="00D227C4" w:rsidRDefault="00D95A7A" w:rsidP="00D227C4">
      <w:pPr>
        <w:pStyle w:val="FirstParagraph"/>
        <w:ind w:firstLine="0"/>
        <w:rPr>
          <w:rFonts w:eastAsiaTheme="minorEastAsia"/>
        </w:rPr>
      </w:pPr>
      <m:oMathPara>
        <m:oMathParaPr>
          <m:jc m:val="left"/>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d>
            <m:dPr>
              <m:ctrlPr>
                <w:rPr>
                  <w:rFonts w:ascii="Cambria Math" w:hAnsi="Cambria Math"/>
                </w:rPr>
              </m:ctrlPr>
            </m:dPr>
            <m:e>
              <m:r>
                <w:rPr>
                  <w:rFonts w:ascii="Cambria Math" w:hAnsi="Cambria Math"/>
                </w:rPr>
                <m:t>0.3084</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0.7282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r>
            <w:rPr>
              <w:rFonts w:ascii="Cambria Math" w:hAnsi="Cambria Math"/>
            </w:rPr>
            <m:t xml:space="preserve">                           </m:t>
          </m:r>
          <m:d>
            <m:dPr>
              <m:ctrlPr>
                <w:rPr>
                  <w:rFonts w:ascii="Cambria Math" w:hAnsi="Cambria Math"/>
                </w:rPr>
              </m:ctrlPr>
            </m:dPr>
            <m:e>
              <m:r>
                <m:rPr>
                  <m:sty m:val="b"/>
                </m:rPr>
                <w:rPr>
                  <w:rFonts w:ascii="Cambria Math" w:hAnsi="Cambria Math"/>
                </w:rPr>
                <m:t>11</m:t>
              </m:r>
            </m:e>
          </m:d>
        </m:oMath>
      </m:oMathPara>
    </w:p>
    <w:p w14:paraId="3CEA4F4B" w14:textId="77777777" w:rsidR="00D227C4" w:rsidRPr="00D227C4" w:rsidRDefault="00D227C4" w:rsidP="00D227C4">
      <w:pPr>
        <w:pStyle w:val="BodyText"/>
      </w:pPr>
    </w:p>
    <w:p w14:paraId="0945BCA9" w14:textId="75D59AB8" w:rsidR="003677D2" w:rsidRPr="00D227C4" w:rsidRDefault="00D95A7A">
      <w:pPr>
        <w:pStyle w:val="FirstParagraph"/>
      </w:pPr>
      <m:oMathPara>
        <m:oMathParaPr>
          <m:jc m:val="left"/>
        </m:oMathParaP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r>
                <w:rPr>
                  <w:rFonts w:ascii="Cambria Math" w:hAnsi="Cambria Math"/>
                </w:rPr>
                <m:t>3.89</m:t>
              </m:r>
              <m:r>
                <m:rPr>
                  <m:sty m:val="p"/>
                </m:rPr>
                <w:rPr>
                  <w:rFonts w:ascii="Cambria Math" w:hAnsi="Cambria Math"/>
                </w:rPr>
                <m:t>+</m:t>
              </m:r>
              <m:d>
                <m:dPr>
                  <m:ctrlPr>
                    <w:rPr>
                      <w:rFonts w:ascii="Cambria Math" w:hAnsi="Cambria Math"/>
                    </w:rPr>
                  </m:ctrlPr>
                </m:dPr>
                <m:e>
                  <m:r>
                    <w:rPr>
                      <w:rFonts w:ascii="Cambria Math" w:hAnsi="Cambria Math"/>
                    </w:rPr>
                    <m:t>0.4320</m:t>
                  </m:r>
                </m:e>
              </m:d>
              <m:r>
                <w:rPr>
                  <w:rFonts w:ascii="Cambria Math" w:hAnsi="Cambria Math"/>
                </w:rPr>
                <m:t>log</m:t>
              </m:r>
              <m:d>
                <m:dPr>
                  <m:ctrlPr>
                    <w:rPr>
                      <w:rFonts w:ascii="Cambria Math" w:hAnsi="Cambria Math"/>
                    </w:rPr>
                  </m:ctrlPr>
                </m:dPr>
                <m:e>
                  <m:r>
                    <w:rPr>
                      <w:rFonts w:ascii="Cambria Math" w:hAnsi="Cambria Math"/>
                    </w:rPr>
                    <m:t>g</m:t>
                  </m:r>
                </m:e>
              </m:d>
              <m:r>
                <m:rPr>
                  <m:sty m:val="p"/>
                </m:rPr>
                <w:rPr>
                  <w:rFonts w:ascii="Cambria Math" w:hAnsi="Cambria Math"/>
                </w:rPr>
                <m:t>+</m:t>
              </m:r>
              <m:d>
                <m:dPr>
                  <m:ctrlPr>
                    <w:rPr>
                      <w:rFonts w:ascii="Cambria Math" w:hAnsi="Cambria Math"/>
                    </w:rPr>
                  </m:ctrlPr>
                </m:dPr>
                <m:e>
                  <m:r>
                    <w:rPr>
                      <w:rFonts w:ascii="Cambria Math" w:hAnsi="Cambria Math"/>
                    </w:rPr>
                    <m:t>0.5862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d>
                <m:dPr>
                  <m:ctrlPr>
                    <w:rPr>
                      <w:rFonts w:ascii="Cambria Math" w:hAnsi="Cambria Math"/>
                    </w:rPr>
                  </m:ctrlPr>
                </m:dPr>
                <m:e>
                  <m:r>
                    <w:rPr>
                      <w:rFonts w:ascii="Cambria Math" w:hAnsi="Cambria Math"/>
                    </w:rPr>
                    <m:t>0.7282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e>
              </m:d>
            </m:e>
          </m:d>
          <m:r>
            <w:rPr>
              <w:rFonts w:ascii="Cambria Math" w:hAnsi="Cambria Math"/>
            </w:rPr>
            <m:t xml:space="preserve">                           </m:t>
          </m:r>
          <m:r>
            <m:rPr>
              <m:sty m:val="b"/>
            </m:rPr>
            <w:rPr>
              <w:rFonts w:ascii="Cambria Math" w:hAnsi="Cambria Math"/>
            </w:rPr>
            <m:t>12a</m:t>
          </m:r>
        </m:oMath>
      </m:oMathPara>
    </w:p>
    <w:p w14:paraId="0945BCAA" w14:textId="1292BD83" w:rsidR="003677D2" w:rsidRPr="00D227C4" w:rsidRDefault="00D95A7A">
      <w:pPr>
        <w:pStyle w:val="FirstParagraph"/>
      </w:pPr>
      <m:oMathPara>
        <m:oMathParaPr>
          <m:jc m:val="left"/>
        </m:oMathParaPr>
        <m:oMath>
          <m:r>
            <w:rPr>
              <w:rFonts w:ascii="Cambria Math" w:hAnsi="Cambria Math"/>
            </w:rPr>
            <m:t>Θ</m:t>
          </m:r>
          <m:r>
            <m:rPr>
              <m:sty m:val="p"/>
            </m:rPr>
            <w:rPr>
              <w:rFonts w:ascii="Cambria Math" w:hAnsi="Cambria Math"/>
            </w:rPr>
            <m:t>=</m:t>
          </m:r>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e>
              </m:d>
              <m:r>
                <m:rPr>
                  <m:sty m:val="p"/>
                </m:rPr>
                <w:rPr>
                  <w:rFonts w:ascii="Cambria Math" w:hAnsi="Cambria Math"/>
                </w:rPr>
                <m:t>+</m:t>
              </m:r>
              <m:d>
                <m:dPr>
                  <m:ctrlPr>
                    <w:rPr>
                      <w:rFonts w:ascii="Cambria Math" w:hAnsi="Cambria Math"/>
                    </w:rPr>
                  </m:ctrlPr>
                </m:dPr>
                <m:e>
                  <m:r>
                    <w:rPr>
                      <w:rFonts w:ascii="Cambria Math" w:hAnsi="Cambria Math"/>
                    </w:rPr>
                    <m:t>0.3084</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0.7282</m:t>
                  </m:r>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t</m:t>
                      </m:r>
                    </m:sub>
                  </m:sSub>
                </m:e>
              </m:d>
            </m:e>
          </m:d>
          <m:r>
            <w:rPr>
              <w:rFonts w:ascii="Cambria Math" w:hAnsi="Cambria Math"/>
            </w:rPr>
            <m:t xml:space="preserve">                           </m:t>
          </m:r>
          <m:d>
            <m:dPr>
              <m:ctrlPr>
                <w:rPr>
                  <w:rFonts w:ascii="Cambria Math" w:hAnsi="Cambria Math"/>
                </w:rPr>
              </m:ctrlPr>
            </m:dPr>
            <m:e>
              <m:r>
                <m:rPr>
                  <m:sty m:val="b"/>
                </m:rPr>
                <w:rPr>
                  <w:rFonts w:ascii="Cambria Math" w:hAnsi="Cambria Math"/>
                </w:rPr>
                <m:t>12b</m:t>
              </m:r>
            </m:e>
          </m:d>
        </m:oMath>
      </m:oMathPara>
    </w:p>
    <w:p w14:paraId="0945BCAB" w14:textId="23A17E02" w:rsidR="003677D2" w:rsidRPr="00D227C4" w:rsidRDefault="00D95A7A">
      <w:pPr>
        <w:pStyle w:val="FirstParagraph"/>
      </w:pPr>
      <m:oMathPara>
        <m:oMathParaPr>
          <m:jc m:val="left"/>
        </m:oMathParaPr>
        <m:oMath>
          <m:r>
            <w:rPr>
              <w:rFonts w:ascii="Cambria Math" w:hAnsi="Cambria Math"/>
            </w:rPr>
            <m:t>x N</m:t>
          </m:r>
          <m:d>
            <m:dPr>
              <m:ctrlPr>
                <w:rPr>
                  <w:rFonts w:ascii="Cambria Math" w:hAnsi="Cambria Math"/>
                </w:rPr>
              </m:ctrlPr>
            </m:dPr>
            <m:e>
              <m:r>
                <w:rPr>
                  <w:rFonts w:ascii="Cambria Math" w:hAnsi="Cambria Math"/>
                </w:rPr>
                <m:t>Θ</m:t>
              </m:r>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e>
          </m:d>
          <m:r>
            <w:rPr>
              <w:rFonts w:ascii="Cambria Math" w:hAnsi="Cambria Math"/>
            </w:rPr>
            <m:t xml:space="preserve">                           </m:t>
          </m:r>
          <m:d>
            <m:dPr>
              <m:ctrlPr>
                <w:rPr>
                  <w:rFonts w:ascii="Cambria Math" w:hAnsi="Cambria Math"/>
                </w:rPr>
              </m:ctrlPr>
            </m:dPr>
            <m:e>
              <m:r>
                <m:rPr>
                  <m:sty m:val="b"/>
                </m:rPr>
                <w:rPr>
                  <w:rFonts w:ascii="Cambria Math" w:hAnsi="Cambria Math"/>
                </w:rPr>
                <m:t>12c</m:t>
              </m:r>
            </m:e>
          </m:d>
        </m:oMath>
      </m:oMathPara>
    </w:p>
    <w:p w14:paraId="0945BCAC" w14:textId="77777777" w:rsidR="003677D2" w:rsidRDefault="00D95A7A">
      <w:pPr>
        <w:pStyle w:val="FirstParagraph"/>
      </w:pPr>
      <w:r>
        <w:lastRenderedPageBreak/>
        <w:t xml:space="preserve">Equations 9 and 12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Prior distributions formalize the a priori estimates and uncertainties for the non-remotely-sensed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method of hyperparameter assignment is analogous to the ‘empirical Bayes approach’ to Bayesian inference (Hoff, 2009).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implementability.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S4).</w:t>
      </w:r>
    </w:p>
    <w:p w14:paraId="0945BCAD" w14:textId="77777777" w:rsidR="003677D2" w:rsidRDefault="00D95A7A">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12a-c) and priors </w:t>
      </w:r>
      <m:oMath>
        <m:r>
          <w:rPr>
            <w:rFonts w:ascii="Cambria Math" w:hAnsi="Cambria Math"/>
          </w:rPr>
          <m:t>p</m:t>
        </m:r>
        <m:d>
          <m:dPr>
            <m:ctrlPr>
              <w:rPr>
                <w:rFonts w:ascii="Cambria Math" w:hAnsi="Cambria Math"/>
              </w:rPr>
            </m:ctrlPr>
          </m:dPr>
          <m:e>
            <m:r>
              <w:rPr>
                <w:rFonts w:ascii="Cambria Math" w:hAnsi="Cambria Math"/>
              </w:rPr>
              <m:t>Θ</m:t>
            </m:r>
          </m:e>
        </m:d>
      </m:oMath>
      <w:r>
        <w:t xml:space="preserve"> specified (Text S4),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oMath>
      <w:r>
        <w:t xml:space="preserve">) is therefore also specified. To approximate this distribution, we use a Markov Chain Monte Carlo (MCMC) algorithm implemented using the Stan probabilistic programming </w:t>
      </w:r>
      <w:r>
        <w:lastRenderedPageBreak/>
        <w:t>language. Specifically, Stan uses a Hamiltonian Monte Carlo sampler which reduces computation time relative to other sampling algorithms (Hagemann et al., 2017).</w:t>
      </w:r>
    </w:p>
    <w:p w14:paraId="0945BCAE" w14:textId="77777777" w:rsidR="003677D2" w:rsidRDefault="00D95A7A">
      <w:pPr>
        <w:pStyle w:val="Heading4"/>
      </w:pPr>
      <w:bookmarkStart w:id="13" w:name="biker-validation"/>
      <w:bookmarkEnd w:id="12"/>
      <w:r>
        <w:t>3.2.2 BIKER validation</w:t>
      </w:r>
    </w:p>
    <w:p w14:paraId="0945BCAF" w14:textId="77777777" w:rsidR="003677D2" w:rsidRDefault="00D95A7A">
      <w:pPr>
        <w:pStyle w:val="FirstParagraph"/>
      </w:pPr>
      <w:r>
        <w:t xml:space="preserve">BIKER provides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8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8.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10), and that all SWOT observations contain errors in both space and time (hence Equation 12). We acknowledge that there is error in Equation 8 as shown in Figure 2, but this error can be explicitly parameterized in our Bayesian system (elaborated on in Text S5).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10 and uncertainty in the data itself. Note also that we have already validated Equation 7 in Figure 2 and Table 1.</w:t>
      </w:r>
    </w:p>
    <w:p w14:paraId="0945BCB0" w14:textId="77777777" w:rsidR="003677D2" w:rsidRDefault="00D95A7A">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S2. They consist of the correlation coefficient </w:t>
      </w:r>
      <w:r>
        <w:rPr>
          <w:i/>
          <w:iCs/>
        </w:rPr>
        <w:t>r</w:t>
      </w:r>
      <w:r>
        <w:t xml:space="preserve"> to quantify accuracy of BIKER’s temporal dynamics, the root mean square error normalized by the observed mean (NRMSE) and normalized mean absolute residual error (NMAE) to assess bias, and the Kling-Gupta Efficiency (KGE). KGE is frequently used to assess streamflow prediction and simultaneously assesses accuracy in both </w:t>
      </w:r>
      <w:r>
        <w:lastRenderedPageBreak/>
        <w:t>bias and dynamics. While a value greater than -0.41 means the model outperforms a uniform prediction of the mean (Knoben et al., 2019), generally KGE scores are interpreted as being meaningful in ungauged settings if &gt; 0.</w:t>
      </w:r>
    </w:p>
    <w:p w14:paraId="0945BCB1" w14:textId="77777777" w:rsidR="003677D2" w:rsidRDefault="00D95A7A">
      <w:pPr>
        <w:pStyle w:val="Heading4"/>
      </w:pPr>
      <w:bookmarkStart w:id="14" w:name="carbon-emissions-validation"/>
      <w:bookmarkEnd w:id="13"/>
      <w:r>
        <w:t>3.2.3 Carbon emissions validation</w:t>
      </w:r>
    </w:p>
    <w:p w14:paraId="0945BCB2" w14:textId="77777777" w:rsidR="003677D2" w:rsidRDefault="00D95A7A">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emissions upscaling 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e>
        </m:d>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 workflow effectively reduces Equation 2 to Equation 13. It is worth stressing that these literature upscaling workflows rely on in situ streamflow records and/or high-quality streamflow models.</w:t>
      </w:r>
    </w:p>
    <w:p w14:paraId="0945BCB3" w14:textId="7D894735" w:rsidR="003677D2" w:rsidRDefault="00000000">
      <w:pPr>
        <w:pStyle w:val="BodyText"/>
      </w:pPr>
      <m:oMathPara>
        <m:oMathParaPr>
          <m:jc m:val="center"/>
        </m:oMathParaP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Δ</m:t>
              </m:r>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rPr>
              <w:rFonts w:ascii="Cambria Math" w:hAnsi="Cambria Math"/>
            </w:rPr>
            <m:t xml:space="preserve">                           </m:t>
          </m:r>
          <m:d>
            <m:dPr>
              <m:ctrlPr>
                <w:rPr>
                  <w:rFonts w:ascii="Cambria Math" w:hAnsi="Cambria Math"/>
                </w:rPr>
              </m:ctrlPr>
            </m:dPr>
            <m:e>
              <m:r>
                <m:rPr>
                  <m:sty m:val="b"/>
                </m:rPr>
                <w:rPr>
                  <w:rFonts w:ascii="Cambria Math" w:hAnsi="Cambria Math"/>
                </w:rPr>
                <m:t>13</m:t>
              </m:r>
            </m:e>
          </m:d>
        </m:oMath>
      </m:oMathPara>
    </w:p>
    <w:p w14:paraId="0945BCB4" w14:textId="77777777" w:rsidR="003677D2" w:rsidRDefault="00D95A7A">
      <w:pPr>
        <w:pStyle w:val="FirstParagraph"/>
      </w:pPr>
      <w:r>
        <w:t xml:space="preserve">Conversely, BIKER represents a new way of approaching Equation 13 compared to existing literature models: BIKER has no reliance on a streamflow model nor hydraulic geometry scaling relationships and only requires that a river is SWOT-observable. We are therefore interested in how the final carbon emissions that result from BIKER compare against literature methods that use Equation 13.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r>
        <w:lastRenderedPageBreak/>
        <w:t xml:space="preserve">with observed hydraulics before using the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data as a realistic timeseries to yield fluxes per Equation 13. In all three approaches, these observed hydraulics are streamflow, while BIKER uses only SWOT observations. Therefore, the advantage of BIKER is in its ease of application, as SWOT will observe all global rivers wider than 50m while streamflow observations are extremely geographically limited. But, BIKER is only attractive if it can produce fluxes with similar errors to published methods. Text S6 and Table S3 fully describe these three literature models.</w:t>
      </w:r>
    </w:p>
    <w:p w14:paraId="0945BCB5" w14:textId="77777777" w:rsidR="003677D2" w:rsidRDefault="00D95A7A">
      <w:pPr>
        <w:pStyle w:val="BodyText"/>
      </w:pPr>
      <w:r>
        <w:t xml:space="preserve">To benchmark BIKER against these literature methods, we pair the 26 biweekly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and water temperature samples from Beaulieu et al. (2012) (Section 3.1, Figure S4) with every 14th set of daily SWOT observations (as the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data is bi-weekly). We then calculate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using Equation 1, an atmospheric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e>
        </m:d>
      </m:oMath>
      <w:r>
        <w:t xml:space="preserve"> of 400 </w:t>
      </w:r>
      <m:oMath>
        <m:r>
          <w:rPr>
            <w:rFonts w:ascii="Cambria Math" w:hAnsi="Cambria Math"/>
          </w:rPr>
          <m:t>μ</m:t>
        </m:r>
      </m:oMath>
      <w:r>
        <w:t xml:space="preserve">atm, and a </w:t>
      </w:r>
      <w:r>
        <w:rPr>
          <w:i/>
          <w:iCs/>
        </w:rPr>
        <w:t>Sc</w:t>
      </w:r>
      <w:r>
        <w:t xml:space="preserve"> estimated following Raymond et al. (2012). The </w:t>
      </w:r>
      <w:r>
        <w:rPr>
          <w:i/>
          <w:iCs/>
        </w:rPr>
        <w:t>k</w:t>
      </w:r>
      <w:r>
        <w:t xml:space="preserve"> in Equation 1 is obtained using BIKER or the three literature models (Table S3 and Text S6). Finally, we estimate a pseudo yearly total carbon emission rate (via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evasion) by applying each river’s mean </w:t>
      </w:r>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over the river’s surface area and summing all rates across rivers, remembering that we are applying ‘unit’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data to all rivers.</w:t>
      </w:r>
    </w:p>
    <w:p w14:paraId="0945BCB6" w14:textId="77777777" w:rsidR="003677D2" w:rsidRDefault="00D95A7A">
      <w:pPr>
        <w:pStyle w:val="Heading3"/>
      </w:pPr>
      <w:bookmarkStart w:id="15" w:name="section-3-results"/>
      <w:bookmarkEnd w:id="11"/>
      <w:bookmarkEnd w:id="14"/>
      <w:r>
        <w:t>3.3 Section 3 results</w:t>
      </w:r>
    </w:p>
    <w:p w14:paraId="0945BCB7" w14:textId="77777777" w:rsidR="003677D2" w:rsidRDefault="00D95A7A">
      <w:pPr>
        <w:pStyle w:val="Heading4"/>
      </w:pPr>
      <w:bookmarkStart w:id="16" w:name="biker-1"/>
      <w:r>
        <w:t>3.3.1 BIKER</w:t>
      </w:r>
    </w:p>
    <w:p w14:paraId="0945BCB8" w14:textId="77777777" w:rsidR="003677D2" w:rsidRDefault="00D95A7A">
      <w:pPr>
        <w:pStyle w:val="FirstParagraph"/>
      </w:pPr>
      <w:r>
        <w:t xml:space="preserve">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 (Figure 3). In the best performing rivers, both bias and temporal dynamics are strongly captured (Figure 3e-f). Notably, there is sometimes positive bias in the estimates (e.g. the Connecticut and Iowa rivers, Figure 3c-d). Some rivers yield the correct temporal dynamics, but the magnitude of these values </w:t>
      </w:r>
      <w:r>
        <w:lastRenderedPageBreak/>
        <w:t xml:space="preserve">is stretched relative to the observed (e.g. Ohio River and Seine River, Figure 3a-b). In these two examples, temporal trends are still reasonably inferred even though the magnitude of the estimates is quite wrong. The size of posterior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does not appear to be associated with overall algorithm performance, with both certain and uncertain results spread across the rivers, regardless of their KGE (Figure 3, Figure S5).</w:t>
      </w:r>
    </w:p>
    <w:p w14:paraId="0945BCB9" w14:textId="77777777" w:rsidR="003677D2" w:rsidRDefault="00D95A7A">
      <w:r>
        <w:rPr>
          <w:noProof/>
        </w:rPr>
        <w:drawing>
          <wp:inline distT="0" distB="0" distL="0" distR="0" wp14:anchorId="0945BDFC" wp14:editId="0945BDFD">
            <wp:extent cx="5943600" cy="4754880"/>
            <wp:effectExtent l="0" t="0" r="0" b="0"/>
            <wp:docPr id="42" name="Picture" descr="Figure 3. Representative (6 out of 47) river timeseries plots of k_{600}. Orange is observed, while green is BIKER posterior means and uses SWOT measurements as its sole input. The green ribbon indicates the 95% credible intervals for the BIKER posteriors. Rivers are sampled from the three tertiles of KGE scores. (a-b) are poorest performing rivers, (c-d) are in the middle, and (e-f) are the best performing rivers. Y axis is normalized by maximum observed values to compare visually. Consult Figure S5 for all 47 timeseries plots (assuming no measurement error) and Figure S6 for the 16 rivers with measurement errors."/>
            <wp:cNvGraphicFramePr/>
            <a:graphic xmlns:a="http://schemas.openxmlformats.org/drawingml/2006/main">
              <a:graphicData uri="http://schemas.openxmlformats.org/drawingml/2006/picture">
                <pic:pic xmlns:pic="http://schemas.openxmlformats.org/drawingml/2006/picture">
                  <pic:nvPicPr>
                    <pic:cNvPr id="43" name="Picture" descr="cache/validation/fig3.jp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0945BCBA" w14:textId="77777777" w:rsidR="003677D2" w:rsidRDefault="00D95A7A">
      <w:pPr>
        <w:pStyle w:val="ImageCaption"/>
      </w:pPr>
      <w:r>
        <w:t xml:space="preserve">Figure 3. Representative (6 out of 47)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posterior means and uses SWOT measurements as its sole input. The green </w:t>
      </w:r>
      <w:r>
        <w:lastRenderedPageBreak/>
        <w:t>ribbon indicates the 95% credible intervals for the BIKER posteriors. Rivers are sampled from the three tertiles of KGE scores. (a-b) are poorest performing rivers, (c-d) are in the middle, and (e-f) are the best performing rivers. Y axis is normalized by maximum observed values to compare visually. Consult Figure S5 for all 47 timeseries plots (assuming no measurement error) and Figure S6 for the 16 rivers with measurement errors.</w:t>
      </w:r>
    </w:p>
    <w:p w14:paraId="0945BCBB" w14:textId="77777777" w:rsidR="003677D2" w:rsidRDefault="00D95A7A">
      <w:pPr>
        <w:pStyle w:val="BodyText"/>
      </w:pPr>
      <w:r>
        <w:t xml:space="preserve">Overall, river performance across error metrics (Table S2) is reasonable given the strict validation setup we have employed (Figure 4). Median river </w:t>
      </w:r>
      <m:oMath>
        <m:r>
          <w:rPr>
            <w:rFonts w:ascii="Cambria Math" w:hAnsi="Cambria Math"/>
          </w:rPr>
          <m:t>KGE</m:t>
        </m:r>
      </m:oMath>
      <w:r>
        <w:t xml:space="preserve"> is 0.21 and median river </w:t>
      </w:r>
      <w:r>
        <w:rPr>
          <w:i/>
          <w:iCs/>
        </w:rPr>
        <w:t>r</w:t>
      </w:r>
      <w:r>
        <w:t xml:space="preserve"> is 0.91 (Figure 4). Further, 31/47 rivers outperform a uniform prediction of the mean (KGE = -0.41). The correlation coefficient </w:t>
      </w:r>
      <w:r>
        <w:rPr>
          <w:i/>
          <w:iCs/>
        </w:rPr>
        <w:t>r</w:t>
      </w:r>
      <w:r>
        <w:t xml:space="preserve"> out-performs the other metrics which assess bias (Figure 4). This result 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absolutely no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NRMSE has a median score of 0.51 (Figure 4), highlighting many rivers which have notable positive biases (Figure 3 also confirms this result visually). Median NMAE is 47% (Figure 4).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there is often positive bias in its estimates.</w:t>
      </w:r>
    </w:p>
    <w:p w14:paraId="0945BCBC" w14:textId="77777777" w:rsidR="003677D2" w:rsidRDefault="00D95A7A">
      <w:r>
        <w:rPr>
          <w:noProof/>
        </w:rPr>
        <w:lastRenderedPageBreak/>
        <w:drawing>
          <wp:inline distT="0" distB="0" distL="0" distR="0" wp14:anchorId="0945BDFE" wp14:editId="0945BDFF">
            <wp:extent cx="5943600" cy="5943600"/>
            <wp:effectExtent l="0" t="0" r="0" b="0"/>
            <wp:docPr id="45" name="Picture" descr="Figure 4. Performance metrics across all 47 rivers, ploted as empirical cumulative density functions (eCDFs). Each subpanel is labelled by its performance metric (defined in Table S2). Dashed lines denote median scores."/>
            <wp:cNvGraphicFramePr/>
            <a:graphic xmlns:a="http://schemas.openxmlformats.org/drawingml/2006/main">
              <a:graphicData uri="http://schemas.openxmlformats.org/drawingml/2006/picture">
                <pic:pic xmlns:pic="http://schemas.openxmlformats.org/drawingml/2006/picture">
                  <pic:nvPicPr>
                    <pic:cNvPr id="46" name="Picture" descr="cache/validation/fig4.jp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0945BCBD" w14:textId="77777777" w:rsidR="003677D2" w:rsidRDefault="00D95A7A">
      <w:pPr>
        <w:pStyle w:val="ImageCaption"/>
      </w:pPr>
      <w:r>
        <w:t>Figure 4. Performance metrics across all 47 rivers, ploted as empirical cumulative density functions (eCDFs). Each subpanel is labelled by its performance metric (defined in Table S2). Dashed lines denote median scores.</w:t>
      </w:r>
    </w:p>
    <w:p w14:paraId="0945BCBE" w14:textId="77777777" w:rsidR="003677D2" w:rsidRDefault="00D95A7A">
      <w:pPr>
        <w:pStyle w:val="BodyText"/>
      </w:pPr>
      <w:r>
        <w:lastRenderedPageBreak/>
        <w:t xml:space="preserve">BIKER is robust to the measurement errors that will be implicit in SWOT’s observations of river width and slope (Figure 5). BIKER performs nearly identically across all four error metrics, particularity with respect to the metrics that singularly assess bias or correlation errors (Figure 5b-d). The three very poor </w:t>
      </w:r>
      <w:r>
        <w:rPr>
          <w:i/>
          <w:iCs/>
        </w:rPr>
        <w:t>KGE</w:t>
      </w:r>
      <w:r>
        <w:t xml:space="preserve"> rivers actually improve under the error scenario (Figure 5a), though this is likely an artifact of BIKER already not working in these rivers. Given these results, we deem that SWOT measurement error does not exert a significant influence on BIKER performance and so the results presented for the rest of the manuscript assume no measurement error in order to use all 47 rivers.</w:t>
      </w:r>
    </w:p>
    <w:p w14:paraId="0945BCBF" w14:textId="77777777" w:rsidR="003677D2" w:rsidRDefault="00D95A7A">
      <w:r>
        <w:rPr>
          <w:noProof/>
        </w:rPr>
        <w:lastRenderedPageBreak/>
        <w:drawing>
          <wp:inline distT="0" distB="0" distL="0" distR="0" wp14:anchorId="0945BE00" wp14:editId="0945BE01">
            <wp:extent cx="5943600" cy="5943600"/>
            <wp:effectExtent l="0" t="0" r="0" b="0"/>
            <wp:docPr id="48" name="Picture" descr="Figure 5: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that some axes are flipped in order to visualize the ‘best performances’ in the upper-right-corner of each sub-plot. Black line denotes linear regression to aid in visualization."/>
            <wp:cNvGraphicFramePr/>
            <a:graphic xmlns:a="http://schemas.openxmlformats.org/drawingml/2006/main">
              <a:graphicData uri="http://schemas.openxmlformats.org/drawingml/2006/picture">
                <pic:pic xmlns:pic="http://schemas.openxmlformats.org/drawingml/2006/picture">
                  <pic:nvPicPr>
                    <pic:cNvPr id="49" name="Picture" descr="cache/validation/fig5.jp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0945BCC0" w14:textId="77777777" w:rsidR="003677D2" w:rsidRDefault="00D95A7A">
      <w:pPr>
        <w:pStyle w:val="ImageCaption"/>
      </w:pPr>
      <w:r>
        <w:t xml:space="preserve">Figure 5: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that some axes are flipped in order to visualize the ‘best </w:t>
      </w:r>
      <w:r>
        <w:lastRenderedPageBreak/>
        <w:t>performances’ in the upper-right-corner of each sub-plot. Black line denotes linear regression to aid in visualization.</w:t>
      </w:r>
    </w:p>
    <w:p w14:paraId="0945BCC1" w14:textId="77777777" w:rsidR="003677D2" w:rsidRDefault="00D95A7A">
      <w:pPr>
        <w:pStyle w:val="BodyText"/>
      </w:pPr>
      <w:r>
        <w:t xml:space="preserve">Finally,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correctly propagated through the posterior in an approximately 1:1 manner (which is expected), except for a subset of rivers in which posterior error actually increases relative to the prior (Figure 6a). We explore why this phenomenon happens below.</w:t>
      </w:r>
    </w:p>
    <w:p w14:paraId="0945BCC2" w14:textId="77777777" w:rsidR="003677D2" w:rsidRDefault="00D95A7A">
      <w:r>
        <w:rPr>
          <w:noProof/>
        </w:rPr>
        <w:lastRenderedPageBreak/>
        <w:drawing>
          <wp:inline distT="0" distB="0" distL="0" distR="0" wp14:anchorId="0945BE02" wp14:editId="0945BE03">
            <wp:extent cx="5943600" cy="5943600"/>
            <wp:effectExtent l="0" t="0" r="0" b="0"/>
            <wp:docPr id="51" name="Picture" descr="Figure 6: Empirical cumulative density functions for prior and posterior k_{600} NMAE. See Table S2 for metric definitions. a) all rivers. b) Only rivers with a coefficient of variation (CV) of observed k_{600} &gt; 0.10. c) Only rivers with CV &gt; 0.20. d) Only rivers with CV &gt; 0.30. Overall we see that rivers with greater temporal variation in k_{600} behave better for BIKER, i.e. Bayesian inference reduces bias from prior to posterior."/>
            <wp:cNvGraphicFramePr/>
            <a:graphic xmlns:a="http://schemas.openxmlformats.org/drawingml/2006/main">
              <a:graphicData uri="http://schemas.openxmlformats.org/drawingml/2006/picture">
                <pic:pic xmlns:pic="http://schemas.openxmlformats.org/drawingml/2006/picture">
                  <pic:nvPicPr>
                    <pic:cNvPr id="52" name="Picture" descr="cache/validation/fig6.jp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0945BCC3" w14:textId="77777777" w:rsidR="003677D2" w:rsidRDefault="00D95A7A">
      <w:pPr>
        <w:pStyle w:val="ImageCaption"/>
      </w:pPr>
      <w:r>
        <w:t xml:space="preserve">Figure 6: Empirical cumulative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S2 for metric definitions. a) all rivers. b) Only rivers with a coefficient of variation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Overall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945BCC4" w14:textId="77777777" w:rsidR="003677D2" w:rsidRDefault="00D95A7A">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actually experienced in the river, therefore potentially biasing both the prior estimation methods (Text S4) and the actual Bayesian inference. Put another way, we suggest that if a SWOT timeseries does not sufficiently capture a river’s temporal dynamics, it will introduce additional error to the inference results. To test this hypothesis, we subset our validation dataset by progressively higher coefficients of variation (</w:t>
      </w:r>
      <w:r>
        <w:rPr>
          <w:i/>
          <w:iCs/>
        </w:rPr>
        <w:t>CV</w:t>
      </w:r>
      <w:r>
        <w:t>) (&gt; 10%, &gt;20%, and &gt;30%). Posterior bias drops once the temporal variability of the SWOT data is sufficiently high (Figure 6b-d), with BIKER posterior error the smallest, and much less than prior error, in Figure 6d. This result is elaborated on in Section 4.2.</w:t>
      </w:r>
    </w:p>
    <w:p w14:paraId="0945BCC5" w14:textId="77777777" w:rsidR="003677D2" w:rsidRDefault="00D95A7A">
      <w:pPr>
        <w:pStyle w:val="Heading4"/>
      </w:pPr>
      <w:bookmarkStart w:id="17" w:name="carbon-emissions"/>
      <w:bookmarkEnd w:id="16"/>
      <w:r>
        <w:t>3.3.2 Carbon Emissions</w:t>
      </w:r>
    </w:p>
    <w:p w14:paraId="0945BCC6" w14:textId="77777777" w:rsidR="003677D2" w:rsidRDefault="00D95A7A">
      <w:pPr>
        <w:pStyle w:val="FirstParagraph"/>
      </w:pPr>
      <w:r>
        <w:t xml:space="preserve">Finally, we carry these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all the way to annual carbon emissions rates and compare BIKER against three established in situ techniques in the literature. It is important to remember that only BIKER is completely globally implementable, while the other three models necessarily rely on having a streamflow record or high-quality routed streamflow readily available. Therefore, the in situ methods reflect their ‘best-case scenarios’ while BIKER reflects its worst case scenario, where priors are set entirely from SWOT observations and are generally the least informative they will ever be. This validation setup means that BIKER’s annual carbon emission estimate can only improve from what is presented here. We also stress again that the raw emissions </w:t>
      </w:r>
      <w:r>
        <w:lastRenderedPageBreak/>
        <w:t xml:space="preserve">rates here are meaningless as they are calculated from an identical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oMath>
      <w:r>
        <w:t xml:space="preserve"> timeseries applied to every river. We are principally interested in relative differences between techniques employed.</w:t>
      </w:r>
    </w:p>
    <w:p w14:paraId="0945BCC7" w14:textId="77777777" w:rsidR="003677D2" w:rsidRDefault="00D95A7A">
      <w:pPr>
        <w:pStyle w:val="BodyText"/>
      </w:pPr>
      <w:r>
        <w:t xml:space="preserve">Figure 7 compares the annual carbon emissions rate (via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e>
        </m:d>
      </m:oMath>
      <w:r>
        <w:t>) from the rivers using BIKER posterior means and the three stream gauge-based HG models. BIKER outperforms the gauge-based approaches, nearly correctly inferring the annual carbon emissions rate (7.87 Tg-C/yr for BIKER versus 6.9 Tg-C/yr observed). The three HG models overestimate this emissions rate: 11.11 Tg-C/yr, 9.32 Tg-C/yr, and 12.22 Tg-C/yr for ‘Raymond 2013’, ‘Raymond 2012’, and ‘Brinkerhoff 2019’ respectively. ‘Raymond 2012’ falls within the BIKER credible intervals and is reasonably close to the observed value, while ‘Raymond 2013’ overestimates the emission rate. ‘Brinkerhoff 2019’‘s lower confidence interval is comparable to BIKER’s higher credible interval. BIKER’s relatively stronger performance than the in situ models is elaborated on in Section 4.3. Finally, BIKER’s uncertainty is on par with the in situ technique (‘Brinkerhoff 2019’), despite being obtained solely from SWOT data. Taken in aggregate, BIKER provides a strong upscaling estimate of the annual carbon emission rate for the rivers and is either similar or better than established in situ techniques (Figure 7).</w:t>
      </w:r>
    </w:p>
    <w:p w14:paraId="0945BCC8" w14:textId="77777777" w:rsidR="003677D2" w:rsidRDefault="00D95A7A">
      <w:r>
        <w:rPr>
          <w:noProof/>
        </w:rPr>
        <w:lastRenderedPageBreak/>
        <w:drawing>
          <wp:inline distT="0" distB="0" distL="0" distR="0" wp14:anchorId="0945BE04" wp14:editId="0945BE05">
            <wp:extent cx="5943600" cy="5943600"/>
            <wp:effectExtent l="0" t="0" r="0" b="0"/>
            <wp:docPr id="55" name="Picture" descr="Figure 7: Yearly carbon emissions rate via [CO_2] evasion across all rivers. Completely remotely-sensed methods are colored in red (with 95% credible intervals), in situ methods in purple (with 95% confidence intervals when available), and the observed in orange. Consult section 3.2.3 for details on the ‘observed’ flux."/>
            <wp:cNvGraphicFramePr/>
            <a:graphic xmlns:a="http://schemas.openxmlformats.org/drawingml/2006/main">
              <a:graphicData uri="http://schemas.openxmlformats.org/drawingml/2006/picture">
                <pic:pic xmlns:pic="http://schemas.openxmlformats.org/drawingml/2006/picture">
                  <pic:nvPicPr>
                    <pic:cNvPr id="56" name="Picture" descr="cache/FCO2/fig7.jp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0945BCC9" w14:textId="77777777" w:rsidR="003677D2" w:rsidRDefault="00D95A7A">
      <w:pPr>
        <w:pStyle w:val="ImageCaption"/>
      </w:pPr>
      <w:r>
        <w:t xml:space="preserve">Figure 7: Yearly carbon emissions rate via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evasion across all rivers. Completely remotely-sensed methods are colored in red (with 95% credible intervals), in situ methods in purple (with 95% confidence intervals when available), and the observed in orange. Consult section 3.2.3 for details on the ‘observed’ flux.</w:t>
      </w:r>
    </w:p>
    <w:p w14:paraId="0945BCCA" w14:textId="77777777" w:rsidR="003677D2" w:rsidRDefault="00D95A7A">
      <w:pPr>
        <w:pStyle w:val="Heading2"/>
      </w:pPr>
      <w:bookmarkStart w:id="18" w:name="discussion"/>
      <w:bookmarkEnd w:id="9"/>
      <w:bookmarkEnd w:id="15"/>
      <w:bookmarkEnd w:id="17"/>
      <w:r>
        <w:lastRenderedPageBreak/>
        <w:t>4 Discussion</w:t>
      </w:r>
    </w:p>
    <w:p w14:paraId="0945BCCB" w14:textId="77777777" w:rsidR="003677D2" w:rsidRDefault="00D95A7A">
      <w:pPr>
        <w:pStyle w:val="FirstParagraph"/>
      </w:pPr>
      <w:r>
        <w:t xml:space="preserve">In this paper, we propose that the soon-to-launch SWOT satellite will provide enough hydraulic measurements to analyze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therefore allow for a global-scale analysis of spatiotemporal trends in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once SWOT launches. In preparation for SWOT’s launch, we developed 1) a wide-river-specific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that explains 50% of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2) the BIKER algorithm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no on-the-ground information. Validating on 47 SWOT-simulated rivers, we show strong recovery of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and a hypothetical total annual carbon emission rate across all 47 rivers (section 3.3).</w:t>
      </w:r>
    </w:p>
    <w:p w14:paraId="0945BCCC" w14:textId="77777777" w:rsidR="003677D2" w:rsidRDefault="00D95A7A">
      <w:pPr>
        <w:pStyle w:val="Heading3"/>
      </w:pPr>
      <w:bookmarkStart w:id="19" w:name="Xb20fe830aada82955e8c37d7a5b4e015ca2ffe3"/>
      <w:r>
        <w:t>4.1 Gas exchange in hydraulically-wide rivers</w:t>
      </w:r>
    </w:p>
    <w:p w14:paraId="0945BCCD" w14:textId="77777777" w:rsidR="003677D2" w:rsidRDefault="00D95A7A">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rivers.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open ocean (Brumer et al., 2017; Zhao et al., 2003; Zhao &amp; Toba, 2001), though these models are specific to high wind speeds in open ocean. To our knowledge, Moog &amp; Jirka (1999a)’s specific setup, which imposes a space-and-time varying, fractional area surface turbulence theory on the small-eddy model, has not been empirically validated in rivers until now (Figure 2 for </w:t>
      </w:r>
      <w:r>
        <w:lastRenderedPageBreak/>
        <w:t xml:space="preserve">hydraulically wide channels). 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 that this model breaks down when including non-hydraulically-wide rivers (as the theory would suggest). Future tests should also explore other shear Reynold’s scaling relations for gas exchange in rivers.</w:t>
      </w:r>
    </w:p>
    <w:p w14:paraId="0945BCCE" w14:textId="77777777" w:rsidR="003677D2" w:rsidRDefault="00D95A7A">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regime will switch from hydraulically-driven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conditions’ when surface turbulence is dominated by hydraulics rather than wind. That said, BIKER’s flexible implementation is a good start towards eventually coupling hydraulics-driven gas exchange with wind-driven gas exchange under moderate-to-high wind scenarios.</w:t>
      </w:r>
    </w:p>
    <w:p w14:paraId="0945BCCF" w14:textId="77777777" w:rsidR="003677D2" w:rsidRDefault="00D95A7A">
      <w:pPr>
        <w:pStyle w:val="Heading3"/>
      </w:pPr>
      <w:bookmarkStart w:id="20" w:name="Xc817feb09f5c70561d198b40aec0187018a9b76"/>
      <w:bookmarkEnd w:id="19"/>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945BCD0" w14:textId="77777777" w:rsidR="003677D2" w:rsidRDefault="00D95A7A">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t>
      </w:r>
      <w:r>
        <w:lastRenderedPageBreak/>
        <w:t>While these studies are a good start, they are insufficient for further developing process-level understandings of gas exchange at the global-scale.</w:t>
      </w:r>
    </w:p>
    <w:p w14:paraId="0945BCD1" w14:textId="77777777" w:rsidR="003677D2" w:rsidRDefault="00D95A7A">
      <w:pPr>
        <w:pStyle w:val="BodyText"/>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many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0945BCD2" w14:textId="77777777" w:rsidR="003677D2" w:rsidRDefault="00D95A7A">
      <w:pPr>
        <w:pStyle w:val="BodyText"/>
      </w:pPr>
      <w:r>
        <w:t>However, SWOT’s relatively coarse spatial resolution limits BIKER’s use to large rivers. This limitation means SWOT cannot see the vast majority of the global river network (which are too narrow for SWOT), though it is likely to observe much of its air/water interface at which gas exchange occurs (rivers wide enough for SWOT to observe). To confirm this hypothesis, we obtained the global estimates for SWOT-observable surface area and length (at mean annual streamflow- Altenau et al., 2021) and compared them to the most recent estimates of global river surface area and length (Liu et al., 2022- Table S4). We found that 42% of the global riverine surface area is SWOT-observable, while only 0.32% of the network length is SWOT-observable. While small streams in aggregate exert a significant influence on GHG emissions from river networks (Liu et al., 2022); Raymond et al. (2013)], BIKER will still be capable of inferring k600 for much of the global freshwater air/water interface.</w:t>
      </w:r>
    </w:p>
    <w:p w14:paraId="0945BCD3" w14:textId="77777777" w:rsidR="003677D2" w:rsidRDefault="00D95A7A">
      <w:pPr>
        <w:pStyle w:val="BodyText"/>
      </w:pPr>
      <w:r>
        <w:lastRenderedPageBreak/>
        <w:t xml:space="preserve">With that said, there is a substantial range of BIKER performance across rivers (Figures 3, 4, S4, S5). These differences in performance are likely due to the representativeness of the priors, which makes sense as Section 2.3 and section 3.2.1 have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 12b)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8, including the aforementioned wind errors). For SWOT discharge algorithms, authors have repeatedly shown that the ‘quality’ of prior river knowledge plays a large role in the success of discharge inversions (Andreadis et al., 2020; Brinkerhoff et al., 2020; Frasson et al., 2021; Tuozzolo et al., 2019) and our results here further corroborate this finding.</w:t>
      </w:r>
    </w:p>
    <w:p w14:paraId="0945BCD4" w14:textId="77777777" w:rsidR="003677D2" w:rsidRDefault="00D95A7A">
      <w:pPr>
        <w:pStyle w:val="BodyText"/>
      </w:pPr>
      <w:r>
        <w:t xml:space="preserve">Furthermore, there is likely a minimum sufficient variability in SWOT observations that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 (Figure 6). ‘Hydraulic visibility’, i.e. the ability of a remote sensor to identify a hydrological response in the river (Garambois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our results suggest a ‘minimally sufficient’ hydraulic variability in SWOT measurements is needed to improve upon the prior (in Figure 6b, suggested to be approximately &gt;20% </w:t>
      </w:r>
      <w:r>
        <w:rPr>
          <w:i/>
          <w:iCs/>
        </w:rPr>
        <w:t>CV</w:t>
      </w:r>
      <w:r>
        <w:t xml:space="preserve"> for this sample of rivers). This finding will be important once SWOT launches and BIKER is implemented at the global-scale. Although it is presently impossible to know whether SWOT will achieve ‘sufficient hydraulic visibility’ over its lifetime, recent similar work using the Landsat archive suggests that most rivers’ full flow regime will be observed by the SWOT satellite: Allen et al. (2020) found that the Landsat record observed 97% of streamflow percentiles in 90% of United States </w:t>
      </w:r>
      <w:r>
        <w:lastRenderedPageBreak/>
        <w:t>streamgauges. Landsat has an average temporal resolution of 16 days, which is approximately similar to the repeat cycle for SWOT. Further, SWOT will penetrate clouds and provide even more data on cloudy days (unlike Landsat’s optical sensor). With that said, the nominal lifespan of SWOT is only three years, within which certain streamflow magnitudes may not be experienced and reduce the chance that ‘sufficient hydraulic visibility’ is achieved.</w:t>
      </w:r>
    </w:p>
    <w:p w14:paraId="0945BCD5" w14:textId="77777777" w:rsidR="003677D2" w:rsidRDefault="00D95A7A">
      <w:pPr>
        <w:pStyle w:val="BodyText"/>
      </w:pPr>
      <w:r>
        <w:t>Finally, because of its reliance on Manning’s equation and hydraulic geometry (section 3.2.1.), BIKER cannot invert overbank flow events, similar to many SWOT discharge algorithms. This concept is an important distinction that must be accounted for when BIKER is run on actual SWOT data, though future work should also look to couple floodplain flow laws with BIKER to capture gas exchange in seasonally-inundated floodplains.</w:t>
      </w:r>
    </w:p>
    <w:p w14:paraId="0945BCD6" w14:textId="77777777" w:rsidR="003677D2" w:rsidRDefault="00D95A7A">
      <w:pPr>
        <w:pStyle w:val="Heading3"/>
      </w:pPr>
      <w:bookmarkStart w:id="21" w:name="coupling-biker-with-upscaling-workflows"/>
      <w:bookmarkEnd w:id="20"/>
      <w:r>
        <w:t>4.3 Coupling BIKER with upscaling workflows</w:t>
      </w:r>
    </w:p>
    <w:p w14:paraId="0945BCD7" w14:textId="77777777" w:rsidR="003677D2" w:rsidRDefault="00D95A7A">
      <w:pPr>
        <w:pStyle w:val="FirstParagraph"/>
      </w:pPr>
      <w:r>
        <w:t xml:space="preserve">BIKER will likely be useful for informing annual upscaled carbon emissions estimates from river networks when coupled with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data (Figure 7). This encouraging result has two main implications for future work.</w:t>
      </w:r>
    </w:p>
    <w:p w14:paraId="0945BCD8" w14:textId="77777777" w:rsidR="003677D2" w:rsidRDefault="00D95A7A">
      <w:pPr>
        <w:pStyle w:val="BodyText"/>
      </w:pPr>
      <w:r>
        <w:t xml:space="preserve">First, it implies that BIKER will be useful when coupled with large-scale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oMath>
      <w:r>
        <w:t xml:space="preserve"> models, provided these models are accurate. The models would give time and space varying gas exchange. Liu et al. (2022) and Saccardi &amp; Winnick (2021) each propose models that robustly predict reach-scale dissolved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concentrations using two different approaches- machine learning for Liu et al. (2022) and process-based reactive transport modeling for Saccardi &amp; Winnick (2021)- but both models yield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estimates that would be spatially and temporally </w:t>
      </w:r>
      <w:r>
        <w:lastRenderedPageBreak/>
        <w:t xml:space="preserve">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 modeling would likely be accomplished via data assimilation which has proven useful in using remotely-sensed discharge to improve streamflow routing models (Feng et al., 2021; Ishitsuka et al., 2020), and of which the Saccardi &amp; Winnick (2021)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model takes a similar form.</w:t>
      </w:r>
    </w:p>
    <w:p w14:paraId="0945BCD9" w14:textId="77777777" w:rsidR="003677D2" w:rsidRDefault="00D95A7A">
      <w:pPr>
        <w:pStyle w:val="BodyText"/>
      </w:pPr>
      <w:r>
        <w:t xml:space="preserve">Second, our experiments allow us to directly compare the influence of geomorphic assumptions on total carbon emission rates from river networks (Figure 7), as all other calculations and parameters were held constant across our four tested models (Text S6). Therefore, we highlight a potentially large source of uncertainty in current river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upscaling estimates: the geomorphic models employed to scale river channel hydraulics with streamflow (Figure 7). In this case, the only difference between the three literature models and the observed estimate is the specific HG model employed to predict river depth and velocity (Text S6, Table S3), and yet the eventual carbon emissions estimates are quite different (Figure 7).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0945BCDA" w14:textId="77777777" w:rsidR="003677D2" w:rsidRDefault="00D95A7A">
      <w:pPr>
        <w:pStyle w:val="Heading2"/>
      </w:pPr>
      <w:bookmarkStart w:id="22" w:name="conclusions"/>
      <w:bookmarkEnd w:id="18"/>
      <w:bookmarkEnd w:id="21"/>
      <w:r>
        <w:t>5 Conclusions</w:t>
      </w:r>
    </w:p>
    <w:p w14:paraId="0945BCDB" w14:textId="77777777" w:rsidR="003677D2" w:rsidRDefault="00D95A7A">
      <w:pPr>
        <w:pStyle w:val="FirstParagraph"/>
      </w:pPr>
      <w:r>
        <w:t xml:space="preserve">This proof-of-concept study verifies that BIKER can provide meaningful information on the spatiotemporal dynamics of gas exchange solely from SWOT data and functionally opens the door for a global-scale analysis of riverine gas exchange upon SWOT’s launch (and data </w:t>
      </w:r>
      <w:r>
        <w:lastRenderedPageBreak/>
        <w:t xml:space="preserve">collection). Although BIKER results are often biased in magnitude, they strongly capture the temporal dynamics of gas exchange velocity and will provide an unprecedented amount of new information on global riverine gas exchange that should be essential for better constraining existing river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models.</w:t>
      </w:r>
    </w:p>
    <w:p w14:paraId="0945BCDC" w14:textId="77777777" w:rsidR="003677D2" w:rsidRDefault="00D95A7A">
      <w:pPr>
        <w:pStyle w:val="Heading2"/>
      </w:pPr>
      <w:bookmarkStart w:id="23" w:name="acknowledgements"/>
      <w:bookmarkEnd w:id="22"/>
      <w:r>
        <w:t>6 Acknowledgements</w:t>
      </w:r>
    </w:p>
    <w:p w14:paraId="0945BCDD" w14:textId="77777777" w:rsidR="003677D2" w:rsidRDefault="00D95A7A">
      <w:pPr>
        <w:pStyle w:val="FirstParagraph"/>
      </w:pPr>
      <w:r>
        <w:t>C.B. Brinkerhoff was funded by a NASA Future Investigators in Earth and Space Science Fellowship (80NSSC21K1591). C.J. Gleason was supported by a NASA SWOT Science Team grant (80NSSC20K1141). We thank Renato Frasson, Michael Durand, Amber Ulseth, and Jake Beaulieu for generously making their data available for this study. We also thank the entire SWOT discharge algorithm working group for their decade-plus body of work which inspired this study.</w:t>
      </w:r>
    </w:p>
    <w:p w14:paraId="0945BCDE" w14:textId="77777777" w:rsidR="003677D2" w:rsidRDefault="00D95A7A">
      <w:pPr>
        <w:pStyle w:val="Heading2"/>
      </w:pPr>
      <w:bookmarkStart w:id="24" w:name="data-availability-statement"/>
      <w:bookmarkEnd w:id="23"/>
      <w:r>
        <w:t>7 Data availability statement</w:t>
      </w:r>
    </w:p>
    <w:p w14:paraId="0945BCDF" w14:textId="77777777" w:rsidR="003677D2" w:rsidRDefault="00D95A7A">
      <w:pPr>
        <w:pStyle w:val="FirstParagraph"/>
      </w:pPr>
      <w:r>
        <w:t>Datasets required for this research are available from Ulseth et al. (2019) (</w:t>
      </w:r>
      <w:hyperlink r:id="rId16">
        <w:r>
          <w:rPr>
            <w:rStyle w:val="Hyperlink"/>
          </w:rPr>
          <w:t>https://doi.org/10.1038/s41561-019-0324-8</w:t>
        </w:r>
      </w:hyperlink>
      <w:r>
        <w:t>), Brinkerhoff et al. (2019) (</w:t>
      </w:r>
      <w:hyperlink r:id="rId17">
        <w:r>
          <w:rPr>
            <w:rStyle w:val="Hyperlink"/>
          </w:rPr>
          <w:t>https://doi.org/10.1029/2019GL084529</w:t>
        </w:r>
      </w:hyperlink>
      <w:r>
        <w:t>), Frasson et al. (2021) (</w:t>
      </w:r>
      <w:hyperlink r:id="rId18">
        <w:r>
          <w:rPr>
            <w:rStyle w:val="Hyperlink"/>
          </w:rPr>
          <w:t>https://zenodo.org/record/3817817</w:t>
        </w:r>
      </w:hyperlink>
      <w:r>
        <w:t>), Churchill et al. (1964) (</w:t>
      </w:r>
      <w:hyperlink r:id="rId19">
        <w:r>
          <w:rPr>
            <w:rStyle w:val="Hyperlink"/>
          </w:rPr>
          <w:t>https://pubs.usgs.gov/pp/0737/report.pdf</w:t>
        </w:r>
      </w:hyperlink>
      <w:r>
        <w:t>), Owens et al. (1964) (</w:t>
      </w:r>
      <w:hyperlink r:id="rId20">
        <w:r>
          <w:rPr>
            <w:rStyle w:val="Hyperlink"/>
          </w:rPr>
          <w:t>https://pubs.usgs.gov/pp/0737/report.pdf</w:t>
        </w:r>
      </w:hyperlink>
      <w:r>
        <w:t>), Beaulieu et al. (2012) (</w:t>
      </w:r>
      <w:hyperlink r:id="rId21">
        <w:r>
          <w:rPr>
            <w:rStyle w:val="Hyperlink"/>
          </w:rPr>
          <w:t>https://doi.org/10.1029/2011JG001794</w:t>
        </w:r>
      </w:hyperlink>
      <w:r>
        <w:t>), and Durand et al. (2016) (</w:t>
      </w:r>
      <w:hyperlink r:id="rId22">
        <w:r>
          <w:rPr>
            <w:rStyle w:val="Hyperlink"/>
          </w:rPr>
          <w:t>https://doi.org/10.1002/2015WR018434</w:t>
        </w:r>
      </w:hyperlink>
      <w:r>
        <w:t xml:space="preserve">). All code to generate results and figures is archived at </w:t>
      </w:r>
      <w:hyperlink r:id="rId23">
        <w:r>
          <w:rPr>
            <w:rStyle w:val="Hyperlink"/>
          </w:rPr>
          <w:t>https://zenodo.org/record/6914119</w:t>
        </w:r>
      </w:hyperlink>
      <w:r>
        <w:t>.</w:t>
      </w:r>
    </w:p>
    <w:p w14:paraId="0945BCE0" w14:textId="77777777" w:rsidR="003677D2" w:rsidRDefault="00D95A7A">
      <w:pPr>
        <w:pStyle w:val="Heading2"/>
      </w:pPr>
      <w:bookmarkStart w:id="25" w:name="software-availability-statement"/>
      <w:bookmarkEnd w:id="24"/>
      <w:r>
        <w:lastRenderedPageBreak/>
        <w:t>8 Software availability statement</w:t>
      </w:r>
    </w:p>
    <w:p w14:paraId="0945BCE1" w14:textId="77777777" w:rsidR="003677D2" w:rsidRDefault="00D95A7A">
      <w:pPr>
        <w:pStyle w:val="FirstParagraph"/>
      </w:pPr>
      <w:r>
        <w:t xml:space="preserve">The BIKER algorithm remains in active development and is available at </w:t>
      </w:r>
      <w:hyperlink r:id="rId24">
        <w:r>
          <w:rPr>
            <w:rStyle w:val="Hyperlink"/>
          </w:rPr>
          <w:t>https://github.com/craigbrinkerhoff/BIKER</w:t>
        </w:r>
      </w:hyperlink>
      <w:r>
        <w:t xml:space="preserve">. The specific version of BIKER used in this study is archived at </w:t>
      </w:r>
      <w:hyperlink r:id="rId25">
        <w:r>
          <w:rPr>
            <w:rStyle w:val="Hyperlink"/>
          </w:rPr>
          <w:t>https://zenodo.org/record/6914064</w:t>
        </w:r>
      </w:hyperlink>
      <w:r>
        <w:t>.</w:t>
      </w:r>
    </w:p>
    <w:p w14:paraId="0945BCE2" w14:textId="77777777" w:rsidR="003677D2" w:rsidRDefault="00D95A7A">
      <w:pPr>
        <w:pStyle w:val="Heading2"/>
      </w:pPr>
      <w:bookmarkStart w:id="26" w:name="appendix-a"/>
      <w:bookmarkEnd w:id="25"/>
      <w:r>
        <w:t>9 Appendix A</w:t>
      </w:r>
    </w:p>
    <w:p w14:paraId="0945BCE3" w14:textId="77777777" w:rsidR="003677D2" w:rsidRDefault="00D95A7A">
      <w:pPr>
        <w:pStyle w:val="FirstParagraph"/>
      </w:pPr>
      <w:r>
        <w:rPr>
          <w:i/>
          <w:iCs/>
        </w:rPr>
        <w:t>Table A1: Variable description and notation for this study. Unit quantities are as follows: M for mass, L for length, T for time, P for pressure, and E for energy.</w:t>
      </w:r>
    </w:p>
    <w:tbl>
      <w:tblPr>
        <w:tblW w:w="5000" w:type="pct"/>
        <w:tblLook w:val="0020" w:firstRow="1" w:lastRow="0" w:firstColumn="0" w:lastColumn="0" w:noHBand="0" w:noVBand="0"/>
      </w:tblPr>
      <w:tblGrid>
        <w:gridCol w:w="1622"/>
        <w:gridCol w:w="3568"/>
        <w:gridCol w:w="2406"/>
        <w:gridCol w:w="1764"/>
      </w:tblGrid>
      <w:tr w:rsidR="003677D2" w14:paraId="0945BCE8" w14:textId="77777777">
        <w:trPr>
          <w:tblHeader/>
        </w:trPr>
        <w:tc>
          <w:tcPr>
            <w:tcW w:w="0" w:type="auto"/>
          </w:tcPr>
          <w:p w14:paraId="0945BCE4" w14:textId="77777777" w:rsidR="003677D2" w:rsidRDefault="00D95A7A">
            <w:pPr>
              <w:pStyle w:val="Compact"/>
              <w:jc w:val="left"/>
            </w:pPr>
            <w:r>
              <w:rPr>
                <w:b/>
                <w:bCs/>
              </w:rPr>
              <w:t>Notation</w:t>
            </w:r>
          </w:p>
        </w:tc>
        <w:tc>
          <w:tcPr>
            <w:tcW w:w="0" w:type="auto"/>
          </w:tcPr>
          <w:p w14:paraId="0945BCE5" w14:textId="77777777" w:rsidR="003677D2" w:rsidRDefault="00D95A7A">
            <w:pPr>
              <w:pStyle w:val="Compact"/>
              <w:jc w:val="left"/>
            </w:pPr>
            <w:r>
              <w:rPr>
                <w:b/>
                <w:bCs/>
              </w:rPr>
              <w:t>Description</w:t>
            </w:r>
          </w:p>
        </w:tc>
        <w:tc>
          <w:tcPr>
            <w:tcW w:w="0" w:type="auto"/>
          </w:tcPr>
          <w:p w14:paraId="0945BCE6" w14:textId="77777777" w:rsidR="003677D2" w:rsidRDefault="00D95A7A">
            <w:pPr>
              <w:pStyle w:val="Compact"/>
              <w:jc w:val="left"/>
            </w:pPr>
            <w:r>
              <w:rPr>
                <w:b/>
                <w:bCs/>
              </w:rPr>
              <w:t>Calculation (if necessary)</w:t>
            </w:r>
          </w:p>
        </w:tc>
        <w:tc>
          <w:tcPr>
            <w:tcW w:w="0" w:type="auto"/>
          </w:tcPr>
          <w:p w14:paraId="0945BCE7" w14:textId="77777777" w:rsidR="003677D2" w:rsidRDefault="00D95A7A">
            <w:pPr>
              <w:pStyle w:val="Compact"/>
              <w:jc w:val="left"/>
            </w:pPr>
            <w:r>
              <w:rPr>
                <w:b/>
                <w:bCs/>
              </w:rPr>
              <w:t>Units</w:t>
            </w:r>
          </w:p>
        </w:tc>
      </w:tr>
      <w:tr w:rsidR="003677D2" w14:paraId="0945BCED" w14:textId="77777777">
        <w:tc>
          <w:tcPr>
            <w:tcW w:w="0" w:type="auto"/>
          </w:tcPr>
          <w:p w14:paraId="0945BCE9" w14:textId="77777777" w:rsidR="003677D2" w:rsidRDefault="00D95A7A">
            <w:pPr>
              <w:pStyle w:val="Compact"/>
              <w:jc w:val="left"/>
            </w:pPr>
            <m:oMathPara>
              <m:oMath>
                <m:r>
                  <w:rPr>
                    <w:rFonts w:ascii="Cambria Math" w:hAnsi="Cambria Math"/>
                  </w:rPr>
                  <m:t>A</m:t>
                </m:r>
              </m:oMath>
            </m:oMathPara>
          </w:p>
        </w:tc>
        <w:tc>
          <w:tcPr>
            <w:tcW w:w="0" w:type="auto"/>
          </w:tcPr>
          <w:p w14:paraId="0945BCEA" w14:textId="77777777" w:rsidR="003677D2" w:rsidRDefault="00D95A7A">
            <w:pPr>
              <w:pStyle w:val="Compact"/>
              <w:jc w:val="left"/>
            </w:pPr>
            <w:r>
              <w:t>Channel cross-sectional area</w:t>
            </w:r>
          </w:p>
        </w:tc>
        <w:tc>
          <w:tcPr>
            <w:tcW w:w="0" w:type="auto"/>
          </w:tcPr>
          <w:p w14:paraId="0945BCEB" w14:textId="77777777" w:rsidR="003677D2" w:rsidRDefault="003677D2">
            <w:pPr>
              <w:pStyle w:val="Compact"/>
            </w:pPr>
          </w:p>
        </w:tc>
        <w:tc>
          <w:tcPr>
            <w:tcW w:w="0" w:type="auto"/>
          </w:tcPr>
          <w:p w14:paraId="0945BCEC" w14:textId="77777777" w:rsidR="003677D2"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3677D2" w14:paraId="0945BCF2" w14:textId="77777777">
        <w:tc>
          <w:tcPr>
            <w:tcW w:w="0" w:type="auto"/>
          </w:tcPr>
          <w:p w14:paraId="0945BCEE" w14:textId="77777777" w:rsidR="003677D2"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945BCEF" w14:textId="77777777" w:rsidR="003677D2" w:rsidRDefault="00D95A7A">
            <w:pPr>
              <w:pStyle w:val="Compact"/>
              <w:jc w:val="left"/>
            </w:pPr>
            <w:r>
              <w:t>Non-SWOT-observable cross-sectional area</w:t>
            </w:r>
          </w:p>
        </w:tc>
        <w:tc>
          <w:tcPr>
            <w:tcW w:w="0" w:type="auto"/>
          </w:tcPr>
          <w:p w14:paraId="0945BCF0" w14:textId="77777777" w:rsidR="003677D2" w:rsidRDefault="003677D2">
            <w:pPr>
              <w:pStyle w:val="Compact"/>
            </w:pPr>
          </w:p>
        </w:tc>
        <w:tc>
          <w:tcPr>
            <w:tcW w:w="0" w:type="auto"/>
          </w:tcPr>
          <w:p w14:paraId="0945BCF1" w14:textId="77777777" w:rsidR="003677D2"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3677D2" w14:paraId="0945BCF7" w14:textId="77777777">
        <w:tc>
          <w:tcPr>
            <w:tcW w:w="0" w:type="auto"/>
          </w:tcPr>
          <w:p w14:paraId="0945BCF3" w14:textId="77777777" w:rsidR="003677D2"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945BCF4" w14:textId="77777777" w:rsidR="003677D2" w:rsidRDefault="00D95A7A">
            <w:pPr>
              <w:pStyle w:val="Compact"/>
              <w:jc w:val="left"/>
            </w:pPr>
            <w:r>
              <w:t>Active zone fraction (Moog &amp; Jirka 1999)</w:t>
            </w:r>
          </w:p>
        </w:tc>
        <w:tc>
          <w:tcPr>
            <w:tcW w:w="0" w:type="auto"/>
          </w:tcPr>
          <w:p w14:paraId="0945BCF5" w14:textId="77777777" w:rsidR="003677D2" w:rsidRDefault="00000000">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D95A7A">
              <w:t>(Moog &amp; Jirka 1999)</w:t>
            </w:r>
          </w:p>
        </w:tc>
        <w:tc>
          <w:tcPr>
            <w:tcW w:w="0" w:type="auto"/>
          </w:tcPr>
          <w:p w14:paraId="0945BCF6" w14:textId="77777777" w:rsidR="003677D2" w:rsidRDefault="00D95A7A">
            <w:pPr>
              <w:pStyle w:val="Compact"/>
              <w:jc w:val="left"/>
            </w:pPr>
            <m:oMathPara>
              <m:oMath>
                <m:r>
                  <w:rPr>
                    <w:rFonts w:ascii="Cambria Math" w:hAnsi="Cambria Math"/>
                  </w:rPr>
                  <m:t>dimensionless</m:t>
                </m:r>
              </m:oMath>
            </m:oMathPara>
          </w:p>
        </w:tc>
      </w:tr>
      <w:tr w:rsidR="003677D2" w14:paraId="0945BCFC" w14:textId="77777777">
        <w:tc>
          <w:tcPr>
            <w:tcW w:w="0" w:type="auto"/>
          </w:tcPr>
          <w:p w14:paraId="0945BCF8"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m:oMathPara>
          </w:p>
        </w:tc>
        <w:tc>
          <w:tcPr>
            <w:tcW w:w="0" w:type="auto"/>
          </w:tcPr>
          <w:p w14:paraId="0945BCF9" w14:textId="77777777" w:rsidR="003677D2" w:rsidRDefault="00D95A7A">
            <w:pPr>
              <w:pStyle w:val="Compact"/>
              <w:jc w:val="left"/>
            </w:pPr>
            <w:r>
              <w:t>Carbon dioxide concentration</w:t>
            </w:r>
          </w:p>
        </w:tc>
        <w:tc>
          <w:tcPr>
            <w:tcW w:w="0" w:type="auto"/>
          </w:tcPr>
          <w:p w14:paraId="0945BCFA" w14:textId="77777777" w:rsidR="003677D2" w:rsidRDefault="003677D2">
            <w:pPr>
              <w:pStyle w:val="Compact"/>
            </w:pPr>
          </w:p>
        </w:tc>
        <w:tc>
          <w:tcPr>
            <w:tcW w:w="0" w:type="auto"/>
          </w:tcPr>
          <w:p w14:paraId="0945BCFB"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3677D2" w14:paraId="0945BD01" w14:textId="77777777">
        <w:tc>
          <w:tcPr>
            <w:tcW w:w="0" w:type="auto"/>
          </w:tcPr>
          <w:p w14:paraId="0945BCFD"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e>
                </m:d>
              </m:oMath>
            </m:oMathPara>
          </w:p>
        </w:tc>
        <w:tc>
          <w:tcPr>
            <w:tcW w:w="0" w:type="auto"/>
          </w:tcPr>
          <w:p w14:paraId="0945BCFE" w14:textId="77777777" w:rsidR="003677D2" w:rsidRDefault="00D95A7A">
            <w:pPr>
              <w:pStyle w:val="Compact"/>
              <w:jc w:val="left"/>
            </w:pPr>
            <w:r>
              <w:t xml:space="preserve">Water-side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concentration</w:t>
            </w:r>
          </w:p>
        </w:tc>
        <w:tc>
          <w:tcPr>
            <w:tcW w:w="0" w:type="auto"/>
          </w:tcPr>
          <w:p w14:paraId="0945BCFF" w14:textId="77777777" w:rsidR="003677D2" w:rsidRDefault="003677D2">
            <w:pPr>
              <w:pStyle w:val="Compact"/>
            </w:pPr>
          </w:p>
        </w:tc>
        <w:tc>
          <w:tcPr>
            <w:tcW w:w="0" w:type="auto"/>
          </w:tcPr>
          <w:p w14:paraId="0945BD00"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3677D2" w14:paraId="0945BD06" w14:textId="77777777">
        <w:tc>
          <w:tcPr>
            <w:tcW w:w="0" w:type="auto"/>
          </w:tcPr>
          <w:p w14:paraId="0945BD02"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e>
                </m:d>
              </m:oMath>
            </m:oMathPara>
          </w:p>
        </w:tc>
        <w:tc>
          <w:tcPr>
            <w:tcW w:w="0" w:type="auto"/>
          </w:tcPr>
          <w:p w14:paraId="0945BD03" w14:textId="77777777" w:rsidR="003677D2" w:rsidRDefault="00D95A7A">
            <w:pPr>
              <w:pStyle w:val="Compact"/>
              <w:jc w:val="left"/>
            </w:pPr>
            <w:r>
              <w:t xml:space="preserve">Atmospheric-side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concentration</w:t>
            </w:r>
          </w:p>
        </w:tc>
        <w:tc>
          <w:tcPr>
            <w:tcW w:w="0" w:type="auto"/>
          </w:tcPr>
          <w:p w14:paraId="0945BD04" w14:textId="77777777" w:rsidR="003677D2" w:rsidRDefault="003677D2">
            <w:pPr>
              <w:pStyle w:val="Compact"/>
            </w:pPr>
          </w:p>
        </w:tc>
        <w:tc>
          <w:tcPr>
            <w:tcW w:w="0" w:type="auto"/>
          </w:tcPr>
          <w:p w14:paraId="0945BD05"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3677D2" w14:paraId="0945BD0B" w14:textId="77777777">
        <w:tc>
          <w:tcPr>
            <w:tcW w:w="0" w:type="auto"/>
          </w:tcPr>
          <w:p w14:paraId="0945BD07" w14:textId="77777777" w:rsidR="003677D2" w:rsidRDefault="00D95A7A">
            <w:pPr>
              <w:pStyle w:val="Compact"/>
              <w:jc w:val="left"/>
            </w:pPr>
            <m:oMathPara>
              <m:oMath>
                <m:r>
                  <w:rPr>
                    <w:rFonts w:ascii="Cambria Math" w:hAnsi="Cambria Math"/>
                  </w:rPr>
                  <m:t>dA</m:t>
                </m:r>
              </m:oMath>
            </m:oMathPara>
          </w:p>
        </w:tc>
        <w:tc>
          <w:tcPr>
            <w:tcW w:w="0" w:type="auto"/>
          </w:tcPr>
          <w:p w14:paraId="0945BD08" w14:textId="77777777" w:rsidR="003677D2" w:rsidRDefault="00D95A7A">
            <w:pPr>
              <w:pStyle w:val="Compact"/>
              <w:jc w:val="left"/>
            </w:pPr>
            <w:r>
              <w:t>change in cross-sectional area</w:t>
            </w:r>
          </w:p>
        </w:tc>
        <w:tc>
          <w:tcPr>
            <w:tcW w:w="0" w:type="auto"/>
          </w:tcPr>
          <w:p w14:paraId="0945BD09" w14:textId="77777777" w:rsidR="003677D2" w:rsidRDefault="00000000">
            <w:pPr>
              <w:pStyle w:val="Compact"/>
              <w:jc w:val="left"/>
            </w:pPr>
            <m:oMathPara>
              <m:oMath>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m:oMathPara>
          </w:p>
        </w:tc>
        <w:tc>
          <w:tcPr>
            <w:tcW w:w="0" w:type="auto"/>
          </w:tcPr>
          <w:p w14:paraId="0945BD0A" w14:textId="77777777" w:rsidR="003677D2"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3677D2" w14:paraId="0945BD10" w14:textId="77777777">
        <w:tc>
          <w:tcPr>
            <w:tcW w:w="0" w:type="auto"/>
          </w:tcPr>
          <w:p w14:paraId="0945BD0C" w14:textId="77777777" w:rsidR="003677D2" w:rsidRDefault="00000000">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945BD0D" w14:textId="77777777" w:rsidR="003677D2" w:rsidRDefault="00D95A7A">
            <w:pPr>
              <w:pStyle w:val="Compact"/>
              <w:jc w:val="left"/>
            </w:pPr>
            <w:r>
              <w:t>Molecular diffusion coefficient</w:t>
            </w:r>
          </w:p>
        </w:tc>
        <w:tc>
          <w:tcPr>
            <w:tcW w:w="0" w:type="auto"/>
          </w:tcPr>
          <w:p w14:paraId="0945BD0E" w14:textId="77777777" w:rsidR="003677D2" w:rsidRDefault="003677D2">
            <w:pPr>
              <w:pStyle w:val="Compact"/>
            </w:pPr>
          </w:p>
        </w:tc>
        <w:tc>
          <w:tcPr>
            <w:tcW w:w="0" w:type="auto"/>
          </w:tcPr>
          <w:p w14:paraId="0945BD0F"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3677D2" w14:paraId="0945BD15" w14:textId="77777777">
        <w:tc>
          <w:tcPr>
            <w:tcW w:w="0" w:type="auto"/>
          </w:tcPr>
          <w:p w14:paraId="0945BD11" w14:textId="77777777" w:rsidR="003677D2" w:rsidRDefault="00D95A7A">
            <w:pPr>
              <w:pStyle w:val="Compact"/>
              <w:jc w:val="left"/>
            </w:pPr>
            <m:oMathPara>
              <m:oMath>
                <m:r>
                  <w:rPr>
                    <w:rFonts w:ascii="Cambria Math" w:hAnsi="Cambria Math"/>
                  </w:rPr>
                  <m:t>ϵ</m:t>
                </m:r>
              </m:oMath>
            </m:oMathPara>
          </w:p>
        </w:tc>
        <w:tc>
          <w:tcPr>
            <w:tcW w:w="0" w:type="auto"/>
          </w:tcPr>
          <w:p w14:paraId="0945BD12" w14:textId="77777777" w:rsidR="003677D2" w:rsidRDefault="00D95A7A">
            <w:pPr>
              <w:pStyle w:val="Compact"/>
              <w:jc w:val="left"/>
            </w:pPr>
            <w:r>
              <w:t>Dissipation rate of near-surface turbulence</w:t>
            </w:r>
          </w:p>
        </w:tc>
        <w:tc>
          <w:tcPr>
            <w:tcW w:w="0" w:type="auto"/>
          </w:tcPr>
          <w:p w14:paraId="0945BD13" w14:textId="77777777" w:rsidR="003677D2" w:rsidRDefault="003677D2">
            <w:pPr>
              <w:pStyle w:val="Compact"/>
            </w:pPr>
          </w:p>
        </w:tc>
        <w:tc>
          <w:tcPr>
            <w:tcW w:w="0" w:type="auto"/>
          </w:tcPr>
          <w:p w14:paraId="0945BD14"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3677D2" w14:paraId="0945BD1A" w14:textId="77777777">
        <w:tc>
          <w:tcPr>
            <w:tcW w:w="0" w:type="auto"/>
          </w:tcPr>
          <w:p w14:paraId="0945BD16" w14:textId="77777777" w:rsidR="003677D2"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945BD17" w14:textId="77777777" w:rsidR="003677D2" w:rsidRDefault="00D95A7A">
            <w:pPr>
              <w:pStyle w:val="Compact"/>
              <w:jc w:val="left"/>
            </w:pPr>
            <w:r>
              <w:t xml:space="preserve">log-law-of-the-wall model for </w:t>
            </w:r>
            <m:oMath>
              <m:r>
                <w:rPr>
                  <w:rFonts w:ascii="Cambria Math" w:hAnsi="Cambria Math"/>
                </w:rPr>
                <m:t>ϵ</m:t>
              </m:r>
            </m:oMath>
          </w:p>
        </w:tc>
        <w:tc>
          <w:tcPr>
            <w:tcW w:w="0" w:type="auto"/>
          </w:tcPr>
          <w:p w14:paraId="0945BD18" w14:textId="77777777" w:rsidR="003677D2"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945BD19"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3677D2" w14:paraId="0945BD1F" w14:textId="77777777">
        <w:tc>
          <w:tcPr>
            <w:tcW w:w="0" w:type="auto"/>
          </w:tcPr>
          <w:p w14:paraId="0945BD1B" w14:textId="77777777" w:rsidR="003677D2"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945BD1C" w14:textId="77777777" w:rsidR="003677D2" w:rsidRDefault="00D95A7A">
            <w:pPr>
              <w:pStyle w:val="Compact"/>
              <w:jc w:val="left"/>
            </w:pPr>
            <w:r>
              <w:t xml:space="preserve">Form-drag model for </w:t>
            </w:r>
            <m:oMath>
              <m:r>
                <w:rPr>
                  <w:rFonts w:ascii="Cambria Math" w:hAnsi="Cambria Math"/>
                </w:rPr>
                <m:t>ϵ</m:t>
              </m:r>
            </m:oMath>
          </w:p>
        </w:tc>
        <w:tc>
          <w:tcPr>
            <w:tcW w:w="0" w:type="auto"/>
          </w:tcPr>
          <w:p w14:paraId="0945BD1D" w14:textId="77777777" w:rsidR="003677D2" w:rsidRDefault="00D95A7A">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945BD1E"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3677D2" w14:paraId="0945BD24" w14:textId="77777777">
        <w:tc>
          <w:tcPr>
            <w:tcW w:w="0" w:type="auto"/>
          </w:tcPr>
          <w:p w14:paraId="0945BD20"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e>
                </m:d>
              </m:oMath>
            </m:oMathPara>
          </w:p>
        </w:tc>
        <w:tc>
          <w:tcPr>
            <w:tcW w:w="0" w:type="auto"/>
          </w:tcPr>
          <w:p w14:paraId="0945BD21" w14:textId="77777777" w:rsidR="003677D2" w:rsidRDefault="00000000">
            <w:pPr>
              <w:pStyle w:val="Compact"/>
              <w:jc w:val="left"/>
            </w:pP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rsidR="00D95A7A">
              <w:t xml:space="preserve"> evasion flux from river to atmosphere</w:t>
            </w:r>
          </w:p>
        </w:tc>
        <w:tc>
          <w:tcPr>
            <w:tcW w:w="0" w:type="auto"/>
          </w:tcPr>
          <w:p w14:paraId="0945BD22" w14:textId="77777777" w:rsidR="003677D2" w:rsidRDefault="003677D2">
            <w:pPr>
              <w:pStyle w:val="Compact"/>
            </w:pPr>
          </w:p>
        </w:tc>
        <w:tc>
          <w:tcPr>
            <w:tcW w:w="0" w:type="auto"/>
          </w:tcPr>
          <w:p w14:paraId="0945BD23"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3677D2" w14:paraId="0945BD29" w14:textId="77777777">
        <w:tc>
          <w:tcPr>
            <w:tcW w:w="0" w:type="auto"/>
          </w:tcPr>
          <w:p w14:paraId="0945BD25"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e>
                </m:d>
              </m:oMath>
            </m:oMathPara>
          </w:p>
        </w:tc>
        <w:tc>
          <w:tcPr>
            <w:tcW w:w="0" w:type="auto"/>
          </w:tcPr>
          <w:p w14:paraId="0945BD26" w14:textId="77777777" w:rsidR="003677D2" w:rsidRDefault="00D95A7A">
            <w:pPr>
              <w:pStyle w:val="Compact"/>
              <w:jc w:val="left"/>
            </w:pPr>
            <w:r>
              <w:t xml:space="preserve">Upscaling estimate of the global </w:t>
            </w:r>
            <m:oMath>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oMath>
            <w:r>
              <w:t xml:space="preserve"> evasion flux from river to atmosphere</w:t>
            </w:r>
          </w:p>
        </w:tc>
        <w:tc>
          <w:tcPr>
            <w:tcW w:w="0" w:type="auto"/>
          </w:tcPr>
          <w:p w14:paraId="0945BD27" w14:textId="77777777" w:rsidR="003677D2" w:rsidRDefault="003677D2">
            <w:pPr>
              <w:pStyle w:val="Compact"/>
            </w:pPr>
          </w:p>
        </w:tc>
        <w:tc>
          <w:tcPr>
            <w:tcW w:w="0" w:type="auto"/>
          </w:tcPr>
          <w:p w14:paraId="0945BD28"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3677D2" w14:paraId="0945BD2E" w14:textId="77777777">
        <w:tc>
          <w:tcPr>
            <w:tcW w:w="0" w:type="auto"/>
          </w:tcPr>
          <w:p w14:paraId="0945BD2A" w14:textId="77777777" w:rsidR="003677D2" w:rsidRDefault="00D95A7A">
            <w:pPr>
              <w:pStyle w:val="Compact"/>
              <w:jc w:val="left"/>
            </w:pPr>
            <m:oMathPara>
              <m:oMath>
                <m:r>
                  <w:rPr>
                    <w:rFonts w:ascii="Cambria Math" w:hAnsi="Cambria Math"/>
                  </w:rPr>
                  <m:t>g</m:t>
                </m:r>
              </m:oMath>
            </m:oMathPara>
          </w:p>
        </w:tc>
        <w:tc>
          <w:tcPr>
            <w:tcW w:w="0" w:type="auto"/>
          </w:tcPr>
          <w:p w14:paraId="0945BD2B" w14:textId="77777777" w:rsidR="003677D2" w:rsidRDefault="00D95A7A">
            <w:pPr>
              <w:pStyle w:val="Compact"/>
              <w:jc w:val="left"/>
            </w:pPr>
            <w:r>
              <w:t>gravitational acceleration</w:t>
            </w:r>
          </w:p>
        </w:tc>
        <w:tc>
          <w:tcPr>
            <w:tcW w:w="0" w:type="auto"/>
          </w:tcPr>
          <w:p w14:paraId="0945BD2C" w14:textId="77777777" w:rsidR="003677D2" w:rsidRDefault="00D95A7A">
            <w:pPr>
              <w:pStyle w:val="Compact"/>
              <w:jc w:val="left"/>
            </w:pPr>
            <w:r>
              <w:t>9.8</w:t>
            </w:r>
          </w:p>
        </w:tc>
        <w:tc>
          <w:tcPr>
            <w:tcW w:w="0" w:type="auto"/>
          </w:tcPr>
          <w:p w14:paraId="0945BD2D"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3677D2" w14:paraId="0945BD33" w14:textId="77777777">
        <w:tc>
          <w:tcPr>
            <w:tcW w:w="0" w:type="auto"/>
          </w:tcPr>
          <w:p w14:paraId="0945BD2F" w14:textId="77777777" w:rsidR="003677D2" w:rsidRDefault="00D95A7A">
            <w:pPr>
              <w:pStyle w:val="Compact"/>
              <w:jc w:val="left"/>
            </w:pPr>
            <m:oMathPara>
              <m:oMath>
                <m:r>
                  <w:rPr>
                    <w:rFonts w:ascii="Cambria Math" w:hAnsi="Cambria Math"/>
                  </w:rPr>
                  <m:t>H</m:t>
                </m:r>
              </m:oMath>
            </m:oMathPara>
          </w:p>
        </w:tc>
        <w:tc>
          <w:tcPr>
            <w:tcW w:w="0" w:type="auto"/>
          </w:tcPr>
          <w:p w14:paraId="0945BD30" w14:textId="77777777" w:rsidR="003677D2" w:rsidRDefault="00D95A7A">
            <w:pPr>
              <w:pStyle w:val="Compact"/>
              <w:jc w:val="left"/>
            </w:pPr>
            <w:r>
              <w:t>Mean flow depth</w:t>
            </w:r>
          </w:p>
        </w:tc>
        <w:tc>
          <w:tcPr>
            <w:tcW w:w="0" w:type="auto"/>
          </w:tcPr>
          <w:p w14:paraId="0945BD31" w14:textId="77777777" w:rsidR="003677D2" w:rsidRDefault="00000000">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945BD32"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3677D2" w14:paraId="0945BD38" w14:textId="77777777">
        <w:tc>
          <w:tcPr>
            <w:tcW w:w="0" w:type="auto"/>
          </w:tcPr>
          <w:p w14:paraId="0945BD34" w14:textId="77777777" w:rsidR="003677D2" w:rsidRDefault="00000000">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945BD35" w14:textId="77777777" w:rsidR="003677D2" w:rsidRDefault="00D95A7A">
            <w:pPr>
              <w:pStyle w:val="Compact"/>
              <w:jc w:val="left"/>
            </w:pPr>
            <w:r>
              <w:t>Water surface elevation</w:t>
            </w:r>
          </w:p>
        </w:tc>
        <w:tc>
          <w:tcPr>
            <w:tcW w:w="0" w:type="auto"/>
          </w:tcPr>
          <w:p w14:paraId="0945BD36" w14:textId="77777777" w:rsidR="003677D2" w:rsidRDefault="003677D2">
            <w:pPr>
              <w:pStyle w:val="Compact"/>
            </w:pPr>
          </w:p>
        </w:tc>
        <w:tc>
          <w:tcPr>
            <w:tcW w:w="0" w:type="auto"/>
          </w:tcPr>
          <w:p w14:paraId="0945BD37"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3677D2" w14:paraId="0945BD3D" w14:textId="77777777">
        <w:tc>
          <w:tcPr>
            <w:tcW w:w="0" w:type="auto"/>
          </w:tcPr>
          <w:p w14:paraId="0945BD39" w14:textId="77777777" w:rsidR="003677D2" w:rsidRDefault="00D95A7A">
            <w:pPr>
              <w:pStyle w:val="Compact"/>
              <w:jc w:val="left"/>
            </w:pPr>
            <m:oMathPara>
              <m:oMath>
                <m:r>
                  <w:rPr>
                    <w:rFonts w:ascii="Cambria Math" w:hAnsi="Cambria Math"/>
                  </w:rPr>
                  <m:t>i</m:t>
                </m:r>
              </m:oMath>
            </m:oMathPara>
          </w:p>
        </w:tc>
        <w:tc>
          <w:tcPr>
            <w:tcW w:w="0" w:type="auto"/>
          </w:tcPr>
          <w:p w14:paraId="0945BD3A" w14:textId="77777777" w:rsidR="003677D2" w:rsidRDefault="00D95A7A">
            <w:pPr>
              <w:pStyle w:val="Compact"/>
              <w:jc w:val="left"/>
            </w:pPr>
            <w:r>
              <w:t>Cross-section discretization within a mass-conserved river reach</w:t>
            </w:r>
          </w:p>
        </w:tc>
        <w:tc>
          <w:tcPr>
            <w:tcW w:w="0" w:type="auto"/>
          </w:tcPr>
          <w:p w14:paraId="0945BD3B" w14:textId="77777777" w:rsidR="003677D2" w:rsidRDefault="003677D2">
            <w:pPr>
              <w:pStyle w:val="Compact"/>
            </w:pPr>
          </w:p>
        </w:tc>
        <w:tc>
          <w:tcPr>
            <w:tcW w:w="0" w:type="auto"/>
          </w:tcPr>
          <w:p w14:paraId="0945BD3C" w14:textId="77777777" w:rsidR="003677D2" w:rsidRDefault="003677D2">
            <w:pPr>
              <w:pStyle w:val="Compact"/>
            </w:pPr>
          </w:p>
        </w:tc>
      </w:tr>
      <w:tr w:rsidR="003677D2" w14:paraId="0945BD42" w14:textId="77777777">
        <w:tc>
          <w:tcPr>
            <w:tcW w:w="0" w:type="auto"/>
          </w:tcPr>
          <w:p w14:paraId="0945BD3E" w14:textId="77777777" w:rsidR="003677D2" w:rsidRDefault="00000000">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z</m:t>
                    </m:r>
                  </m:sub>
                </m:sSub>
              </m:oMath>
            </m:oMathPara>
          </w:p>
        </w:tc>
        <w:tc>
          <w:tcPr>
            <w:tcW w:w="0" w:type="auto"/>
          </w:tcPr>
          <w:p w14:paraId="0945BD3F" w14:textId="77777777" w:rsidR="003677D2" w:rsidRDefault="00D95A7A">
            <w:pPr>
              <w:pStyle w:val="Compact"/>
              <w:jc w:val="left"/>
            </w:pPr>
            <w:r>
              <w:t xml:space="preserve">gas exchange velocity for gas </w:t>
            </w:r>
            <w:r>
              <w:rPr>
                <w:i/>
                <w:iCs/>
              </w:rPr>
              <w:t>z</w:t>
            </w:r>
          </w:p>
        </w:tc>
        <w:tc>
          <w:tcPr>
            <w:tcW w:w="0" w:type="auto"/>
          </w:tcPr>
          <w:p w14:paraId="0945BD40" w14:textId="77777777" w:rsidR="003677D2" w:rsidRDefault="003677D2">
            <w:pPr>
              <w:pStyle w:val="Compact"/>
            </w:pPr>
          </w:p>
        </w:tc>
        <w:tc>
          <w:tcPr>
            <w:tcW w:w="0" w:type="auto"/>
          </w:tcPr>
          <w:p w14:paraId="0945BD41"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3677D2" w14:paraId="0945BD47" w14:textId="77777777">
        <w:tc>
          <w:tcPr>
            <w:tcW w:w="0" w:type="auto"/>
          </w:tcPr>
          <w:p w14:paraId="0945BD43" w14:textId="77777777" w:rsidR="003677D2" w:rsidRDefault="00000000">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945BD44" w14:textId="77777777" w:rsidR="003677D2" w:rsidRDefault="00D95A7A">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945BD45" w14:textId="77777777" w:rsidR="003677D2" w:rsidRDefault="00000000">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945BD46"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3677D2" w14:paraId="0945BD4C" w14:textId="77777777">
        <w:tc>
          <w:tcPr>
            <w:tcW w:w="0" w:type="auto"/>
          </w:tcPr>
          <w:p w14:paraId="0945BD48" w14:textId="77777777" w:rsidR="003677D2" w:rsidRDefault="00D95A7A">
            <w:pPr>
              <w:pStyle w:val="Compact"/>
              <w:jc w:val="left"/>
            </w:pPr>
            <m:oMathPara>
              <m:oMath>
                <m:r>
                  <w:rPr>
                    <w:rFonts w:ascii="Cambria Math" w:hAnsi="Cambria Math"/>
                  </w:rPr>
                  <m:t>n</m:t>
                </m:r>
              </m:oMath>
            </m:oMathPara>
          </w:p>
        </w:tc>
        <w:tc>
          <w:tcPr>
            <w:tcW w:w="0" w:type="auto"/>
          </w:tcPr>
          <w:p w14:paraId="0945BD49" w14:textId="77777777" w:rsidR="003677D2" w:rsidRDefault="00D95A7A">
            <w:pPr>
              <w:pStyle w:val="Compact"/>
              <w:jc w:val="left"/>
            </w:pPr>
            <w:r>
              <w:t>Manning’s roughness coefficient</w:t>
            </w:r>
          </w:p>
        </w:tc>
        <w:tc>
          <w:tcPr>
            <w:tcW w:w="0" w:type="auto"/>
          </w:tcPr>
          <w:p w14:paraId="0945BD4A" w14:textId="77777777" w:rsidR="003677D2"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945BD4B"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3677D2" w14:paraId="0945BD51" w14:textId="77777777">
        <w:tc>
          <w:tcPr>
            <w:tcW w:w="0" w:type="auto"/>
          </w:tcPr>
          <w:p w14:paraId="0945BD4D" w14:textId="77777777" w:rsidR="003677D2" w:rsidRDefault="00D95A7A">
            <w:pPr>
              <w:pStyle w:val="Compact"/>
              <w:jc w:val="left"/>
            </w:pPr>
            <m:oMathPara>
              <m:oMath>
                <m:r>
                  <m:rPr>
                    <m:sty m:val="p"/>
                  </m:rPr>
                  <w:rPr>
                    <w:rFonts w:ascii="Cambria Math" w:hAnsi="Cambria Math"/>
                  </w:rPr>
                  <m:t>ρ</m:t>
                </m:r>
              </m:oMath>
            </m:oMathPara>
          </w:p>
        </w:tc>
        <w:tc>
          <w:tcPr>
            <w:tcW w:w="0" w:type="auto"/>
          </w:tcPr>
          <w:p w14:paraId="0945BD4E" w14:textId="77777777" w:rsidR="003677D2" w:rsidRDefault="00D95A7A">
            <w:pPr>
              <w:pStyle w:val="Compact"/>
              <w:jc w:val="left"/>
            </w:pPr>
            <w:r>
              <w:t>Density of water</w:t>
            </w:r>
          </w:p>
        </w:tc>
        <w:tc>
          <w:tcPr>
            <w:tcW w:w="0" w:type="auto"/>
          </w:tcPr>
          <w:p w14:paraId="0945BD4F" w14:textId="77777777" w:rsidR="003677D2" w:rsidRDefault="003677D2">
            <w:pPr>
              <w:pStyle w:val="Compact"/>
            </w:pPr>
          </w:p>
        </w:tc>
        <w:tc>
          <w:tcPr>
            <w:tcW w:w="0" w:type="auto"/>
          </w:tcPr>
          <w:p w14:paraId="0945BD50"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3677D2" w14:paraId="0945BD56" w14:textId="77777777">
        <w:tc>
          <w:tcPr>
            <w:tcW w:w="0" w:type="auto"/>
          </w:tcPr>
          <w:p w14:paraId="0945BD52" w14:textId="77777777" w:rsidR="003677D2" w:rsidRDefault="00D95A7A">
            <w:pPr>
              <w:pStyle w:val="Compact"/>
              <w:jc w:val="left"/>
            </w:pPr>
            <m:oMathPara>
              <m:oMath>
                <m:r>
                  <w:rPr>
                    <w:rFonts w:ascii="Cambria Math" w:hAnsi="Cambria Math"/>
                  </w:rPr>
                  <m:t>Q</m:t>
                </m:r>
              </m:oMath>
            </m:oMathPara>
          </w:p>
        </w:tc>
        <w:tc>
          <w:tcPr>
            <w:tcW w:w="0" w:type="auto"/>
          </w:tcPr>
          <w:p w14:paraId="0945BD53" w14:textId="77777777" w:rsidR="003677D2" w:rsidRDefault="00D95A7A">
            <w:pPr>
              <w:pStyle w:val="Compact"/>
              <w:jc w:val="left"/>
            </w:pPr>
            <w:r>
              <w:t>River discharge</w:t>
            </w:r>
          </w:p>
        </w:tc>
        <w:tc>
          <w:tcPr>
            <w:tcW w:w="0" w:type="auto"/>
          </w:tcPr>
          <w:p w14:paraId="0945BD54" w14:textId="77777777" w:rsidR="003677D2" w:rsidRDefault="00D95A7A">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945BD55" w14:textId="77777777" w:rsidR="003677D2" w:rsidRDefault="00000000">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3677D2" w14:paraId="0945BD5B" w14:textId="77777777">
        <w:tc>
          <w:tcPr>
            <w:tcW w:w="0" w:type="auto"/>
          </w:tcPr>
          <w:p w14:paraId="0945BD57" w14:textId="77777777" w:rsidR="003677D2" w:rsidRDefault="00000000">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945BD58" w14:textId="77777777" w:rsidR="003677D2" w:rsidRDefault="00D95A7A">
            <w:pPr>
              <w:pStyle w:val="Compact"/>
              <w:jc w:val="left"/>
            </w:pPr>
            <w:r>
              <w:t>Hydraulic radius</w:t>
            </w:r>
          </w:p>
        </w:tc>
        <w:tc>
          <w:tcPr>
            <w:tcW w:w="0" w:type="auto"/>
          </w:tcPr>
          <w:p w14:paraId="0945BD59" w14:textId="77777777" w:rsidR="003677D2" w:rsidRDefault="00000000">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945BD5A"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3677D2" w14:paraId="0945BD60" w14:textId="77777777">
        <w:tc>
          <w:tcPr>
            <w:tcW w:w="0" w:type="auto"/>
          </w:tcPr>
          <w:p w14:paraId="0945BD5C" w14:textId="77777777" w:rsidR="003677D2" w:rsidRDefault="00D95A7A">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m:oMathPara>
          </w:p>
        </w:tc>
        <w:tc>
          <w:tcPr>
            <w:tcW w:w="0" w:type="auto"/>
          </w:tcPr>
          <w:p w14:paraId="0945BD5D" w14:textId="77777777" w:rsidR="003677D2" w:rsidRDefault="00D95A7A">
            <w:pPr>
              <w:pStyle w:val="Compact"/>
              <w:jc w:val="left"/>
            </w:pPr>
            <w:r>
              <w:t>Shear Reynold’s number</w:t>
            </w:r>
          </w:p>
        </w:tc>
        <w:tc>
          <w:tcPr>
            <w:tcW w:w="0" w:type="auto"/>
          </w:tcPr>
          <w:p w14:paraId="0945BD5E" w14:textId="77777777" w:rsidR="003677D2" w:rsidRDefault="00000000">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945BD5F" w14:textId="77777777" w:rsidR="003677D2" w:rsidRDefault="00D95A7A">
            <w:pPr>
              <w:pStyle w:val="Compact"/>
              <w:jc w:val="left"/>
            </w:pPr>
            <m:oMathPara>
              <m:oMath>
                <m:r>
                  <w:rPr>
                    <w:rFonts w:ascii="Cambria Math" w:hAnsi="Cambria Math"/>
                  </w:rPr>
                  <m:t>dimensionless</m:t>
                </m:r>
              </m:oMath>
            </m:oMathPara>
          </w:p>
        </w:tc>
      </w:tr>
      <w:tr w:rsidR="003677D2" w14:paraId="0945BD65" w14:textId="77777777">
        <w:tc>
          <w:tcPr>
            <w:tcW w:w="0" w:type="auto"/>
          </w:tcPr>
          <w:p w14:paraId="0945BD61" w14:textId="77777777" w:rsidR="003677D2" w:rsidRDefault="00D95A7A">
            <w:pPr>
              <w:pStyle w:val="Compact"/>
              <w:jc w:val="left"/>
            </w:pPr>
            <m:oMathPara>
              <m:oMath>
                <m:r>
                  <w:rPr>
                    <w:rFonts w:ascii="Cambria Math" w:hAnsi="Cambria Math"/>
                  </w:rPr>
                  <m:t>S</m:t>
                </m:r>
              </m:oMath>
            </m:oMathPara>
          </w:p>
        </w:tc>
        <w:tc>
          <w:tcPr>
            <w:tcW w:w="0" w:type="auto"/>
          </w:tcPr>
          <w:p w14:paraId="0945BD62" w14:textId="77777777" w:rsidR="003677D2" w:rsidRDefault="00D95A7A">
            <w:pPr>
              <w:pStyle w:val="Compact"/>
              <w:jc w:val="left"/>
            </w:pPr>
            <w:r>
              <w:t>River slope</w:t>
            </w:r>
          </w:p>
        </w:tc>
        <w:tc>
          <w:tcPr>
            <w:tcW w:w="0" w:type="auto"/>
          </w:tcPr>
          <w:p w14:paraId="0945BD63" w14:textId="77777777" w:rsidR="003677D2" w:rsidRDefault="003677D2">
            <w:pPr>
              <w:pStyle w:val="Compact"/>
            </w:pPr>
          </w:p>
        </w:tc>
        <w:tc>
          <w:tcPr>
            <w:tcW w:w="0" w:type="auto"/>
          </w:tcPr>
          <w:p w14:paraId="0945BD64" w14:textId="77777777" w:rsidR="003677D2" w:rsidRDefault="00D95A7A">
            <w:pPr>
              <w:pStyle w:val="Compact"/>
              <w:jc w:val="left"/>
            </w:pPr>
            <m:oMathPara>
              <m:oMath>
                <m:r>
                  <w:rPr>
                    <w:rFonts w:ascii="Cambria Math" w:hAnsi="Cambria Math"/>
                  </w:rPr>
                  <m:t>dimensionless</m:t>
                </m:r>
              </m:oMath>
            </m:oMathPara>
          </w:p>
        </w:tc>
      </w:tr>
      <w:tr w:rsidR="003677D2" w14:paraId="0945BD6A" w14:textId="77777777">
        <w:tc>
          <w:tcPr>
            <w:tcW w:w="0" w:type="auto"/>
          </w:tcPr>
          <w:p w14:paraId="0945BD66" w14:textId="77777777" w:rsidR="003677D2" w:rsidRDefault="00D95A7A">
            <w:pPr>
              <w:pStyle w:val="Compact"/>
              <w:jc w:val="left"/>
            </w:pPr>
            <m:oMathPara>
              <m:oMath>
                <m:r>
                  <w:rPr>
                    <w:rFonts w:ascii="Cambria Math" w:hAnsi="Cambria Math"/>
                  </w:rPr>
                  <m:t>Sc</m:t>
                </m:r>
              </m:oMath>
            </m:oMathPara>
          </w:p>
        </w:tc>
        <w:tc>
          <w:tcPr>
            <w:tcW w:w="0" w:type="auto"/>
          </w:tcPr>
          <w:p w14:paraId="0945BD67" w14:textId="77777777" w:rsidR="003677D2" w:rsidRDefault="00D95A7A">
            <w:pPr>
              <w:pStyle w:val="Compact"/>
              <w:jc w:val="left"/>
            </w:pPr>
            <w:r>
              <w:t>Schmidt number</w:t>
            </w:r>
          </w:p>
        </w:tc>
        <w:tc>
          <w:tcPr>
            <w:tcW w:w="0" w:type="auto"/>
          </w:tcPr>
          <w:p w14:paraId="0945BD68" w14:textId="77777777" w:rsidR="003677D2" w:rsidRDefault="00000000">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945BD69" w14:textId="77777777" w:rsidR="003677D2" w:rsidRDefault="003677D2">
            <w:pPr>
              <w:pStyle w:val="Compact"/>
            </w:pPr>
          </w:p>
        </w:tc>
      </w:tr>
      <w:tr w:rsidR="003677D2" w14:paraId="0945BD6F" w14:textId="77777777">
        <w:tc>
          <w:tcPr>
            <w:tcW w:w="0" w:type="auto"/>
          </w:tcPr>
          <w:p w14:paraId="0945BD6B" w14:textId="77777777" w:rsidR="003677D2" w:rsidRDefault="00D95A7A">
            <w:pPr>
              <w:pStyle w:val="Compact"/>
              <w:jc w:val="left"/>
            </w:pPr>
            <m:oMathPara>
              <m:oMath>
                <m:r>
                  <w:rPr>
                    <w:rFonts w:ascii="Cambria Math" w:hAnsi="Cambria Math"/>
                  </w:rPr>
                  <m:t>t</m:t>
                </m:r>
              </m:oMath>
            </m:oMathPara>
          </w:p>
        </w:tc>
        <w:tc>
          <w:tcPr>
            <w:tcW w:w="0" w:type="auto"/>
          </w:tcPr>
          <w:p w14:paraId="0945BD6C" w14:textId="77777777" w:rsidR="003677D2" w:rsidRDefault="00D95A7A">
            <w:pPr>
              <w:pStyle w:val="Compact"/>
              <w:jc w:val="left"/>
            </w:pPr>
            <w:r>
              <w:t>timestep discretization within river reach</w:t>
            </w:r>
          </w:p>
        </w:tc>
        <w:tc>
          <w:tcPr>
            <w:tcW w:w="0" w:type="auto"/>
          </w:tcPr>
          <w:p w14:paraId="0945BD6D" w14:textId="77777777" w:rsidR="003677D2" w:rsidRDefault="003677D2">
            <w:pPr>
              <w:pStyle w:val="Compact"/>
            </w:pPr>
          </w:p>
        </w:tc>
        <w:tc>
          <w:tcPr>
            <w:tcW w:w="0" w:type="auto"/>
          </w:tcPr>
          <w:p w14:paraId="0945BD6E" w14:textId="77777777" w:rsidR="003677D2" w:rsidRDefault="003677D2">
            <w:pPr>
              <w:pStyle w:val="Compact"/>
            </w:pPr>
          </w:p>
        </w:tc>
      </w:tr>
      <w:tr w:rsidR="003677D2" w14:paraId="0945BD74" w14:textId="77777777">
        <w:tc>
          <w:tcPr>
            <w:tcW w:w="0" w:type="auto"/>
          </w:tcPr>
          <w:p w14:paraId="0945BD70" w14:textId="77777777" w:rsidR="003677D2" w:rsidRDefault="00D95A7A">
            <w:pPr>
              <w:pStyle w:val="Compact"/>
              <w:jc w:val="left"/>
            </w:pPr>
            <m:oMathPara>
              <m:oMath>
                <m:r>
                  <w:rPr>
                    <w:rFonts w:ascii="Cambria Math" w:hAnsi="Cambria Math"/>
                  </w:rPr>
                  <m:t>Θ</m:t>
                </m:r>
              </m:oMath>
            </m:oMathPara>
          </w:p>
        </w:tc>
        <w:tc>
          <w:tcPr>
            <w:tcW w:w="0" w:type="auto"/>
          </w:tcPr>
          <w:p w14:paraId="0945BD71" w14:textId="77777777" w:rsidR="003677D2" w:rsidRDefault="00D95A7A">
            <w:pPr>
              <w:pStyle w:val="Compact"/>
              <w:jc w:val="left"/>
            </w:pPr>
            <w:r>
              <w:t>Bayesian parameter set</w:t>
            </w:r>
          </w:p>
        </w:tc>
        <w:tc>
          <w:tcPr>
            <w:tcW w:w="0" w:type="auto"/>
          </w:tcPr>
          <w:p w14:paraId="0945BD72" w14:textId="77777777" w:rsidR="003677D2" w:rsidRDefault="003677D2">
            <w:pPr>
              <w:pStyle w:val="Compact"/>
            </w:pPr>
          </w:p>
        </w:tc>
        <w:tc>
          <w:tcPr>
            <w:tcW w:w="0" w:type="auto"/>
          </w:tcPr>
          <w:p w14:paraId="0945BD73" w14:textId="77777777" w:rsidR="003677D2" w:rsidRDefault="003677D2">
            <w:pPr>
              <w:pStyle w:val="Compact"/>
            </w:pPr>
          </w:p>
        </w:tc>
      </w:tr>
      <w:tr w:rsidR="003677D2" w14:paraId="0945BD79" w14:textId="77777777">
        <w:tc>
          <w:tcPr>
            <w:tcW w:w="0" w:type="auto"/>
          </w:tcPr>
          <w:p w14:paraId="0945BD75" w14:textId="77777777" w:rsidR="003677D2" w:rsidRDefault="00000000">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945BD76" w14:textId="77777777" w:rsidR="003677D2" w:rsidRDefault="00D95A7A">
            <w:pPr>
              <w:pStyle w:val="Compact"/>
              <w:jc w:val="left"/>
            </w:pPr>
            <w:r>
              <w:t>Cross-sectional average velocity</w:t>
            </w:r>
          </w:p>
        </w:tc>
        <w:tc>
          <w:tcPr>
            <w:tcW w:w="0" w:type="auto"/>
          </w:tcPr>
          <w:p w14:paraId="0945BD77" w14:textId="77777777" w:rsidR="003677D2" w:rsidRDefault="00000000">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945BD78"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3677D2" w14:paraId="0945BD7E" w14:textId="77777777">
        <w:tc>
          <w:tcPr>
            <w:tcW w:w="0" w:type="auto"/>
          </w:tcPr>
          <w:p w14:paraId="0945BD7A" w14:textId="77777777" w:rsidR="003677D2" w:rsidRDefault="00000000">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945BD7B" w14:textId="77777777" w:rsidR="003677D2" w:rsidRDefault="00D95A7A">
            <w:pPr>
              <w:pStyle w:val="Compact"/>
              <w:jc w:val="left"/>
            </w:pPr>
            <w:r>
              <w:t>Shear velocity</w:t>
            </w:r>
          </w:p>
        </w:tc>
        <w:tc>
          <w:tcPr>
            <w:tcW w:w="0" w:type="auto"/>
          </w:tcPr>
          <w:p w14:paraId="0945BD7C" w14:textId="77777777" w:rsidR="003677D2" w:rsidRDefault="00000000">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945BD7D"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3677D2" w14:paraId="0945BD83" w14:textId="77777777">
        <w:tc>
          <w:tcPr>
            <w:tcW w:w="0" w:type="auto"/>
          </w:tcPr>
          <w:p w14:paraId="0945BD7F" w14:textId="77777777" w:rsidR="003677D2" w:rsidRDefault="00D95A7A">
            <w:pPr>
              <w:pStyle w:val="Compact"/>
              <w:jc w:val="left"/>
            </w:pPr>
            <m:oMathPara>
              <m:oMath>
                <m:r>
                  <w:rPr>
                    <w:rFonts w:ascii="Cambria Math" w:hAnsi="Cambria Math"/>
                  </w:rPr>
                  <m:t>μ</m:t>
                </m:r>
              </m:oMath>
            </m:oMathPara>
          </w:p>
        </w:tc>
        <w:tc>
          <w:tcPr>
            <w:tcW w:w="0" w:type="auto"/>
          </w:tcPr>
          <w:p w14:paraId="0945BD80" w14:textId="77777777" w:rsidR="003677D2" w:rsidRDefault="00D95A7A">
            <w:pPr>
              <w:pStyle w:val="Compact"/>
              <w:jc w:val="left"/>
            </w:pPr>
            <w:r>
              <w:t>Viscosity</w:t>
            </w:r>
          </w:p>
        </w:tc>
        <w:tc>
          <w:tcPr>
            <w:tcW w:w="0" w:type="auto"/>
          </w:tcPr>
          <w:p w14:paraId="0945BD81" w14:textId="77777777" w:rsidR="003677D2" w:rsidRDefault="003677D2">
            <w:pPr>
              <w:pStyle w:val="Compact"/>
            </w:pPr>
          </w:p>
        </w:tc>
        <w:tc>
          <w:tcPr>
            <w:tcW w:w="0" w:type="auto"/>
          </w:tcPr>
          <w:p w14:paraId="0945BD82"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3677D2" w14:paraId="0945BD88" w14:textId="77777777">
        <w:tc>
          <w:tcPr>
            <w:tcW w:w="0" w:type="auto"/>
          </w:tcPr>
          <w:p w14:paraId="0945BD84" w14:textId="77777777" w:rsidR="003677D2" w:rsidRDefault="00D95A7A">
            <w:pPr>
              <w:pStyle w:val="Compact"/>
              <w:jc w:val="left"/>
            </w:pPr>
            <m:oMathPara>
              <m:oMath>
                <m:r>
                  <w:rPr>
                    <w:rFonts w:ascii="Cambria Math" w:hAnsi="Cambria Math"/>
                  </w:rPr>
                  <m:t>v</m:t>
                </m:r>
              </m:oMath>
            </m:oMathPara>
          </w:p>
        </w:tc>
        <w:tc>
          <w:tcPr>
            <w:tcW w:w="0" w:type="auto"/>
          </w:tcPr>
          <w:p w14:paraId="0945BD85" w14:textId="77777777" w:rsidR="003677D2" w:rsidRDefault="00D95A7A">
            <w:pPr>
              <w:pStyle w:val="Compact"/>
              <w:jc w:val="left"/>
            </w:pPr>
            <w:r>
              <w:t>kinematic viscosity</w:t>
            </w:r>
          </w:p>
        </w:tc>
        <w:tc>
          <w:tcPr>
            <w:tcW w:w="0" w:type="auto"/>
          </w:tcPr>
          <w:p w14:paraId="0945BD86" w14:textId="77777777" w:rsidR="003677D2" w:rsidRDefault="00000000">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945BD87" w14:textId="77777777" w:rsidR="003677D2"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3677D2" w14:paraId="0945BD8D" w14:textId="77777777">
        <w:tc>
          <w:tcPr>
            <w:tcW w:w="0" w:type="auto"/>
          </w:tcPr>
          <w:p w14:paraId="0945BD89" w14:textId="77777777" w:rsidR="003677D2" w:rsidRDefault="00D95A7A">
            <w:pPr>
              <w:pStyle w:val="Compact"/>
              <w:jc w:val="left"/>
            </w:pPr>
            <m:oMathPara>
              <m:oMath>
                <m:r>
                  <w:rPr>
                    <w:rFonts w:ascii="Cambria Math" w:hAnsi="Cambria Math"/>
                  </w:rPr>
                  <m:t>W</m:t>
                </m:r>
              </m:oMath>
            </m:oMathPara>
          </w:p>
        </w:tc>
        <w:tc>
          <w:tcPr>
            <w:tcW w:w="0" w:type="auto"/>
          </w:tcPr>
          <w:p w14:paraId="0945BD8A" w14:textId="77777777" w:rsidR="003677D2" w:rsidRDefault="00D95A7A">
            <w:pPr>
              <w:pStyle w:val="Compact"/>
              <w:jc w:val="left"/>
            </w:pPr>
            <w:r>
              <w:t>Flow width</w:t>
            </w:r>
          </w:p>
        </w:tc>
        <w:tc>
          <w:tcPr>
            <w:tcW w:w="0" w:type="auto"/>
          </w:tcPr>
          <w:p w14:paraId="0945BD8B" w14:textId="77777777" w:rsidR="003677D2" w:rsidRDefault="003677D2">
            <w:pPr>
              <w:pStyle w:val="Compact"/>
            </w:pPr>
          </w:p>
        </w:tc>
        <w:tc>
          <w:tcPr>
            <w:tcW w:w="0" w:type="auto"/>
          </w:tcPr>
          <w:p w14:paraId="0945BD8C" w14:textId="77777777" w:rsidR="003677D2"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3677D2" w14:paraId="0945BD92" w14:textId="77777777">
        <w:tc>
          <w:tcPr>
            <w:tcW w:w="0" w:type="auto"/>
          </w:tcPr>
          <w:p w14:paraId="0945BD8E" w14:textId="77777777" w:rsidR="003677D2" w:rsidRDefault="00D95A7A">
            <w:pPr>
              <w:pStyle w:val="Compact"/>
              <w:jc w:val="left"/>
            </w:pPr>
            <m:oMathPara>
              <m:oMath>
                <m:r>
                  <w:rPr>
                    <w:rFonts w:ascii="Cambria Math" w:hAnsi="Cambria Math"/>
                  </w:rPr>
                  <m:t>x</m:t>
                </m:r>
              </m:oMath>
            </m:oMathPara>
          </w:p>
        </w:tc>
        <w:tc>
          <w:tcPr>
            <w:tcW w:w="0" w:type="auto"/>
          </w:tcPr>
          <w:p w14:paraId="0945BD8F" w14:textId="77777777" w:rsidR="003677D2" w:rsidRDefault="00D95A7A">
            <w:pPr>
              <w:pStyle w:val="Compact"/>
              <w:jc w:val="left"/>
            </w:pPr>
            <w:r>
              <w:t>Bayesian data set</w:t>
            </w:r>
          </w:p>
        </w:tc>
        <w:tc>
          <w:tcPr>
            <w:tcW w:w="0" w:type="auto"/>
          </w:tcPr>
          <w:p w14:paraId="0945BD90" w14:textId="77777777" w:rsidR="003677D2" w:rsidRDefault="003677D2">
            <w:pPr>
              <w:pStyle w:val="Compact"/>
            </w:pPr>
          </w:p>
        </w:tc>
        <w:tc>
          <w:tcPr>
            <w:tcW w:w="0" w:type="auto"/>
          </w:tcPr>
          <w:p w14:paraId="0945BD91" w14:textId="77777777" w:rsidR="003677D2" w:rsidRDefault="003677D2">
            <w:pPr>
              <w:pStyle w:val="Compact"/>
            </w:pPr>
          </w:p>
        </w:tc>
      </w:tr>
    </w:tbl>
    <w:p w14:paraId="0945BD93" w14:textId="77777777" w:rsidR="003677D2" w:rsidRDefault="00D95A7A">
      <w:pPr>
        <w:pStyle w:val="BodyText"/>
      </w:pPr>
      <w:r>
        <w:rPr>
          <w:i/>
          <w:iCs/>
        </w:rPr>
        <w:t>Table A2: Bayesian parameter and hyperparameter notation for this study.</w:t>
      </w:r>
    </w:p>
    <w:tbl>
      <w:tblPr>
        <w:tblW w:w="5000" w:type="pct"/>
        <w:tblLook w:val="0020" w:firstRow="1" w:lastRow="0" w:firstColumn="0" w:lastColumn="0" w:noHBand="0" w:noVBand="0"/>
      </w:tblPr>
      <w:tblGrid>
        <w:gridCol w:w="1110"/>
        <w:gridCol w:w="8250"/>
      </w:tblGrid>
      <w:tr w:rsidR="003677D2" w14:paraId="0945BD96" w14:textId="77777777">
        <w:trPr>
          <w:tblHeader/>
        </w:trPr>
        <w:tc>
          <w:tcPr>
            <w:tcW w:w="0" w:type="auto"/>
          </w:tcPr>
          <w:p w14:paraId="0945BD94" w14:textId="77777777" w:rsidR="003677D2" w:rsidRDefault="00D95A7A">
            <w:pPr>
              <w:pStyle w:val="Compact"/>
              <w:jc w:val="left"/>
            </w:pPr>
            <w:r>
              <w:rPr>
                <w:b/>
                <w:bCs/>
              </w:rPr>
              <w:t>Notation</w:t>
            </w:r>
          </w:p>
        </w:tc>
        <w:tc>
          <w:tcPr>
            <w:tcW w:w="0" w:type="auto"/>
          </w:tcPr>
          <w:p w14:paraId="0945BD95" w14:textId="77777777" w:rsidR="003677D2" w:rsidRDefault="00D95A7A">
            <w:pPr>
              <w:pStyle w:val="Compact"/>
              <w:jc w:val="left"/>
            </w:pPr>
            <w:r>
              <w:rPr>
                <w:b/>
                <w:bCs/>
              </w:rPr>
              <w:t>Description</w:t>
            </w:r>
          </w:p>
        </w:tc>
      </w:tr>
      <w:tr w:rsidR="003677D2" w14:paraId="0945BD99" w14:textId="77777777">
        <w:tc>
          <w:tcPr>
            <w:tcW w:w="0" w:type="auto"/>
          </w:tcPr>
          <w:p w14:paraId="0945BD97" w14:textId="77777777" w:rsidR="003677D2" w:rsidRDefault="00D95A7A">
            <w:pPr>
              <w:pStyle w:val="Compact"/>
              <w:jc w:val="left"/>
            </w:pPr>
            <w:r>
              <w:rPr>
                <w:i/>
                <w:iCs/>
              </w:rPr>
              <w:t>x</w:t>
            </w:r>
          </w:p>
        </w:tc>
        <w:tc>
          <w:tcPr>
            <w:tcW w:w="0" w:type="auto"/>
          </w:tcPr>
          <w:p w14:paraId="0945BD98" w14:textId="77777777" w:rsidR="003677D2" w:rsidRDefault="00D95A7A">
            <w:pPr>
              <w:pStyle w:val="Compact"/>
              <w:jc w:val="left"/>
            </w:pPr>
            <w:r>
              <w:t>Joint data distribution for BIKER</w:t>
            </w:r>
          </w:p>
        </w:tc>
      </w:tr>
      <w:tr w:rsidR="003677D2" w14:paraId="0945BD9C" w14:textId="77777777">
        <w:tc>
          <w:tcPr>
            <w:tcW w:w="0" w:type="auto"/>
          </w:tcPr>
          <w:p w14:paraId="0945BD9A" w14:textId="77777777" w:rsidR="003677D2" w:rsidRDefault="00D95A7A">
            <w:pPr>
              <w:pStyle w:val="Compact"/>
              <w:jc w:val="left"/>
            </w:pPr>
            <m:oMathPara>
              <m:oMath>
                <m:r>
                  <w:rPr>
                    <w:rFonts w:ascii="Cambria Math" w:hAnsi="Cambria Math"/>
                  </w:rPr>
                  <m:t>Θ</m:t>
                </m:r>
              </m:oMath>
            </m:oMathPara>
          </w:p>
        </w:tc>
        <w:tc>
          <w:tcPr>
            <w:tcW w:w="0" w:type="auto"/>
          </w:tcPr>
          <w:p w14:paraId="0945BD9B" w14:textId="77777777" w:rsidR="003677D2" w:rsidRDefault="00D95A7A">
            <w:pPr>
              <w:pStyle w:val="Compact"/>
              <w:jc w:val="left"/>
            </w:pPr>
            <w:r>
              <w:t>Joint parameter distribution for BIKER</w:t>
            </w:r>
          </w:p>
        </w:tc>
      </w:tr>
      <w:tr w:rsidR="003677D2" w14:paraId="0945BD9F" w14:textId="77777777">
        <w:tc>
          <w:tcPr>
            <w:tcW w:w="0" w:type="auto"/>
          </w:tcPr>
          <w:p w14:paraId="0945BD9D" w14:textId="77777777" w:rsidR="003677D2" w:rsidRDefault="00000000">
            <w:pPr>
              <w:pStyle w:val="Compact"/>
              <w:jc w:val="left"/>
            </w:pPr>
            <m:oMathPara>
              <m:oMath>
                <m:sSub>
                  <m:sSubPr>
                    <m:ctrlPr>
                      <w:rPr>
                        <w:rFonts w:ascii="Cambria Math" w:hAnsi="Cambria Math"/>
                      </w:rPr>
                    </m:ctrlPr>
                  </m:sSubPr>
                  <m:e>
                    <m:r>
                      <w:rPr>
                        <w:rFonts w:ascii="Cambria Math" w:hAnsi="Cambria Math"/>
                      </w:rPr>
                      <m:t>Θ</m:t>
                    </m:r>
                  </m:e>
                  <m:sub>
                    <m:r>
                      <w:rPr>
                        <w:rFonts w:ascii="Cambria Math" w:hAnsi="Cambria Math"/>
                      </w:rPr>
                      <m:t>μ</m:t>
                    </m:r>
                  </m:sub>
                </m:sSub>
              </m:oMath>
            </m:oMathPara>
          </w:p>
        </w:tc>
        <w:tc>
          <w:tcPr>
            <w:tcW w:w="0" w:type="auto"/>
          </w:tcPr>
          <w:p w14:paraId="0945BD9E" w14:textId="77777777" w:rsidR="003677D2" w:rsidRDefault="00D95A7A">
            <w:pPr>
              <w:pStyle w:val="Compact"/>
              <w:jc w:val="left"/>
            </w:pPr>
            <w:r>
              <w:t>Mean hyperparameter for BIKER prior distributions</w:t>
            </w:r>
          </w:p>
        </w:tc>
      </w:tr>
      <w:tr w:rsidR="003677D2" w14:paraId="0945BDA2" w14:textId="77777777">
        <w:tc>
          <w:tcPr>
            <w:tcW w:w="0" w:type="auto"/>
          </w:tcPr>
          <w:p w14:paraId="0945BDA0" w14:textId="77777777" w:rsidR="003677D2" w:rsidRDefault="00000000">
            <w:pPr>
              <w:pStyle w:val="Compact"/>
              <w:jc w:val="left"/>
            </w:pPr>
            <m:oMathPara>
              <m:oMath>
                <m:sSub>
                  <m:sSubPr>
                    <m:ctrlPr>
                      <w:rPr>
                        <w:rFonts w:ascii="Cambria Math" w:hAnsi="Cambria Math"/>
                      </w:rPr>
                    </m:ctrlPr>
                  </m:sSubPr>
                  <m:e>
                    <m:r>
                      <w:rPr>
                        <w:rFonts w:ascii="Cambria Math" w:hAnsi="Cambria Math"/>
                      </w:rPr>
                      <m:t>Θ</m:t>
                    </m:r>
                  </m:e>
                  <m:sub>
                    <m:r>
                      <w:rPr>
                        <w:rFonts w:ascii="Cambria Math" w:hAnsi="Cambria Math"/>
                      </w:rPr>
                      <m:t>σ</m:t>
                    </m:r>
                  </m:sub>
                </m:sSub>
              </m:oMath>
            </m:oMathPara>
          </w:p>
        </w:tc>
        <w:tc>
          <w:tcPr>
            <w:tcW w:w="0" w:type="auto"/>
          </w:tcPr>
          <w:p w14:paraId="0945BDA1" w14:textId="77777777" w:rsidR="003677D2" w:rsidRDefault="00D95A7A">
            <w:pPr>
              <w:pStyle w:val="Compact"/>
              <w:jc w:val="left"/>
            </w:pPr>
            <w:r>
              <w:t>Standard deviation hyperparameter for BIKER prior distributions</w:t>
            </w:r>
          </w:p>
        </w:tc>
      </w:tr>
      <w:tr w:rsidR="003677D2" w14:paraId="0945BDA5" w14:textId="77777777">
        <w:tc>
          <w:tcPr>
            <w:tcW w:w="0" w:type="auto"/>
          </w:tcPr>
          <w:p w14:paraId="0945BDA3" w14:textId="77777777" w:rsidR="003677D2" w:rsidRDefault="00000000">
            <w:pPr>
              <w:pStyle w:val="Compact"/>
              <w:jc w:val="left"/>
            </w:pPr>
            <m:oMathPara>
              <m:oMath>
                <m:sSub>
                  <m:sSubPr>
                    <m:ctrlPr>
                      <w:rPr>
                        <w:rFonts w:ascii="Cambria Math" w:hAnsi="Cambria Math"/>
                      </w:rPr>
                    </m:ctrlPr>
                  </m:sSubPr>
                  <m:e>
                    <m:r>
                      <w:rPr>
                        <w:rFonts w:ascii="Cambria Math" w:hAnsi="Cambria Math"/>
                      </w:rPr>
                      <m:t>Θ</m:t>
                    </m:r>
                  </m:e>
                  <m:sub>
                    <m:r>
                      <w:rPr>
                        <w:rFonts w:ascii="Cambria Math" w:hAnsi="Cambria Math"/>
                      </w:rPr>
                      <m:t>γ</m:t>
                    </m:r>
                  </m:sub>
                </m:sSub>
              </m:oMath>
            </m:oMathPara>
          </w:p>
        </w:tc>
        <w:tc>
          <w:tcPr>
            <w:tcW w:w="0" w:type="auto"/>
          </w:tcPr>
          <w:p w14:paraId="0945BDA4" w14:textId="77777777" w:rsidR="003677D2" w:rsidRDefault="00D95A7A">
            <w:pPr>
              <w:pStyle w:val="Compact"/>
              <w:jc w:val="left"/>
            </w:pPr>
            <w:r>
              <w:t>Upper bound hyperparameter for BIKER prior distributions</w:t>
            </w:r>
          </w:p>
        </w:tc>
      </w:tr>
      <w:tr w:rsidR="003677D2" w14:paraId="0945BDA8" w14:textId="77777777">
        <w:tc>
          <w:tcPr>
            <w:tcW w:w="0" w:type="auto"/>
          </w:tcPr>
          <w:p w14:paraId="0945BDA6" w14:textId="77777777" w:rsidR="003677D2" w:rsidRDefault="00000000">
            <w:pPr>
              <w:pStyle w:val="Compact"/>
              <w:jc w:val="left"/>
            </w:pPr>
            <m:oMathPara>
              <m:oMath>
                <m:sSub>
                  <m:sSubPr>
                    <m:ctrlPr>
                      <w:rPr>
                        <w:rFonts w:ascii="Cambria Math" w:hAnsi="Cambria Math"/>
                      </w:rPr>
                    </m:ctrlPr>
                  </m:sSubPr>
                  <m:e>
                    <m:r>
                      <w:rPr>
                        <w:rFonts w:ascii="Cambria Math" w:hAnsi="Cambria Math"/>
                      </w:rPr>
                      <m:t>Θ</m:t>
                    </m:r>
                  </m:e>
                  <m:sub>
                    <m:r>
                      <w:rPr>
                        <w:rFonts w:ascii="Cambria Math" w:hAnsi="Cambria Math"/>
                      </w:rPr>
                      <m:t>λ</m:t>
                    </m:r>
                  </m:sub>
                </m:sSub>
              </m:oMath>
            </m:oMathPara>
          </w:p>
        </w:tc>
        <w:tc>
          <w:tcPr>
            <w:tcW w:w="0" w:type="auto"/>
          </w:tcPr>
          <w:p w14:paraId="0945BDA7" w14:textId="77777777" w:rsidR="003677D2" w:rsidRDefault="00D95A7A">
            <w:pPr>
              <w:pStyle w:val="Compact"/>
              <w:jc w:val="left"/>
            </w:pPr>
            <w:r>
              <w:t>Lower bound hyperparameter for BIKER prior distributions</w:t>
            </w:r>
          </w:p>
        </w:tc>
      </w:tr>
      <w:tr w:rsidR="003677D2" w14:paraId="0945BDAB" w14:textId="77777777">
        <w:tc>
          <w:tcPr>
            <w:tcW w:w="0" w:type="auto"/>
          </w:tcPr>
          <w:p w14:paraId="0945BDA9" w14:textId="77777777" w:rsidR="003677D2" w:rsidRDefault="00000000">
            <w:pPr>
              <w:pStyle w:val="Compact"/>
              <w:jc w:val="left"/>
            </w:pPr>
            <m:oMathPara>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m:oMathPara>
          </w:p>
        </w:tc>
        <w:tc>
          <w:tcPr>
            <w:tcW w:w="0" w:type="auto"/>
          </w:tcPr>
          <w:p w14:paraId="0945BDAA" w14:textId="77777777" w:rsidR="003677D2" w:rsidRDefault="00D95A7A">
            <w:pPr>
              <w:pStyle w:val="Compact"/>
              <w:jc w:val="left"/>
            </w:pPr>
            <w:r>
              <w:t>‘Uncertainty’ hyperparameter for BIKER likelihood distribution</w:t>
            </w:r>
          </w:p>
        </w:tc>
      </w:tr>
      <w:tr w:rsidR="003677D2" w14:paraId="0945BDAE" w14:textId="77777777">
        <w:tc>
          <w:tcPr>
            <w:tcW w:w="0" w:type="auto"/>
          </w:tcPr>
          <w:p w14:paraId="0945BDAC" w14:textId="77777777" w:rsidR="003677D2" w:rsidRDefault="00000000">
            <w:pPr>
              <w:pStyle w:val="Compact"/>
              <w:jc w:val="left"/>
            </w:pPr>
            <m:oMathPara>
              <m:oMath>
                <m:sSub>
                  <m:sSubPr>
                    <m:ctrlPr>
                      <w:rPr>
                        <w:rFonts w:ascii="Cambria Math" w:hAnsi="Cambria Math"/>
                      </w:rPr>
                    </m:ctrlPr>
                  </m:sSubPr>
                  <m:e>
                    <m:r>
                      <w:rPr>
                        <w:rFonts w:ascii="Cambria Math" w:hAnsi="Cambria Math"/>
                      </w:rPr>
                      <m:t>α</m:t>
                    </m:r>
                  </m:e>
                  <m:sub>
                    <m:r>
                      <w:rPr>
                        <w:rFonts w:ascii="Cambria Math" w:hAnsi="Cambria Math"/>
                      </w:rPr>
                      <m:t>n</m:t>
                    </m:r>
                  </m:sub>
                </m:sSub>
              </m:oMath>
            </m:oMathPara>
          </w:p>
        </w:tc>
        <w:tc>
          <w:tcPr>
            <w:tcW w:w="0" w:type="auto"/>
          </w:tcPr>
          <w:p w14:paraId="0945BDAD" w14:textId="77777777" w:rsidR="003677D2" w:rsidRDefault="00D95A7A">
            <w:pPr>
              <w:pStyle w:val="Compact"/>
              <w:jc w:val="left"/>
            </w:pPr>
            <w:r>
              <w:t>Coefficient parameter distributions for k600 scaling relations, where n = independent variable number</w:t>
            </w:r>
          </w:p>
        </w:tc>
      </w:tr>
      <w:tr w:rsidR="003677D2" w14:paraId="0945BDB1" w14:textId="77777777">
        <w:tc>
          <w:tcPr>
            <w:tcW w:w="0" w:type="auto"/>
          </w:tcPr>
          <w:p w14:paraId="0945BDAF" w14:textId="77777777" w:rsidR="003677D2" w:rsidRDefault="00000000">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0945BDB0" w14:textId="77777777" w:rsidR="003677D2" w:rsidRDefault="00D95A7A">
            <w:pPr>
              <w:pStyle w:val="Compact"/>
              <w:jc w:val="left"/>
            </w:pPr>
            <w:r>
              <w:t>Intercept parameter distribution for k600 scaling relations</w:t>
            </w:r>
          </w:p>
        </w:tc>
      </w:tr>
      <w:tr w:rsidR="003677D2" w14:paraId="0945BDB4" w14:textId="77777777">
        <w:tc>
          <w:tcPr>
            <w:tcW w:w="0" w:type="auto"/>
          </w:tcPr>
          <w:p w14:paraId="0945BDB2" w14:textId="77777777" w:rsidR="003677D2" w:rsidRDefault="00000000">
            <w:pPr>
              <w:pStyle w:val="Compact"/>
              <w:jc w:val="left"/>
            </w:pPr>
            <m:oMathPara>
              <m:oMath>
                <m:sSub>
                  <m:sSubPr>
                    <m:ctrlPr>
                      <w:rPr>
                        <w:rFonts w:ascii="Cambria Math" w:hAnsi="Cambria Math"/>
                      </w:rPr>
                    </m:ctrlPr>
                  </m:sSubPr>
                  <m:e>
                    <m:r>
                      <w:rPr>
                        <w:rFonts w:ascii="Cambria Math" w:hAnsi="Cambria Math"/>
                      </w:rPr>
                      <m:t>σ</m:t>
                    </m:r>
                  </m:e>
                  <m:sub>
                    <m:r>
                      <w:rPr>
                        <w:rFonts w:ascii="Cambria Math" w:hAnsi="Cambria Math"/>
                      </w:rPr>
                      <m:t>LM</m:t>
                    </m:r>
                  </m:sub>
                </m:sSub>
              </m:oMath>
            </m:oMathPara>
          </w:p>
        </w:tc>
        <w:tc>
          <w:tcPr>
            <w:tcW w:w="0" w:type="auto"/>
          </w:tcPr>
          <w:p w14:paraId="0945BDB3" w14:textId="77777777" w:rsidR="003677D2" w:rsidRDefault="00D95A7A">
            <w:pPr>
              <w:pStyle w:val="Compact"/>
              <w:jc w:val="left"/>
            </w:pPr>
            <w:r>
              <w:t>Uncertainty parameter distribution for k600 scaling relations</w:t>
            </w:r>
          </w:p>
        </w:tc>
      </w:tr>
    </w:tbl>
    <w:p w14:paraId="0945BDB5" w14:textId="77777777" w:rsidR="003677D2" w:rsidRDefault="00D95A7A">
      <w:pPr>
        <w:pStyle w:val="Heading2"/>
      </w:pPr>
      <w:bookmarkStart w:id="27" w:name="references"/>
      <w:bookmarkEnd w:id="26"/>
      <w:r>
        <w:t>References</w:t>
      </w:r>
    </w:p>
    <w:p w14:paraId="0945BDB6" w14:textId="77777777" w:rsidR="003677D2" w:rsidRDefault="00D95A7A">
      <w:pPr>
        <w:pStyle w:val="Bibliography"/>
      </w:pPr>
      <w:bookmarkStart w:id="28" w:name="Xe367fd6cb00c1441faaeb81e1927324fe976092"/>
      <w:bookmarkStart w:id="29" w:name="refs"/>
      <w:r>
        <w:t xml:space="preserve">Aho, K. S., &amp; Raymond, P. A. (2019). Differential Response of Greenhouse Gas Evasion to Storms in Forested and Wetland Streams. </w:t>
      </w:r>
      <w:r>
        <w:rPr>
          <w:i/>
          <w:iCs/>
        </w:rPr>
        <w:t>Journal of Geophysical Research: Biogeosciences</w:t>
      </w:r>
      <w:r>
        <w:t xml:space="preserve">, </w:t>
      </w:r>
      <w:r>
        <w:rPr>
          <w:i/>
          <w:iCs/>
        </w:rPr>
        <w:t>124</w:t>
      </w:r>
      <w:r>
        <w:t xml:space="preserve">(3), 649–662. </w:t>
      </w:r>
      <w:hyperlink r:id="rId26">
        <w:r>
          <w:rPr>
            <w:rStyle w:val="Hyperlink"/>
          </w:rPr>
          <w:t>https://doi.org/10.1029/2018JG004750</w:t>
        </w:r>
      </w:hyperlink>
    </w:p>
    <w:p w14:paraId="0945BDB7" w14:textId="77777777" w:rsidR="003677D2" w:rsidRDefault="00D95A7A">
      <w:pPr>
        <w:pStyle w:val="Bibliography"/>
      </w:pPr>
      <w:bookmarkStart w:id="30" w:name="X465466661decc8b1d0d7dc416ddf7b6c51f10d0"/>
      <w:bookmarkEnd w:id="28"/>
      <w:r>
        <w:lastRenderedPageBreak/>
        <w:t xml:space="preserve">Aho, K. S., Fair, J. H., Hosen, J. D., Kyzivat, E. D., Logozzo, L. A., Rocher-Ros, G., et al. (2021). Distinct concentration-discharge dynamics in temperate streams and rivers: CO2 exhibits chemostasis while CH4 exhibits source limitation due to temperature control. </w:t>
      </w:r>
      <w:r>
        <w:rPr>
          <w:i/>
          <w:iCs/>
        </w:rPr>
        <w:t>Limnology and Oceanography</w:t>
      </w:r>
      <w:r>
        <w:t xml:space="preserve">, </w:t>
      </w:r>
      <w:r>
        <w:rPr>
          <w:i/>
          <w:iCs/>
        </w:rPr>
        <w:t>66</w:t>
      </w:r>
      <w:r>
        <w:t xml:space="preserve">(10), 3656–3668. </w:t>
      </w:r>
      <w:hyperlink r:id="rId27">
        <w:r>
          <w:rPr>
            <w:rStyle w:val="Hyperlink"/>
          </w:rPr>
          <w:t>https://doi.org/10.1002/lno.11906</w:t>
        </w:r>
      </w:hyperlink>
    </w:p>
    <w:p w14:paraId="0945BDB8" w14:textId="77777777" w:rsidR="003677D2" w:rsidRDefault="00D95A7A">
      <w:pPr>
        <w:pStyle w:val="Bibliography"/>
      </w:pPr>
      <w:bookmarkStart w:id="31" w:name="ref-alinPhysicalControlsCarbon2011"/>
      <w:bookmarkEnd w:id="30"/>
      <w:r>
        <w:t xml:space="preserve">Alin, S. R., Rasera, M. de F. F. L., Salimon, C. I., Richey, J. E., Holtgrieve, G. W., Krusche, A. V., &amp; Snidvongs, A. (2011). Physical controls on carbon dioxide transfer velocity and flux in low-gradient river systems and implications for regional carbon budgets. </w:t>
      </w:r>
      <w:r>
        <w:rPr>
          <w:i/>
          <w:iCs/>
        </w:rPr>
        <w:t>Journal of Geophysical Research: Biogeosciences</w:t>
      </w:r>
      <w:r>
        <w:t xml:space="preserve">, </w:t>
      </w:r>
      <w:r>
        <w:rPr>
          <w:i/>
          <w:iCs/>
        </w:rPr>
        <w:t>116</w:t>
      </w:r>
      <w:r>
        <w:t>(G1). https://doi.org/</w:t>
      </w:r>
      <w:hyperlink r:id="rId28">
        <w:r>
          <w:rPr>
            <w:rStyle w:val="Hyperlink"/>
          </w:rPr>
          <w:t>https://doi.org/10.1029/2010JG001398</w:t>
        </w:r>
      </w:hyperlink>
    </w:p>
    <w:p w14:paraId="0945BDB9" w14:textId="77777777" w:rsidR="003677D2" w:rsidRDefault="00D95A7A">
      <w:pPr>
        <w:pStyle w:val="Bibliography"/>
      </w:pPr>
      <w:bookmarkStart w:id="32" w:name="ref-allenTimingLandsatOverpasses2020"/>
      <w:bookmarkEnd w:id="31"/>
      <w:r>
        <w:t xml:space="preserve">Allen, G. H., Yang, X., Gardner, J., Holliman, J., David, C. H., &amp; Ross, M. (2020). Timing of Landsat Overpasses Effectively Captures Flow Conditions of Large Rivers. </w:t>
      </w:r>
      <w:r>
        <w:rPr>
          <w:i/>
          <w:iCs/>
        </w:rPr>
        <w:t>Remote Sensing</w:t>
      </w:r>
      <w:r>
        <w:t xml:space="preserve">, </w:t>
      </w:r>
      <w:r>
        <w:rPr>
          <w:i/>
          <w:iCs/>
        </w:rPr>
        <w:t>12</w:t>
      </w:r>
      <w:r>
        <w:t xml:space="preserve">(9), 1510. </w:t>
      </w:r>
      <w:hyperlink r:id="rId29">
        <w:r>
          <w:rPr>
            <w:rStyle w:val="Hyperlink"/>
          </w:rPr>
          <w:t>https://doi.org/10.3390/rs12091510</w:t>
        </w:r>
      </w:hyperlink>
    </w:p>
    <w:p w14:paraId="0945BDBA" w14:textId="77777777" w:rsidR="003677D2" w:rsidRDefault="00D95A7A">
      <w:pPr>
        <w:pStyle w:val="Bibliography"/>
      </w:pPr>
      <w:bookmarkStart w:id="33" w:name="ref-altenauSurfaceWaterOcean2021"/>
      <w:bookmarkEnd w:id="32"/>
      <w:r>
        <w:t xml:space="preserve">Altenau, E. H., Pavelsky, T. M., Durand, M. T., Yang, X., Frasson,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0">
        <w:r>
          <w:rPr>
            <w:rStyle w:val="Hyperlink"/>
          </w:rPr>
          <w:t>https://doi.org/10.1029/2021WR030054</w:t>
        </w:r>
      </w:hyperlink>
    </w:p>
    <w:p w14:paraId="0945BDBB" w14:textId="77777777" w:rsidR="003677D2" w:rsidRDefault="00D95A7A">
      <w:pPr>
        <w:pStyle w:val="Bibliography"/>
      </w:pPr>
      <w:bookmarkStart w:id="34" w:name="X3f43462459b729b7766127d4de3034c5e406105"/>
      <w:bookmarkEnd w:id="33"/>
      <w:r>
        <w:t xml:space="preserve">Andreadis, K. M., Brinkerhoff, C. B., &amp; Gleason, C. J. (2020). Constraining the assimilation of SWOT observations with hydraulic geometry relations. </w:t>
      </w:r>
      <w:r>
        <w:rPr>
          <w:i/>
          <w:iCs/>
        </w:rPr>
        <w:t>Water Resources Research</w:t>
      </w:r>
      <w:r>
        <w:t xml:space="preserve">. </w:t>
      </w:r>
      <w:hyperlink r:id="rId31">
        <w:r>
          <w:rPr>
            <w:rStyle w:val="Hyperlink"/>
          </w:rPr>
          <w:t>https://doi.org/10.1029/2019WR026611</w:t>
        </w:r>
      </w:hyperlink>
    </w:p>
    <w:p w14:paraId="0945BDBC" w14:textId="77777777" w:rsidR="003677D2" w:rsidRDefault="00D95A7A">
      <w:pPr>
        <w:pStyle w:val="Bibliography"/>
      </w:pPr>
      <w:bookmarkStart w:id="35" w:name="Xac350d38015694cd0350539d77080e5042ebd3d"/>
      <w:bookmarkEnd w:id="34"/>
      <w:r>
        <w:t xml:space="preserve">Appling, A. P., Hall, R. O., Yackulic, C. B., &amp; Arroita, M. (2018). Overcoming Equifinality: Leveraging Long Time Series for Stream Metabolism Estimation. </w:t>
      </w:r>
      <w:r>
        <w:rPr>
          <w:i/>
          <w:iCs/>
        </w:rPr>
        <w:t xml:space="preserve">Journal of </w:t>
      </w:r>
      <w:r>
        <w:rPr>
          <w:i/>
          <w:iCs/>
        </w:rPr>
        <w:lastRenderedPageBreak/>
        <w:t>Geophysical Research: Biogeosciences</w:t>
      </w:r>
      <w:r>
        <w:t xml:space="preserve">, </w:t>
      </w:r>
      <w:r>
        <w:rPr>
          <w:i/>
          <w:iCs/>
        </w:rPr>
        <w:t>123</w:t>
      </w:r>
      <w:r>
        <w:t>(2), 624–645. https://doi.org/</w:t>
      </w:r>
      <w:hyperlink r:id="rId32">
        <w:r>
          <w:rPr>
            <w:rStyle w:val="Hyperlink"/>
          </w:rPr>
          <w:t>https://doi.org/10.1002/2017JG004140</w:t>
        </w:r>
      </w:hyperlink>
    </w:p>
    <w:p w14:paraId="0945BDBD" w14:textId="77777777" w:rsidR="003677D2" w:rsidRDefault="00D95A7A">
      <w:pPr>
        <w:pStyle w:val="Bibliography"/>
      </w:pPr>
      <w:bookmarkStart w:id="36" w:name="ref-beaulieuControlsGasTransfer2012"/>
      <w:bookmarkEnd w:id="35"/>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33">
        <w:r>
          <w:rPr>
            <w:rStyle w:val="Hyperlink"/>
          </w:rPr>
          <w:t>https://doi.org/10.1029/2011JG001794</w:t>
        </w:r>
      </w:hyperlink>
    </w:p>
    <w:p w14:paraId="0945BDBE" w14:textId="77777777" w:rsidR="003677D2" w:rsidRDefault="00D95A7A">
      <w:pPr>
        <w:pStyle w:val="Bibliography"/>
      </w:pPr>
      <w:bookmarkStart w:id="37" w:name="ref-biancamariaSWOTMissionIts2016"/>
      <w:bookmarkEnd w:id="36"/>
      <w:r>
        <w:t xml:space="preserve">Biancamaria,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4">
        <w:r>
          <w:rPr>
            <w:rStyle w:val="Hyperlink"/>
          </w:rPr>
          <w:t>https://doi.org/10.1007/978-3-319-32449-4_6</w:t>
        </w:r>
      </w:hyperlink>
    </w:p>
    <w:p w14:paraId="0945BDBF" w14:textId="77777777" w:rsidR="003677D2" w:rsidRDefault="00D95A7A">
      <w:pPr>
        <w:pStyle w:val="Bibliography"/>
      </w:pPr>
      <w:bookmarkStart w:id="38" w:name="Xbbaacf312c3b2ac2225c29062e99b1285b75b5d"/>
      <w:bookmarkEnd w:id="37"/>
      <w:r>
        <w:t xml:space="preserve">Borges, A. V., Darchambeau, F., Teodoru, C. R., Marwick, T. R., Tamooh, F., Geeraert, N., et al. (2015). Globally significant greenhouse-gas emissions from African inland waters. </w:t>
      </w:r>
      <w:r>
        <w:rPr>
          <w:i/>
          <w:iCs/>
        </w:rPr>
        <w:t>Nature Geoscience</w:t>
      </w:r>
      <w:r>
        <w:t xml:space="preserve">, </w:t>
      </w:r>
      <w:r>
        <w:rPr>
          <w:i/>
          <w:iCs/>
        </w:rPr>
        <w:t>8</w:t>
      </w:r>
      <w:r>
        <w:t xml:space="preserve">(8), 637–642. </w:t>
      </w:r>
      <w:hyperlink r:id="rId35">
        <w:r>
          <w:rPr>
            <w:rStyle w:val="Hyperlink"/>
          </w:rPr>
          <w:t>https://doi.org/10.1038/ngeo2486</w:t>
        </w:r>
      </w:hyperlink>
    </w:p>
    <w:p w14:paraId="0945BDC0" w14:textId="77777777" w:rsidR="003677D2" w:rsidRDefault="00D95A7A">
      <w:pPr>
        <w:pStyle w:val="Bibliography"/>
      </w:pPr>
      <w:bookmarkStart w:id="39" w:name="X1a76598ca511f3330c42372d0336b7d2eb8a399"/>
      <w:bookmarkEnd w:id="38"/>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6">
        <w:r>
          <w:rPr>
            <w:rStyle w:val="Hyperlink"/>
          </w:rPr>
          <w:t>https://doi.org/10.1029/2019GL084529</w:t>
        </w:r>
      </w:hyperlink>
    </w:p>
    <w:p w14:paraId="0945BDC1" w14:textId="77777777" w:rsidR="003677D2" w:rsidRDefault="00D95A7A">
      <w:pPr>
        <w:pStyle w:val="Bibliography"/>
      </w:pPr>
      <w:bookmarkStart w:id="40" w:name="Xdbd54ef9038a6546bc878e25d0471ceeef59cc0"/>
      <w:bookmarkEnd w:id="39"/>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37">
        <w:r>
          <w:rPr>
            <w:rStyle w:val="Hyperlink"/>
          </w:rPr>
          <w:t>https://doi.org/10.1029/2020WR027949</w:t>
        </w:r>
      </w:hyperlink>
    </w:p>
    <w:p w14:paraId="0945BDC2" w14:textId="77777777" w:rsidR="003677D2" w:rsidRDefault="00D95A7A">
      <w:pPr>
        <w:pStyle w:val="Bibliography"/>
      </w:pPr>
      <w:bookmarkStart w:id="41" w:name="ref-brinkerhoffLakeMorphometryRiver2021"/>
      <w:bookmarkEnd w:id="40"/>
      <w:r>
        <w:t xml:space="preserve">Brinkerhoff, C. B., Raymond, P. A., Maavara, T., Ishitsuka, Y., Aho, K. S., &amp; Gleason, C. J. (2021). Lake Morphometry and River Network Controls on Evasion of Terrestrially Sourced </w:t>
      </w:r>
      <w:r>
        <w:lastRenderedPageBreak/>
        <w:t xml:space="preserve">Headwater CO2. </w:t>
      </w:r>
      <w:r>
        <w:rPr>
          <w:i/>
          <w:iCs/>
        </w:rPr>
        <w:t>Geophysical Research Letters</w:t>
      </w:r>
      <w:r>
        <w:t xml:space="preserve">, </w:t>
      </w:r>
      <w:r>
        <w:rPr>
          <w:i/>
          <w:iCs/>
        </w:rPr>
        <w:t>48</w:t>
      </w:r>
      <w:r>
        <w:t>(1), e2020GL090068. https://doi.org/</w:t>
      </w:r>
      <w:hyperlink r:id="rId38">
        <w:r>
          <w:rPr>
            <w:rStyle w:val="Hyperlink"/>
          </w:rPr>
          <w:t>https://doi.org/10.1029/2020GL090068</w:t>
        </w:r>
      </w:hyperlink>
    </w:p>
    <w:p w14:paraId="0945BDC3" w14:textId="77777777" w:rsidR="003677D2" w:rsidRDefault="00D95A7A">
      <w:pPr>
        <w:pStyle w:val="Bibliography"/>
      </w:pPr>
      <w:bookmarkStart w:id="42" w:name="ref-brumerWaveRelatedReynoldsNumber2017"/>
      <w:bookmarkEnd w:id="41"/>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39">
        <w:r>
          <w:rPr>
            <w:rStyle w:val="Hyperlink"/>
          </w:rPr>
          <w:t>https://doi.org/10.1002/2017GL074979</w:t>
        </w:r>
      </w:hyperlink>
    </w:p>
    <w:p w14:paraId="0945BDC4" w14:textId="77777777" w:rsidR="003677D2" w:rsidRDefault="00D95A7A">
      <w:pPr>
        <w:pStyle w:val="Bibliography"/>
      </w:pPr>
      <w:bookmarkStart w:id="43" w:name="ref-calderbankContinuousPhaseHeat1961"/>
      <w:bookmarkEnd w:id="42"/>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0">
        <w:r>
          <w:rPr>
            <w:rStyle w:val="Hyperlink"/>
          </w:rPr>
          <w:t>https://doi.org/10.1016/0009-2509(61)87005-X</w:t>
        </w:r>
      </w:hyperlink>
    </w:p>
    <w:p w14:paraId="0945BDC5" w14:textId="77777777" w:rsidR="003677D2" w:rsidRDefault="00D95A7A">
      <w:pPr>
        <w:pStyle w:val="Bibliography"/>
      </w:pPr>
      <w:bookmarkStart w:id="44" w:name="Xa3e9367adcd5dee389f99f86aad7b66314e7a15"/>
      <w:bookmarkEnd w:id="43"/>
      <w:r>
        <w:t xml:space="preserve">Churchill, M. A., Elmore, H. L., &amp; Buckingham, R. A. (1964). The Prediction of Stream Reaeration Rates. In B. A. Southgate (Ed.), </w:t>
      </w:r>
      <w:r>
        <w:rPr>
          <w:i/>
          <w:iCs/>
        </w:rPr>
        <w:t>Advances in Water Pollution Research</w:t>
      </w:r>
      <w:r>
        <w:t xml:space="preserve"> (pp. 89–136). Pergamon. </w:t>
      </w:r>
      <w:hyperlink r:id="rId41">
        <w:r>
          <w:rPr>
            <w:rStyle w:val="Hyperlink"/>
          </w:rPr>
          <w:t>https://doi.org/10.1016/B978-1-4832-8391-3.50015-4</w:t>
        </w:r>
      </w:hyperlink>
    </w:p>
    <w:p w14:paraId="0945BDC6" w14:textId="77777777" w:rsidR="003677D2" w:rsidRDefault="00D95A7A">
      <w:pPr>
        <w:pStyle w:val="Bibliography"/>
      </w:pPr>
      <w:bookmarkStart w:id="45" w:name="ref-colePlumbingGlobalCarbon2007"/>
      <w:bookmarkEnd w:id="44"/>
      <w:r>
        <w:t xml:space="preserve">Cole, J. J., Prairie, Y. T., Caraco, N. F., McDowell, W. H., Tranvik,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2">
        <w:r>
          <w:rPr>
            <w:rStyle w:val="Hyperlink"/>
          </w:rPr>
          <w:t>https://doi.org/10.1007/s10021-006-9013-8</w:t>
        </w:r>
      </w:hyperlink>
    </w:p>
    <w:p w14:paraId="0945BDC7" w14:textId="77777777" w:rsidR="003677D2" w:rsidRDefault="00D95A7A">
      <w:pPr>
        <w:pStyle w:val="Bibliography"/>
      </w:pPr>
      <w:bookmarkStart w:id="46" w:name="ref-crawfordCO2TimeSeries2017"/>
      <w:bookmarkEnd w:id="45"/>
      <w:r>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3">
        <w:r>
          <w:rPr>
            <w:rStyle w:val="Hyperlink"/>
          </w:rPr>
          <w:t>https://doi.org/10.1007/s00027-016-0511-2</w:t>
        </w:r>
      </w:hyperlink>
    </w:p>
    <w:p w14:paraId="0945BDC8" w14:textId="77777777" w:rsidR="003677D2" w:rsidRDefault="00D95A7A">
      <w:pPr>
        <w:pStyle w:val="Bibliography"/>
      </w:pPr>
      <w:bookmarkStart w:id="47" w:name="Xc749cfb8cc4c1b149d35ee13c0395d9e57afca6"/>
      <w:bookmarkEnd w:id="46"/>
      <w:r>
        <w:t xml:space="preserve">Durand, M. T., Neal, J., Rodríguez, E., Andreadis, K. M., Smith, L. C., &amp; Yoon, Y. (2014). Estimating reach-averaged discharge for the River Severn from measurements of river water </w:t>
      </w:r>
      <w:r>
        <w:lastRenderedPageBreak/>
        <w:t xml:space="preserve">surface elevation and slope. </w:t>
      </w:r>
      <w:r>
        <w:rPr>
          <w:i/>
          <w:iCs/>
        </w:rPr>
        <w:t>Journal of Hydrology</w:t>
      </w:r>
      <w:r>
        <w:t xml:space="preserve">, </w:t>
      </w:r>
      <w:r>
        <w:rPr>
          <w:i/>
          <w:iCs/>
        </w:rPr>
        <w:t>511</w:t>
      </w:r>
      <w:r>
        <w:t xml:space="preserve">, 92–104. </w:t>
      </w:r>
      <w:hyperlink r:id="rId44">
        <w:r>
          <w:rPr>
            <w:rStyle w:val="Hyperlink"/>
          </w:rPr>
          <w:t>https://doi.org/10.1016/j.jhydrol.2013.12.050</w:t>
        </w:r>
      </w:hyperlink>
    </w:p>
    <w:p w14:paraId="0945BDC9" w14:textId="77777777" w:rsidR="003677D2" w:rsidRDefault="00D95A7A">
      <w:pPr>
        <w:pStyle w:val="Bibliography"/>
      </w:pPr>
      <w:bookmarkStart w:id="48" w:name="X3ce31a8f5e08162768843120ddd33afff9a1ba0"/>
      <w:bookmarkEnd w:id="47"/>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5">
        <w:r>
          <w:rPr>
            <w:rStyle w:val="Hyperlink"/>
          </w:rPr>
          <w:t>https://doi.org/10.1002/2015WR018434</w:t>
        </w:r>
      </w:hyperlink>
    </w:p>
    <w:p w14:paraId="0945BDCA" w14:textId="77777777" w:rsidR="003677D2" w:rsidRDefault="00D95A7A">
      <w:pPr>
        <w:pStyle w:val="Bibliography"/>
      </w:pPr>
      <w:bookmarkStart w:id="49" w:name="ref-durandHowWillRadar2020"/>
      <w:bookmarkEnd w:id="48"/>
      <w:r>
        <w:t xml:space="preserve">Durand, M. T., Chen, C., Moraes Frasson,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46">
        <w:r>
          <w:rPr>
            <w:rStyle w:val="Hyperlink"/>
          </w:rPr>
          <w:t>https://doi.org/10.1016/j.rse.2020.111883</w:t>
        </w:r>
      </w:hyperlink>
    </w:p>
    <w:p w14:paraId="0945BDCB" w14:textId="77777777" w:rsidR="003677D2" w:rsidRDefault="00D95A7A">
      <w:pPr>
        <w:pStyle w:val="Bibliography"/>
      </w:pPr>
      <w:bookmarkStart w:id="50" w:name="ref-fengRecentChangesArctic2021"/>
      <w:bookmarkEnd w:id="49"/>
      <w:r>
        <w:t xml:space="preserve">Feng, D., Gleason, C. J., Lin, P., Yang, X., Pan, M., &amp; Ishitsuka, Y. (2021). Recent changes to Arctic river discharge. </w:t>
      </w:r>
      <w:r>
        <w:rPr>
          <w:i/>
          <w:iCs/>
        </w:rPr>
        <w:t>Nature Communications</w:t>
      </w:r>
      <w:r>
        <w:t xml:space="preserve">, </w:t>
      </w:r>
      <w:r>
        <w:rPr>
          <w:i/>
          <w:iCs/>
        </w:rPr>
        <w:t>12</w:t>
      </w:r>
      <w:r>
        <w:t xml:space="preserve">(1), 6917. </w:t>
      </w:r>
      <w:hyperlink r:id="rId47">
        <w:r>
          <w:rPr>
            <w:rStyle w:val="Hyperlink"/>
          </w:rPr>
          <w:t>https://doi.org/10.1038/s41467-021-27228-1</w:t>
        </w:r>
      </w:hyperlink>
    </w:p>
    <w:p w14:paraId="0945BDCC" w14:textId="77777777" w:rsidR="003677D2" w:rsidRDefault="00D95A7A">
      <w:pPr>
        <w:pStyle w:val="Bibliography"/>
      </w:pPr>
      <w:bookmarkStart w:id="51" w:name="X9be29eb630d4c00a21328a957102a710eabca70"/>
      <w:bookmarkEnd w:id="50"/>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48">
        <w:r>
          <w:rPr>
            <w:rStyle w:val="Hyperlink"/>
          </w:rPr>
          <w:t>https://doi.org/10.1029/2020WR028519</w:t>
        </w:r>
      </w:hyperlink>
    </w:p>
    <w:p w14:paraId="0945BDCD" w14:textId="77777777" w:rsidR="003677D2" w:rsidRDefault="00D95A7A">
      <w:pPr>
        <w:pStyle w:val="Bibliography"/>
      </w:pPr>
      <w:bookmarkStart w:id="52" w:name="Xa8994f4454fb7590a0c3de19e6a7dd8fbd5a11c"/>
      <w:bookmarkEnd w:id="51"/>
      <w:r>
        <w:t xml:space="preserve">Garambois, P.-A., Calmant, S., Roux, H., Paris, A., Monnier, J., Finaud-Guyot, P., et al. (2017). Hydraulic visibility: Using satellite altimetry to parameterize a hydraulic model of an </w:t>
      </w:r>
      <w:r>
        <w:lastRenderedPageBreak/>
        <w:t xml:space="preserve">ungauged reach of a braided river. </w:t>
      </w:r>
      <w:r>
        <w:rPr>
          <w:i/>
          <w:iCs/>
        </w:rPr>
        <w:t>Hydrological Processes</w:t>
      </w:r>
      <w:r>
        <w:t xml:space="preserve">, </w:t>
      </w:r>
      <w:r>
        <w:rPr>
          <w:i/>
          <w:iCs/>
        </w:rPr>
        <w:t>31</w:t>
      </w:r>
      <w:r>
        <w:t xml:space="preserve">(4), 756–767. </w:t>
      </w:r>
      <w:hyperlink r:id="rId49">
        <w:r>
          <w:rPr>
            <w:rStyle w:val="Hyperlink"/>
          </w:rPr>
          <w:t>https://doi.org/10.1002/hyp.11033</w:t>
        </w:r>
      </w:hyperlink>
    </w:p>
    <w:p w14:paraId="0945BDCE" w14:textId="77777777" w:rsidR="003677D2" w:rsidRDefault="00D95A7A">
      <w:pPr>
        <w:pStyle w:val="Bibliography"/>
      </w:pPr>
      <w:bookmarkStart w:id="53" w:name="ref-gelmanRsquaredBayesianRegression2019"/>
      <w:bookmarkEnd w:id="52"/>
      <w:r>
        <w:t xml:space="preserve">Gelman, A., Goodrich, B., Gabry, J., &amp; Vehtari, A. (2019). R-squared for Bayesian Regression Models. </w:t>
      </w:r>
      <w:r>
        <w:rPr>
          <w:i/>
          <w:iCs/>
        </w:rPr>
        <w:t>The American Statistician</w:t>
      </w:r>
      <w:r>
        <w:t xml:space="preserve">, </w:t>
      </w:r>
      <w:r>
        <w:rPr>
          <w:i/>
          <w:iCs/>
        </w:rPr>
        <w:t>73</w:t>
      </w:r>
      <w:r>
        <w:t xml:space="preserve">(3), 307–309. </w:t>
      </w:r>
      <w:hyperlink r:id="rId50">
        <w:r>
          <w:rPr>
            <w:rStyle w:val="Hyperlink"/>
          </w:rPr>
          <w:t>https://doi.org/10.1080/00031305.2018.1549100</w:t>
        </w:r>
      </w:hyperlink>
    </w:p>
    <w:p w14:paraId="0945BDCF" w14:textId="77777777" w:rsidR="003677D2" w:rsidRDefault="00D95A7A">
      <w:pPr>
        <w:pStyle w:val="Bibliography"/>
      </w:pPr>
      <w:bookmarkStart w:id="54" w:name="ref-gleasonHydraulicGeometryNatural2015"/>
      <w:bookmarkEnd w:id="53"/>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1">
        <w:r>
          <w:rPr>
            <w:rStyle w:val="Hyperlink"/>
          </w:rPr>
          <w:t>https://doi.org/10.1177/0309133314567584</w:t>
        </w:r>
      </w:hyperlink>
    </w:p>
    <w:p w14:paraId="0945BDD0" w14:textId="77777777" w:rsidR="003677D2" w:rsidRDefault="00D95A7A">
      <w:pPr>
        <w:pStyle w:val="Bibliography"/>
      </w:pPr>
      <w:bookmarkStart w:id="55" w:name="ref-gleasonTrackingRiverFlows2017"/>
      <w:bookmarkEnd w:id="54"/>
      <w:r>
        <w:t xml:space="preserve">Gleason, C. J., Garambois, P.-A., &amp; Durand, M. T. (2017). Tracking River Flows from Space. </w:t>
      </w:r>
      <w:r>
        <w:rPr>
          <w:i/>
          <w:iCs/>
        </w:rPr>
        <w:t>Eos</w:t>
      </w:r>
      <w:r>
        <w:t xml:space="preserve">. </w:t>
      </w:r>
      <w:hyperlink r:id="rId52">
        <w:r>
          <w:rPr>
            <w:rStyle w:val="Hyperlink"/>
          </w:rPr>
          <w:t>https://doi.org/10.1029/2017EO078085</w:t>
        </w:r>
      </w:hyperlink>
    </w:p>
    <w:p w14:paraId="0945BDD1" w14:textId="77777777" w:rsidR="003677D2" w:rsidRDefault="00D95A7A">
      <w:pPr>
        <w:pStyle w:val="Bibliography"/>
      </w:pPr>
      <w:bookmarkStart w:id="56" w:name="ref-gruberOceanicSinkAnthropogenic2019"/>
      <w:bookmarkEnd w:id="55"/>
      <w:r>
        <w:t xml:space="preserve">Gruber, N., Clement, D., Carter, B. R., Feely, R. A., Heuven, S. van, Hoppema, M., et al. (2019). The oceanic sink for anthropogenic CO2 from 1994 to 2007. </w:t>
      </w:r>
      <w:r>
        <w:rPr>
          <w:i/>
          <w:iCs/>
        </w:rPr>
        <w:t>Science</w:t>
      </w:r>
      <w:r>
        <w:t xml:space="preserve">, </w:t>
      </w:r>
      <w:r>
        <w:rPr>
          <w:i/>
          <w:iCs/>
        </w:rPr>
        <w:t>363</w:t>
      </w:r>
      <w:r>
        <w:t xml:space="preserve">(6432), 1193–1199. </w:t>
      </w:r>
      <w:hyperlink r:id="rId53">
        <w:r>
          <w:rPr>
            <w:rStyle w:val="Hyperlink"/>
          </w:rPr>
          <w:t>https://doi.org/10.1126/science.aau5153</w:t>
        </w:r>
      </w:hyperlink>
    </w:p>
    <w:p w14:paraId="0945BDD2" w14:textId="77777777" w:rsidR="003677D2" w:rsidRDefault="00D95A7A">
      <w:pPr>
        <w:pStyle w:val="Bibliography"/>
      </w:pPr>
      <w:bookmarkStart w:id="57" w:name="ref-hagemannBAMBayesianAMHGManning2017"/>
      <w:bookmarkEnd w:id="56"/>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54">
        <w:r>
          <w:rPr>
            <w:rStyle w:val="Hyperlink"/>
          </w:rPr>
          <w:t>https://doi.org/10.1002/2017WR021626</w:t>
        </w:r>
      </w:hyperlink>
    </w:p>
    <w:p w14:paraId="0945BDD3" w14:textId="77777777" w:rsidR="003677D2" w:rsidRDefault="00D95A7A">
      <w:pPr>
        <w:pStyle w:val="Bibliography"/>
      </w:pPr>
      <w:bookmarkStart w:id="58" w:name="ref-hallGasExchangeStreams2020"/>
      <w:bookmarkEnd w:id="57"/>
      <w:r>
        <w:t xml:space="preserve">Hall, R. O., &amp; Ulseth, A. J. (2020). Gas exchange in streams and rivers. </w:t>
      </w:r>
      <w:r>
        <w:rPr>
          <w:i/>
          <w:iCs/>
        </w:rPr>
        <w:t>WIREs Water</w:t>
      </w:r>
      <w:r>
        <w:t xml:space="preserve">, </w:t>
      </w:r>
      <w:r>
        <w:rPr>
          <w:i/>
          <w:iCs/>
        </w:rPr>
        <w:t>7</w:t>
      </w:r>
      <w:r>
        <w:t>(1), e1391. https://doi.org/</w:t>
      </w:r>
      <w:hyperlink r:id="rId55">
        <w:r>
          <w:rPr>
            <w:rStyle w:val="Hyperlink"/>
          </w:rPr>
          <w:t>https://doi.org/10.1002/wat2.1391</w:t>
        </w:r>
      </w:hyperlink>
    </w:p>
    <w:p w14:paraId="0945BDD4" w14:textId="77777777" w:rsidR="003677D2" w:rsidRDefault="00D95A7A">
      <w:pPr>
        <w:pStyle w:val="Bibliography"/>
      </w:pPr>
      <w:bookmarkStart w:id="59" w:name="ref-hallAirWaterOxygen2012"/>
      <w:bookmarkEnd w:id="58"/>
      <w:r>
        <w:lastRenderedPageBreak/>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56">
        <w:r>
          <w:rPr>
            <w:rStyle w:val="Hyperlink"/>
          </w:rPr>
          <w:t>https://doi.org/10.1215/21573689-1572535</w:t>
        </w:r>
      </w:hyperlink>
    </w:p>
    <w:p w14:paraId="0945BDD5" w14:textId="77777777" w:rsidR="003677D2" w:rsidRDefault="00D95A7A">
      <w:pPr>
        <w:pStyle w:val="Bibliography"/>
      </w:pPr>
      <w:bookmarkStart w:id="60" w:name="ref-hoffFirstCourseBayesian2009"/>
      <w:bookmarkEnd w:id="59"/>
      <w:r>
        <w:t xml:space="preserve">Hoff, P. D. (2009). </w:t>
      </w:r>
      <w:r>
        <w:rPr>
          <w:i/>
          <w:iCs/>
        </w:rPr>
        <w:t>A First Course in Bayesian Statistical Methods</w:t>
      </w:r>
      <w:r>
        <w:t>. New York: Springer.</w:t>
      </w:r>
    </w:p>
    <w:p w14:paraId="0945BDD6" w14:textId="77777777" w:rsidR="003677D2" w:rsidRDefault="00D95A7A">
      <w:pPr>
        <w:pStyle w:val="Bibliography"/>
      </w:pPr>
      <w:bookmarkStart w:id="61" w:name="ref-horgbyUnexpectedLargeEvasion2019"/>
      <w:bookmarkEnd w:id="60"/>
      <w:r>
        <w:t xml:space="preserve">Horgby, Å., Segatto, P. L., Bertuzzo, E., Lauerwald,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57">
        <w:r>
          <w:rPr>
            <w:rStyle w:val="Hyperlink"/>
          </w:rPr>
          <w:t>https://doi.org/10.1038/s41467-019-12905-z</w:t>
        </w:r>
      </w:hyperlink>
    </w:p>
    <w:p w14:paraId="0945BDD7" w14:textId="77777777" w:rsidR="003677D2" w:rsidRDefault="00D95A7A">
      <w:pPr>
        <w:pStyle w:val="Bibliography"/>
      </w:pPr>
      <w:bookmarkStart w:id="62" w:name="ref-ishitsukaCombiningOpticalRemote2020"/>
      <w:bookmarkEnd w:id="61"/>
      <w:r>
        <w:t xml:space="preserve">Ishitsuka, Y., Gleason, C. J., Hagemann, M. W., Beighley, E., Allen, G. H., Feng, D., et al. (2020). Combining optical remote sensing, McFLI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58">
        <w:r>
          <w:rPr>
            <w:rStyle w:val="Hyperlink"/>
          </w:rPr>
          <w:t>https://doi.org/10.1029/2020WR027794</w:t>
        </w:r>
      </w:hyperlink>
    </w:p>
    <w:p w14:paraId="0945BDD8" w14:textId="77777777" w:rsidR="003677D2" w:rsidRDefault="00D95A7A">
      <w:pPr>
        <w:pStyle w:val="Bibliography"/>
      </w:pPr>
      <w:bookmarkStart w:id="63" w:name="ref-katulStructureFunctionModel2018"/>
      <w:bookmarkEnd w:id="62"/>
      <w:r>
        <w:t xml:space="preserve">Katul,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59">
        <w:r>
          <w:rPr>
            <w:rStyle w:val="Hyperlink"/>
          </w:rPr>
          <w:t>https://doi.org/10.1029/2018WR022731</w:t>
        </w:r>
      </w:hyperlink>
    </w:p>
    <w:p w14:paraId="0945BDD9" w14:textId="77777777" w:rsidR="003677D2" w:rsidRDefault="00D95A7A">
      <w:pPr>
        <w:pStyle w:val="Bibliography"/>
      </w:pPr>
      <w:bookmarkStart w:id="64" w:name="ref-knobenTechnicalNoteInherent2019"/>
      <w:bookmarkEnd w:id="63"/>
      <w:r>
        <w:t xml:space="preserve">Knoben,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0">
        <w:r>
          <w:rPr>
            <w:rStyle w:val="Hyperlink"/>
          </w:rPr>
          <w:t>https://doi.org/10.5194/hess-23-4323-2019</w:t>
        </w:r>
      </w:hyperlink>
    </w:p>
    <w:p w14:paraId="0945BDDA" w14:textId="77777777" w:rsidR="003677D2" w:rsidRDefault="00D95A7A">
      <w:pPr>
        <w:pStyle w:val="Bibliography"/>
      </w:pPr>
      <w:bookmarkStart w:id="65" w:name="ref-lamontEddyCellModel1970"/>
      <w:bookmarkEnd w:id="64"/>
      <w:r>
        <w:t xml:space="preserve">Lamont, J. C., &amp; Scott, D. S. (1970). An Eddy Cell Model of Mass Transfer into the Surface of a Turbulent Liquid. </w:t>
      </w:r>
      <w:r>
        <w:rPr>
          <w:i/>
          <w:iCs/>
        </w:rPr>
        <w:t>AIChE Journal</w:t>
      </w:r>
      <w:r>
        <w:t xml:space="preserve">, </w:t>
      </w:r>
      <w:r>
        <w:rPr>
          <w:i/>
          <w:iCs/>
        </w:rPr>
        <w:t>16</w:t>
      </w:r>
      <w:r>
        <w:t>(4), 513–519.</w:t>
      </w:r>
    </w:p>
    <w:p w14:paraId="0945BDDB" w14:textId="77777777" w:rsidR="003677D2" w:rsidRDefault="00D95A7A">
      <w:pPr>
        <w:pStyle w:val="Bibliography"/>
      </w:pPr>
      <w:bookmarkStart w:id="66" w:name="ref-lauerwaldSpatialPatternsCO22015"/>
      <w:bookmarkEnd w:id="65"/>
      <w:r>
        <w:lastRenderedPageBreak/>
        <w:t xml:space="preserve">Lauerwald, R., Laruelle, G. G., Hartmann, J., Ciais, P., &amp; Regnier, P. A. G. (2015). Spatial patterns in CO2 evasion from the global river network. </w:t>
      </w:r>
      <w:r>
        <w:rPr>
          <w:i/>
          <w:iCs/>
        </w:rPr>
        <w:t>Global Biogeochemical Cycles</w:t>
      </w:r>
      <w:r>
        <w:t xml:space="preserve">, </w:t>
      </w:r>
      <w:r>
        <w:rPr>
          <w:i/>
          <w:iCs/>
        </w:rPr>
        <w:t>29</w:t>
      </w:r>
      <w:r>
        <w:t xml:space="preserve">(5), 534–554. </w:t>
      </w:r>
      <w:hyperlink r:id="rId61">
        <w:r>
          <w:rPr>
            <w:rStyle w:val="Hyperlink"/>
          </w:rPr>
          <w:t>https://doi.org/10.1002/2014GB004941</w:t>
        </w:r>
      </w:hyperlink>
    </w:p>
    <w:p w14:paraId="0945BDDC" w14:textId="77777777" w:rsidR="003677D2" w:rsidRDefault="00D95A7A">
      <w:pPr>
        <w:pStyle w:val="Bibliography"/>
      </w:pPr>
      <w:bookmarkStart w:id="67" w:name="ref-leopoldHydraulicGeometryStream1953"/>
      <w:bookmarkEnd w:id="66"/>
      <w:r>
        <w:t xml:space="preserve">Leopold, L. B., &amp; Maddock, T. (1953). </w:t>
      </w:r>
      <w:r>
        <w:rPr>
          <w:i/>
          <w:iCs/>
        </w:rPr>
        <w:t>The Hydraulic Geometry of Stream Channels and Some Physiographic Implications</w:t>
      </w:r>
      <w:r>
        <w:t>. U.S. Government Printing Office.</w:t>
      </w:r>
    </w:p>
    <w:p w14:paraId="0945BDDD" w14:textId="77777777" w:rsidR="003677D2" w:rsidRDefault="00D95A7A">
      <w:pPr>
        <w:pStyle w:val="Bibliography"/>
      </w:pPr>
      <w:bookmarkStart w:id="68" w:name="ref-liuHydrologicControlsPCO22018"/>
      <w:bookmarkEnd w:id="67"/>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62">
        <w:r>
          <w:rPr>
            <w:rStyle w:val="Hyperlink"/>
          </w:rPr>
          <w:t>https://doi.org/10.1002/lol2.10095</w:t>
        </w:r>
      </w:hyperlink>
    </w:p>
    <w:p w14:paraId="0945BDDE" w14:textId="77777777" w:rsidR="003677D2" w:rsidRDefault="00D95A7A">
      <w:pPr>
        <w:pStyle w:val="Bibliography"/>
      </w:pPr>
      <w:bookmarkStart w:id="69" w:name="ref-liuImportanceHydrologyRouting2022"/>
      <w:bookmarkEnd w:id="68"/>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63">
        <w:r>
          <w:rPr>
            <w:rStyle w:val="Hyperlink"/>
          </w:rPr>
          <w:t>https://doi.org/10.1073/pnas.2106322119</w:t>
        </w:r>
      </w:hyperlink>
    </w:p>
    <w:p w14:paraId="0945BDDF" w14:textId="77777777" w:rsidR="003677D2" w:rsidRDefault="00D95A7A">
      <w:pPr>
        <w:pStyle w:val="Bibliography"/>
      </w:pPr>
      <w:bookmarkStart w:id="70" w:name="ref-lorkeUnifiedScalingRelation2006a"/>
      <w:bookmarkEnd w:id="69"/>
      <w:r>
        <w:t xml:space="preserve">Lorke, A., &amp; Peeters, F. (2006). Toward a Unified Scaling Relation for Interfacial Fluxes. </w:t>
      </w:r>
      <w:r>
        <w:rPr>
          <w:i/>
          <w:iCs/>
        </w:rPr>
        <w:t>Journal of Physical Oceanography</w:t>
      </w:r>
      <w:r>
        <w:t xml:space="preserve">, </w:t>
      </w:r>
      <w:r>
        <w:rPr>
          <w:i/>
          <w:iCs/>
        </w:rPr>
        <w:t>36</w:t>
      </w:r>
      <w:r>
        <w:t xml:space="preserve">(5), 955–961. </w:t>
      </w:r>
      <w:hyperlink r:id="rId64">
        <w:r>
          <w:rPr>
            <w:rStyle w:val="Hyperlink"/>
          </w:rPr>
          <w:t>https://doi.org/10.1175/JPO2903.1</w:t>
        </w:r>
      </w:hyperlink>
    </w:p>
    <w:p w14:paraId="0945BDE0" w14:textId="77777777" w:rsidR="003677D2" w:rsidRDefault="00D95A7A">
      <w:pPr>
        <w:pStyle w:val="Bibliography"/>
      </w:pPr>
      <w:bookmarkStart w:id="71" w:name="ref-moogAirWaterGasTransfer1999"/>
      <w:bookmarkEnd w:id="70"/>
      <w:r>
        <w:t xml:space="preserve">Moog, D. B., &amp; Jirka, G. H. (1999a). Air-Water Gas Transfer in Uniform Channel Flow. </w:t>
      </w:r>
      <w:r>
        <w:rPr>
          <w:i/>
          <w:iCs/>
        </w:rPr>
        <w:t>Journal of Hydraulic Engineering</w:t>
      </w:r>
      <w:r>
        <w:t xml:space="preserve">, </w:t>
      </w:r>
      <w:r>
        <w:rPr>
          <w:i/>
          <w:iCs/>
        </w:rPr>
        <w:t>125</w:t>
      </w:r>
      <w:r>
        <w:t xml:space="preserve">(1), 3–10. </w:t>
      </w:r>
      <w:hyperlink r:id="rId65">
        <w:r>
          <w:rPr>
            <w:rStyle w:val="Hyperlink"/>
          </w:rPr>
          <w:t>https://doi.org/10.1061/(ASCE)0733-9429(1999)125:1(3)</w:t>
        </w:r>
      </w:hyperlink>
    </w:p>
    <w:p w14:paraId="0945BDE1" w14:textId="77777777" w:rsidR="003677D2" w:rsidRDefault="00D95A7A">
      <w:pPr>
        <w:pStyle w:val="Bibliography"/>
      </w:pPr>
      <w:bookmarkStart w:id="72" w:name="ref-moogStreamReaerationNonuniform1999"/>
      <w:bookmarkEnd w:id="71"/>
      <w:r>
        <w:t xml:space="preserve">Moog, D. B., &amp; Jirka, G. H. (1999b). Stream Reaeration in Nonuniform Flow: Macroroughness Enhancement. </w:t>
      </w:r>
      <w:r>
        <w:rPr>
          <w:i/>
          <w:iCs/>
        </w:rPr>
        <w:t>Journal of Hydraulic Engineering</w:t>
      </w:r>
      <w:r>
        <w:t xml:space="preserve">, </w:t>
      </w:r>
      <w:r>
        <w:rPr>
          <w:i/>
          <w:iCs/>
        </w:rPr>
        <w:t>125</w:t>
      </w:r>
      <w:r>
        <w:t>(1), 6.</w:t>
      </w:r>
    </w:p>
    <w:p w14:paraId="0945BDE2" w14:textId="77777777" w:rsidR="003677D2" w:rsidRDefault="00D95A7A">
      <w:pPr>
        <w:pStyle w:val="Bibliography"/>
      </w:pPr>
      <w:bookmarkStart w:id="73" w:name="ref-owensReaerationStudiesStreams1964"/>
      <w:bookmarkEnd w:id="72"/>
      <w:r>
        <w:lastRenderedPageBreak/>
        <w:t xml:space="preserve">Owens, M., Edwards, R. W., &amp; Gibbs, J. W. (1964). Some reaeration studies in streams. </w:t>
      </w:r>
      <w:r>
        <w:rPr>
          <w:i/>
          <w:iCs/>
        </w:rPr>
        <w:t>Inter. J. Air Water Poll.</w:t>
      </w:r>
      <w:r>
        <w:t xml:space="preserve">, </w:t>
      </w:r>
      <w:r>
        <w:rPr>
          <w:i/>
          <w:iCs/>
        </w:rPr>
        <w:t>8</w:t>
      </w:r>
      <w:r>
        <w:t xml:space="preserve">, 469–486. Retrieved from </w:t>
      </w:r>
      <w:hyperlink r:id="rId66">
        <w:r>
          <w:rPr>
            <w:rStyle w:val="Hyperlink"/>
          </w:rPr>
          <w:t>https://ci.nii.ac.jp/naid/10025707421/</w:t>
        </w:r>
      </w:hyperlink>
    </w:p>
    <w:p w14:paraId="0945BDE3" w14:textId="77777777" w:rsidR="003677D2" w:rsidRDefault="00D95A7A">
      <w:pPr>
        <w:pStyle w:val="Bibliography"/>
      </w:pPr>
      <w:bookmarkStart w:id="74" w:name="ref-panLargePersistentCarbon2011"/>
      <w:bookmarkEnd w:id="73"/>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67">
        <w:r>
          <w:rPr>
            <w:rStyle w:val="Hyperlink"/>
          </w:rPr>
          <w:t>https://doi.org/10.1126/science.1201609</w:t>
        </w:r>
      </w:hyperlink>
    </w:p>
    <w:p w14:paraId="0945BDE4" w14:textId="77777777" w:rsidR="003677D2" w:rsidRDefault="00D95A7A">
      <w:pPr>
        <w:pStyle w:val="Bibliography"/>
      </w:pPr>
      <w:bookmarkStart w:id="75" w:name="ref-peterScalesDriversTemporal2014"/>
      <w:bookmarkEnd w:id="74"/>
      <w:r>
        <w:t xml:space="preserve">Peter, H., Singer, G. A., Preiler, C., Chifflard, P., Steniczka, G., &amp; Battin, T. J. (2014). Scales and drivers of temporal pCO2 dynamics in an Alpine stream. </w:t>
      </w:r>
      <w:r>
        <w:rPr>
          <w:i/>
          <w:iCs/>
        </w:rPr>
        <w:t>Journal of Geophysical Research: Biogeosciences</w:t>
      </w:r>
      <w:r>
        <w:t xml:space="preserve">, </w:t>
      </w:r>
      <w:r>
        <w:rPr>
          <w:i/>
          <w:iCs/>
        </w:rPr>
        <w:t>119</w:t>
      </w:r>
      <w:r>
        <w:t>(6), 1078–1091. https://doi.org/</w:t>
      </w:r>
      <w:hyperlink r:id="rId68">
        <w:r>
          <w:rPr>
            <w:rStyle w:val="Hyperlink"/>
          </w:rPr>
          <w:t>https://doi.org/10.1002/2013JG002552</w:t>
        </w:r>
      </w:hyperlink>
    </w:p>
    <w:p w14:paraId="0945BDE5" w14:textId="77777777" w:rsidR="003677D2" w:rsidRDefault="00D95A7A">
      <w:pPr>
        <w:pStyle w:val="Bibliography"/>
      </w:pPr>
      <w:bookmarkStart w:id="76" w:name="ref-ranDynamicsRiverineCO22017"/>
      <w:bookmarkEnd w:id="75"/>
      <w:r>
        <w:t xml:space="preserve">Ran, L., Lu, X. X., &amp; Liu, S. (2017). Dynamics of riverine CO2 in the Yangtze River fluvial network and their implications for carbon evasion. </w:t>
      </w:r>
      <w:r>
        <w:rPr>
          <w:i/>
          <w:iCs/>
        </w:rPr>
        <w:t>Biogeosciences</w:t>
      </w:r>
      <w:r>
        <w:t xml:space="preserve">, </w:t>
      </w:r>
      <w:r>
        <w:rPr>
          <w:i/>
          <w:iCs/>
        </w:rPr>
        <w:t>14</w:t>
      </w:r>
      <w:r>
        <w:t>, 2183–2198.</w:t>
      </w:r>
    </w:p>
    <w:p w14:paraId="0945BDE6" w14:textId="77777777" w:rsidR="003677D2" w:rsidRDefault="00D95A7A">
      <w:pPr>
        <w:pStyle w:val="Bibliography"/>
      </w:pPr>
      <w:bookmarkStart w:id="77" w:name="ref-raymondGasExchangeRivers2001"/>
      <w:bookmarkEnd w:id="76"/>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69">
        <w:r>
          <w:rPr>
            <w:rStyle w:val="Hyperlink"/>
          </w:rPr>
          <w:t>https://doi.org/10.2307/1352954</w:t>
        </w:r>
      </w:hyperlink>
    </w:p>
    <w:p w14:paraId="0945BDE7" w14:textId="77777777" w:rsidR="003677D2" w:rsidRDefault="00D95A7A">
      <w:pPr>
        <w:pStyle w:val="Bibliography"/>
      </w:pPr>
      <w:bookmarkStart w:id="78" w:name="ref-raymondAtmosphericCO2Evasion2000"/>
      <w:bookmarkEnd w:id="77"/>
      <w:r>
        <w:t xml:space="preserve">Raymond, P. A., Bauer, J. E., &amp; Cole, J. J. (2000). Atmospheric CO2 evasion, dissolved inorganic carbon production, and net heterotrophy in the York River estuary. </w:t>
      </w:r>
      <w:r>
        <w:rPr>
          <w:i/>
          <w:iCs/>
        </w:rPr>
        <w:t>Limnology and Oceanography</w:t>
      </w:r>
      <w:r>
        <w:t xml:space="preserve">, </w:t>
      </w:r>
      <w:r>
        <w:rPr>
          <w:i/>
          <w:iCs/>
        </w:rPr>
        <w:t>45</w:t>
      </w:r>
      <w:r>
        <w:t>(8), 1707–1717. https://doi.org/</w:t>
      </w:r>
      <w:hyperlink r:id="rId70">
        <w:r>
          <w:rPr>
            <w:rStyle w:val="Hyperlink"/>
          </w:rPr>
          <w:t>https://doi.org/10.4319/lo.2000.45.8.1707</w:t>
        </w:r>
      </w:hyperlink>
    </w:p>
    <w:p w14:paraId="0945BDE8" w14:textId="77777777" w:rsidR="003677D2" w:rsidRDefault="00D95A7A">
      <w:pPr>
        <w:pStyle w:val="Bibliography"/>
      </w:pPr>
      <w:bookmarkStart w:id="79" w:name="ref-raymondScalingGasTransfer2012"/>
      <w:bookmarkEnd w:id="78"/>
      <w:r>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71">
        <w:r>
          <w:rPr>
            <w:rStyle w:val="Hyperlink"/>
          </w:rPr>
          <w:t>https://doi.org/10.1215/21573689-1597669@10.1002/(ISSN)1939-5590.MethaneVI</w:t>
        </w:r>
      </w:hyperlink>
    </w:p>
    <w:p w14:paraId="0945BDE9" w14:textId="77777777" w:rsidR="003677D2" w:rsidRDefault="00D95A7A">
      <w:pPr>
        <w:pStyle w:val="Bibliography"/>
      </w:pPr>
      <w:bookmarkStart w:id="80" w:name="ref-raymondGlobalCarbonDioxide2013"/>
      <w:bookmarkEnd w:id="79"/>
      <w:r>
        <w:lastRenderedPageBreak/>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72">
        <w:r>
          <w:rPr>
            <w:rStyle w:val="Hyperlink"/>
          </w:rPr>
          <w:t>https://doi.org/10.1038/nature12760</w:t>
        </w:r>
      </w:hyperlink>
    </w:p>
    <w:p w14:paraId="0945BDEA" w14:textId="77777777" w:rsidR="003677D2" w:rsidRDefault="00D95A7A">
      <w:pPr>
        <w:pStyle w:val="Bibliography"/>
      </w:pPr>
      <w:bookmarkStart w:id="81" w:name="X27ee59fd84b56f65b1a00ff8e0bb92ac4d169b9"/>
      <w:bookmarkEnd w:id="80"/>
      <w:r>
        <w:t xml:space="preserve">Rocher‐Ros, G., Sponseller, R. A., Lidberg, W., Mörth, C.-M., &amp; Giesler, R. (2019). Landscape process domains drive patterns of CO2 evasion from river networks. </w:t>
      </w:r>
      <w:r>
        <w:rPr>
          <w:i/>
          <w:iCs/>
        </w:rPr>
        <w:t>Limnology and Oceanography Letters</w:t>
      </w:r>
      <w:r>
        <w:t xml:space="preserve">, </w:t>
      </w:r>
      <w:r>
        <w:rPr>
          <w:i/>
          <w:iCs/>
        </w:rPr>
        <w:t>4</w:t>
      </w:r>
      <w:r>
        <w:t xml:space="preserve">(4), 87–95. </w:t>
      </w:r>
      <w:hyperlink r:id="rId73">
        <w:r>
          <w:rPr>
            <w:rStyle w:val="Hyperlink"/>
          </w:rPr>
          <w:t>https://doi.org/10.1002/lol2.10108</w:t>
        </w:r>
      </w:hyperlink>
    </w:p>
    <w:p w14:paraId="0945BDEB" w14:textId="77777777" w:rsidR="003677D2" w:rsidRDefault="00D95A7A">
      <w:pPr>
        <w:pStyle w:val="Bibliography"/>
      </w:pPr>
      <w:bookmarkStart w:id="82" w:name="X9d24b65e3a1bed3e3aaab2ae38d369a2c8c4e36"/>
      <w:bookmarkEnd w:id="81"/>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74">
        <w:r>
          <w:rPr>
            <w:rStyle w:val="Hyperlink"/>
          </w:rPr>
          <w:t>https://doi.org/10.1029/2021GB006972</w:t>
        </w:r>
      </w:hyperlink>
    </w:p>
    <w:p w14:paraId="0945BDEC" w14:textId="77777777" w:rsidR="003677D2" w:rsidRDefault="00D95A7A">
      <w:pPr>
        <w:pStyle w:val="Bibliography"/>
      </w:pPr>
      <w:bookmarkStart w:id="83" w:name="ref-sand-jensenCO2DynamicsDanish2012"/>
      <w:bookmarkEnd w:id="82"/>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75">
        <w:r>
          <w:rPr>
            <w:rStyle w:val="Hyperlink"/>
          </w:rPr>
          <w:t>https://doi.org/10.1007/s10533-011-9696-6</w:t>
        </w:r>
      </w:hyperlink>
    </w:p>
    <w:p w14:paraId="0945BDED" w14:textId="77777777" w:rsidR="003677D2" w:rsidRDefault="00D95A7A">
      <w:pPr>
        <w:pStyle w:val="Bibliography"/>
      </w:pPr>
      <w:bookmarkStart w:id="84" w:name="ref-talkeTurbulentKineticEnergy2013"/>
      <w:bookmarkEnd w:id="83"/>
      <w:r>
        <w:t xml:space="preserve">Talke, S. A., Horner-Devine, A. R., Chickadel,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76">
        <w:r>
          <w:rPr>
            <w:rStyle w:val="Hyperlink"/>
          </w:rPr>
          <w:t>https://doi.org/10.1002/2012JC008103</w:t>
        </w:r>
      </w:hyperlink>
    </w:p>
    <w:p w14:paraId="0945BDEE" w14:textId="77777777" w:rsidR="003677D2" w:rsidRDefault="00D95A7A">
      <w:pPr>
        <w:pStyle w:val="Bibliography"/>
      </w:pPr>
      <w:bookmarkStart w:id="85" w:name="ref-tokoroHighGastransferVelocity2008"/>
      <w:bookmarkEnd w:id="84"/>
      <w:r>
        <w:t xml:space="preserve">Tokoro, T., Kayanne, H., Watanabe, A., Nadaoka,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77">
        <w:r>
          <w:rPr>
            <w:rStyle w:val="Hyperlink"/>
          </w:rPr>
          <w:t>https://doi.org/10.1029/2007JC004528</w:t>
        </w:r>
      </w:hyperlink>
    </w:p>
    <w:p w14:paraId="0945BDEF" w14:textId="77777777" w:rsidR="003677D2" w:rsidRDefault="00D95A7A">
      <w:pPr>
        <w:pStyle w:val="Bibliography"/>
      </w:pPr>
      <w:bookmarkStart w:id="86" w:name="ref-tuozzoloEstimatingRiverDischarge2019"/>
      <w:bookmarkEnd w:id="85"/>
      <w:r>
        <w:t xml:space="preserve">Tuozzolo, S., Lind, G., Overstreet, B., Mangano, J., Fonstad, M., Hagemann, M., et al. (2019). Estimating River Discharge With Swath Altimetry: A Proof of Concept Using AirSWOT </w:t>
      </w:r>
      <w:r>
        <w:lastRenderedPageBreak/>
        <w:t xml:space="preserve">Observations. </w:t>
      </w:r>
      <w:r>
        <w:rPr>
          <w:i/>
          <w:iCs/>
        </w:rPr>
        <w:t>Geophysical Research Letters</w:t>
      </w:r>
      <w:r>
        <w:t xml:space="preserve">, </w:t>
      </w:r>
      <w:r>
        <w:rPr>
          <w:i/>
          <w:iCs/>
        </w:rPr>
        <w:t>46</w:t>
      </w:r>
      <w:r>
        <w:t xml:space="preserve">(3), 1459–1466. </w:t>
      </w:r>
      <w:hyperlink r:id="rId78">
        <w:r>
          <w:rPr>
            <w:rStyle w:val="Hyperlink"/>
          </w:rPr>
          <w:t>https://doi.org/10.1029/2018GL080771</w:t>
        </w:r>
      </w:hyperlink>
    </w:p>
    <w:p w14:paraId="0945BDF0" w14:textId="77777777" w:rsidR="003677D2" w:rsidRDefault="00D95A7A">
      <w:pPr>
        <w:pStyle w:val="Bibliography"/>
      </w:pPr>
      <w:bookmarkStart w:id="87" w:name="ref-ulsethDistinctAirWater2019"/>
      <w:bookmarkEnd w:id="86"/>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79">
        <w:r>
          <w:rPr>
            <w:rStyle w:val="Hyperlink"/>
          </w:rPr>
          <w:t>https://doi.org/10.1038/s41561-019-0324-8</w:t>
        </w:r>
      </w:hyperlink>
    </w:p>
    <w:p w14:paraId="0945BDF1" w14:textId="77777777" w:rsidR="003677D2" w:rsidRDefault="00D95A7A">
      <w:pPr>
        <w:pStyle w:val="Bibliography"/>
      </w:pPr>
      <w:bookmarkStart w:id="88" w:name="Xf018031ac1968502e8c6e3c3ca9744200b7cb3d"/>
      <w:bookmarkEnd w:id="87"/>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80">
        <w:r>
          <w:rPr>
            <w:rStyle w:val="Hyperlink"/>
          </w:rPr>
          <w:t>https://doi.org/10.4319/lo.2010.55.4.1723</w:t>
        </w:r>
      </w:hyperlink>
    </w:p>
    <w:p w14:paraId="0945BDF2" w14:textId="77777777" w:rsidR="003677D2" w:rsidRDefault="00D95A7A">
      <w:pPr>
        <w:pStyle w:val="Bibliography"/>
      </w:pPr>
      <w:bookmarkStart w:id="89" w:name="X19bbff5009581955030fe4ea159830e4885d13d"/>
      <w:bookmarkEnd w:id="88"/>
      <w:r>
        <w:t xml:space="preserve">Wallin, M. B., Öquist,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81">
        <w:r>
          <w:rPr>
            <w:rStyle w:val="Hyperlink"/>
          </w:rPr>
          <w:t>https://doi.org/10.1029/2010GB003975</w:t>
        </w:r>
      </w:hyperlink>
    </w:p>
    <w:p w14:paraId="0945BDF3" w14:textId="77777777" w:rsidR="003677D2" w:rsidRDefault="00D95A7A">
      <w:pPr>
        <w:pStyle w:val="Bibliography"/>
      </w:pPr>
      <w:bookmarkStart w:id="90" w:name="ref-wangPhysicallyBasedScaling2021"/>
      <w:bookmarkEnd w:id="89"/>
      <w:r>
        <w:t xml:space="preserve">Wang, J., Bombardelli,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82">
        <w:r>
          <w:rPr>
            <w:rStyle w:val="Hyperlink"/>
          </w:rPr>
          <w:t>https://doi.org/10.1029/2020WR028757</w:t>
        </w:r>
      </w:hyperlink>
    </w:p>
    <w:p w14:paraId="0945BDF4" w14:textId="77777777" w:rsidR="003677D2" w:rsidRDefault="00D95A7A">
      <w:pPr>
        <w:pStyle w:val="Bibliography"/>
      </w:pPr>
      <w:bookmarkStart w:id="91" w:name="ref-zappaVariationSurfaceTurbulence2003"/>
      <w:bookmarkEnd w:id="90"/>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83">
        <w:r>
          <w:rPr>
            <w:rStyle w:val="Hyperlink"/>
          </w:rPr>
          <w:t>https://doi.org/10.1007/BF02803649</w:t>
        </w:r>
      </w:hyperlink>
    </w:p>
    <w:p w14:paraId="0945BDF5" w14:textId="77777777" w:rsidR="003677D2" w:rsidRDefault="00D95A7A">
      <w:pPr>
        <w:pStyle w:val="Bibliography"/>
      </w:pPr>
      <w:bookmarkStart w:id="92" w:name="Xeea10036bb7406a899d506648158b73655143f0"/>
      <w:bookmarkEnd w:id="91"/>
      <w:r>
        <w:lastRenderedPageBreak/>
        <w:t xml:space="preserve">Zappa, C. J., McGillis, W. R., Raymond, P. A., Edson, J. B., Hintsa, E. J., Zemmelink,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84">
        <w:r>
          <w:rPr>
            <w:rStyle w:val="Hyperlink"/>
          </w:rPr>
          <w:t>https://doi.org/10.1029/2006GL028790</w:t>
        </w:r>
      </w:hyperlink>
    </w:p>
    <w:p w14:paraId="0945BDF6" w14:textId="77777777" w:rsidR="003677D2" w:rsidRDefault="00D95A7A">
      <w:pPr>
        <w:pStyle w:val="Bibliography"/>
      </w:pPr>
      <w:bookmarkStart w:id="93" w:name="ref-zhaoDependenceWhitecapCoverage2001"/>
      <w:bookmarkEnd w:id="92"/>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85">
        <w:r>
          <w:rPr>
            <w:rStyle w:val="Hyperlink"/>
          </w:rPr>
          <w:t>https://doi.org/10.1023/A:1021215904955</w:t>
        </w:r>
      </w:hyperlink>
    </w:p>
    <w:p w14:paraId="0945BDF7" w14:textId="77777777" w:rsidR="003677D2" w:rsidRDefault="00D95A7A">
      <w:pPr>
        <w:pStyle w:val="Bibliography"/>
      </w:pPr>
      <w:bookmarkStart w:id="94" w:name="ref-zhaoEffectWindWaves2003"/>
      <w:bookmarkEnd w:id="93"/>
      <w:r>
        <w:t xml:space="preserve">Zhao, D., Toba, Y., Suzuki, Y., &amp; Komori, S. (2003). Effect of wind waves on air’sea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86">
        <w:r>
          <w:rPr>
            <w:rStyle w:val="Hyperlink"/>
          </w:rPr>
          <w:t>https://doi.org/10.3402/tellusb.v55i2.16747</w:t>
        </w:r>
      </w:hyperlink>
      <w:bookmarkEnd w:id="27"/>
      <w:bookmarkEnd w:id="29"/>
      <w:bookmarkEnd w:id="94"/>
    </w:p>
    <w:sectPr w:rsidR="003677D2" w:rsidSect="00EF1B30">
      <w:footerReference w:type="default" r:id="rId8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A95B0" w14:textId="77777777" w:rsidR="0063407B" w:rsidRDefault="0063407B">
      <w:pPr>
        <w:spacing w:before="0" w:after="0" w:line="240" w:lineRule="auto"/>
      </w:pPr>
      <w:r>
        <w:separator/>
      </w:r>
    </w:p>
  </w:endnote>
  <w:endnote w:type="continuationSeparator" w:id="0">
    <w:p w14:paraId="03D77424" w14:textId="77777777" w:rsidR="0063407B" w:rsidRDefault="006340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945BE08" w14:textId="77777777" w:rsidR="00642D4E" w:rsidRDefault="00D95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5BE09" w14:textId="77777777" w:rsidR="007B72BB" w:rsidRDefault="00000000" w:rsidP="00EB5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0227A" w14:textId="77777777" w:rsidR="0063407B" w:rsidRDefault="0063407B">
      <w:r>
        <w:separator/>
      </w:r>
    </w:p>
  </w:footnote>
  <w:footnote w:type="continuationSeparator" w:id="0">
    <w:p w14:paraId="37F0D4FD" w14:textId="77777777" w:rsidR="0063407B" w:rsidRDefault="00634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DAEBC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C36018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930A87F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2091654601">
    <w:abstractNumId w:val="0"/>
  </w:num>
  <w:num w:numId="2" w16cid:durableId="1015959877">
    <w:abstractNumId w:val="14"/>
  </w:num>
  <w:num w:numId="3" w16cid:durableId="1733623924">
    <w:abstractNumId w:val="10"/>
  </w:num>
  <w:num w:numId="4" w16cid:durableId="1917856053">
    <w:abstractNumId w:val="8"/>
  </w:num>
  <w:num w:numId="5" w16cid:durableId="1367950487">
    <w:abstractNumId w:val="7"/>
  </w:num>
  <w:num w:numId="6" w16cid:durableId="1359306852">
    <w:abstractNumId w:val="6"/>
  </w:num>
  <w:num w:numId="7" w16cid:durableId="614483350">
    <w:abstractNumId w:val="5"/>
  </w:num>
  <w:num w:numId="8" w16cid:durableId="410389279">
    <w:abstractNumId w:val="9"/>
  </w:num>
  <w:num w:numId="9" w16cid:durableId="271059698">
    <w:abstractNumId w:val="4"/>
  </w:num>
  <w:num w:numId="10" w16cid:durableId="55051836">
    <w:abstractNumId w:val="3"/>
  </w:num>
  <w:num w:numId="11" w16cid:durableId="1439982565">
    <w:abstractNumId w:val="2"/>
  </w:num>
  <w:num w:numId="12" w16cid:durableId="923295388">
    <w:abstractNumId w:val="1"/>
  </w:num>
  <w:num w:numId="13" w16cid:durableId="346561018">
    <w:abstractNumId w:val="11"/>
  </w:num>
  <w:num w:numId="14" w16cid:durableId="1800343132">
    <w:abstractNumId w:val="12"/>
  </w:num>
  <w:num w:numId="15" w16cid:durableId="18255373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7D2"/>
    <w:rsid w:val="00004E74"/>
    <w:rsid w:val="000E0ACB"/>
    <w:rsid w:val="0023029A"/>
    <w:rsid w:val="00247121"/>
    <w:rsid w:val="003677D2"/>
    <w:rsid w:val="003A29E3"/>
    <w:rsid w:val="005519D4"/>
    <w:rsid w:val="005E771B"/>
    <w:rsid w:val="0063407B"/>
    <w:rsid w:val="00705E92"/>
    <w:rsid w:val="00715FC0"/>
    <w:rsid w:val="00954BA0"/>
    <w:rsid w:val="00A92101"/>
    <w:rsid w:val="00A95623"/>
    <w:rsid w:val="00D227C4"/>
    <w:rsid w:val="00D738E6"/>
    <w:rsid w:val="00D95A7A"/>
    <w:rsid w:val="00DD6067"/>
    <w:rsid w:val="00E934F1"/>
    <w:rsid w:val="00F624E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BC44"/>
  <w15:docId w15:val="{ACBA230E-799B-42D1-AAD4-15D17017D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29/2018JG004750" TargetMode="External"/><Relationship Id="rId21" Type="http://schemas.openxmlformats.org/officeDocument/2006/relationships/hyperlink" Target="https://doi.org/10.1029/2011JG001794" TargetMode="External"/><Relationship Id="rId42" Type="http://schemas.openxmlformats.org/officeDocument/2006/relationships/hyperlink" Target="https://doi.org/10.1007/s10021-006-9013-8" TargetMode="External"/><Relationship Id="rId47" Type="http://schemas.openxmlformats.org/officeDocument/2006/relationships/hyperlink" Target="https://doi.org/10.1038/s41467-021-27228-1" TargetMode="External"/><Relationship Id="rId63" Type="http://schemas.openxmlformats.org/officeDocument/2006/relationships/hyperlink" Target="https://doi.org/10.1073/pnas.2106322119" TargetMode="External"/><Relationship Id="rId68" Type="http://schemas.openxmlformats.org/officeDocument/2006/relationships/hyperlink" Target="https://doi.org/10.1002/2013JG002552" TargetMode="External"/><Relationship Id="rId84" Type="http://schemas.openxmlformats.org/officeDocument/2006/relationships/hyperlink" Target="https://doi.org/10.1029/2006GL028790" TargetMode="External"/><Relationship Id="rId89" Type="http://schemas.openxmlformats.org/officeDocument/2006/relationships/theme" Target="theme/theme1.xml"/><Relationship Id="rId16" Type="http://schemas.openxmlformats.org/officeDocument/2006/relationships/hyperlink" Target="https://doi.org/10.1038/s41561-019-0324-8" TargetMode="External"/><Relationship Id="rId11" Type="http://schemas.openxmlformats.org/officeDocument/2006/relationships/image" Target="media/image3.jpg"/><Relationship Id="rId32" Type="http://schemas.openxmlformats.org/officeDocument/2006/relationships/hyperlink" Target="https://doi.org/10.1002/2017JG004140" TargetMode="External"/><Relationship Id="rId37" Type="http://schemas.openxmlformats.org/officeDocument/2006/relationships/hyperlink" Target="https://doi.org/10.1029/2020WR027949" TargetMode="External"/><Relationship Id="rId53" Type="http://schemas.openxmlformats.org/officeDocument/2006/relationships/hyperlink" Target="https://doi.org/10.1126/science.aau5153" TargetMode="External"/><Relationship Id="rId58" Type="http://schemas.openxmlformats.org/officeDocument/2006/relationships/hyperlink" Target="https://doi.org/10.1029/2020WR027794" TargetMode="External"/><Relationship Id="rId74" Type="http://schemas.openxmlformats.org/officeDocument/2006/relationships/hyperlink" Target="https://doi.org/10.1029/2021GB006972" TargetMode="External"/><Relationship Id="rId79" Type="http://schemas.openxmlformats.org/officeDocument/2006/relationships/hyperlink" Target="https://doi.org/10.1038/s41561-019-0324-8" TargetMode="External"/><Relationship Id="rId5" Type="http://schemas.openxmlformats.org/officeDocument/2006/relationships/footnotes" Target="footnotes.xml"/><Relationship Id="rId14" Type="http://schemas.openxmlformats.org/officeDocument/2006/relationships/image" Target="media/image6.jpg"/><Relationship Id="rId22" Type="http://schemas.openxmlformats.org/officeDocument/2006/relationships/hyperlink" Target="https://doi.org/10.1002/2015WR018434" TargetMode="External"/><Relationship Id="rId27" Type="http://schemas.openxmlformats.org/officeDocument/2006/relationships/hyperlink" Target="https://doi.org/10.1002/lno.11906" TargetMode="External"/><Relationship Id="rId30" Type="http://schemas.openxmlformats.org/officeDocument/2006/relationships/hyperlink" Target="https://doi.org/10.1029/2021WR030054" TargetMode="External"/><Relationship Id="rId35" Type="http://schemas.openxmlformats.org/officeDocument/2006/relationships/hyperlink" Target="https://doi.org/10.1038/ngeo2486" TargetMode="External"/><Relationship Id="rId43" Type="http://schemas.openxmlformats.org/officeDocument/2006/relationships/hyperlink" Target="https://doi.org/10.1007/s00027-016-0511-2" TargetMode="External"/><Relationship Id="rId48" Type="http://schemas.openxmlformats.org/officeDocument/2006/relationships/hyperlink" Target="https://doi.org/10.1029/2020WR028519" TargetMode="External"/><Relationship Id="rId56" Type="http://schemas.openxmlformats.org/officeDocument/2006/relationships/hyperlink" Target="https://doi.org/10.1215/21573689-1572535" TargetMode="External"/><Relationship Id="rId64" Type="http://schemas.openxmlformats.org/officeDocument/2006/relationships/hyperlink" Target="https://doi.org/10.1175/JPO2903.1" TargetMode="External"/><Relationship Id="rId69" Type="http://schemas.openxmlformats.org/officeDocument/2006/relationships/hyperlink" Target="https://doi.org/10.2307/1352954" TargetMode="External"/><Relationship Id="rId77" Type="http://schemas.openxmlformats.org/officeDocument/2006/relationships/hyperlink" Target="https://doi.org/10.1029/2007JC004528" TargetMode="External"/><Relationship Id="rId8" Type="http://schemas.openxmlformats.org/officeDocument/2006/relationships/hyperlink" Target="mailto:cbrinkerhoff@umass.edu" TargetMode="External"/><Relationship Id="rId51" Type="http://schemas.openxmlformats.org/officeDocument/2006/relationships/hyperlink" Target="https://doi.org/10.1177/0309133314567584" TargetMode="External"/><Relationship Id="rId72" Type="http://schemas.openxmlformats.org/officeDocument/2006/relationships/hyperlink" Target="https://doi.org/10.1038/nature12760" TargetMode="External"/><Relationship Id="rId80" Type="http://schemas.openxmlformats.org/officeDocument/2006/relationships/hyperlink" Target="https://doi.org/10.4319/lo.2010.55.4.1723" TargetMode="External"/><Relationship Id="rId85" Type="http://schemas.openxmlformats.org/officeDocument/2006/relationships/hyperlink" Target="https://doi.org/10.1023/A:1021215904955"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doi.org/10.1029/2019GL084529" TargetMode="External"/><Relationship Id="rId25" Type="http://schemas.openxmlformats.org/officeDocument/2006/relationships/hyperlink" Target="https://zenodo.org/record/6914064" TargetMode="External"/><Relationship Id="rId33" Type="http://schemas.openxmlformats.org/officeDocument/2006/relationships/hyperlink" Target="https://doi.org/10.1029/2011JG001794" TargetMode="External"/><Relationship Id="rId38" Type="http://schemas.openxmlformats.org/officeDocument/2006/relationships/hyperlink" Target="https://doi.org/10.1029/2020GL090068" TargetMode="External"/><Relationship Id="rId46" Type="http://schemas.openxmlformats.org/officeDocument/2006/relationships/hyperlink" Target="https://doi.org/10.1016/j.rse.2020.111883" TargetMode="External"/><Relationship Id="rId59" Type="http://schemas.openxmlformats.org/officeDocument/2006/relationships/hyperlink" Target="https://doi.org/10.1029/2018WR022731" TargetMode="External"/><Relationship Id="rId67" Type="http://schemas.openxmlformats.org/officeDocument/2006/relationships/hyperlink" Target="https://doi.org/10.1126/science.1201609" TargetMode="External"/><Relationship Id="rId20" Type="http://schemas.openxmlformats.org/officeDocument/2006/relationships/hyperlink" Target="https://pubs.usgs.gov/pp/0737/report.pdf" TargetMode="External"/><Relationship Id="rId41" Type="http://schemas.openxmlformats.org/officeDocument/2006/relationships/hyperlink" Target="https://doi.org/10.1016/B978-1-4832-8391-3.50015-4" TargetMode="External"/><Relationship Id="rId54" Type="http://schemas.openxmlformats.org/officeDocument/2006/relationships/hyperlink" Target="https://doi.org/10.1002/2017WR021626" TargetMode="External"/><Relationship Id="rId62" Type="http://schemas.openxmlformats.org/officeDocument/2006/relationships/hyperlink" Target="https://doi.org/10.1002/lol2.10095" TargetMode="External"/><Relationship Id="rId70" Type="http://schemas.openxmlformats.org/officeDocument/2006/relationships/hyperlink" Target="https://doi.org/10.4319/lo.2000.45.8.1707" TargetMode="External"/><Relationship Id="rId75" Type="http://schemas.openxmlformats.org/officeDocument/2006/relationships/hyperlink" Target="https://doi.org/10.1007/s10533-011-9696-6" TargetMode="External"/><Relationship Id="rId83" Type="http://schemas.openxmlformats.org/officeDocument/2006/relationships/hyperlink" Target="https://doi.org/10.1007/BF02803649"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zenodo.org/record/6914119" TargetMode="External"/><Relationship Id="rId28" Type="http://schemas.openxmlformats.org/officeDocument/2006/relationships/hyperlink" Target="https://doi.org/10.1029/2010JG001398" TargetMode="External"/><Relationship Id="rId36" Type="http://schemas.openxmlformats.org/officeDocument/2006/relationships/hyperlink" Target="https://doi.org/10.1029/2019GL084529" TargetMode="External"/><Relationship Id="rId49" Type="http://schemas.openxmlformats.org/officeDocument/2006/relationships/hyperlink" Target="https://doi.org/10.1002/hyp.11033" TargetMode="External"/><Relationship Id="rId57" Type="http://schemas.openxmlformats.org/officeDocument/2006/relationships/hyperlink" Target="https://doi.org/10.1038/s41467-019-12905-z" TargetMode="External"/><Relationship Id="rId10" Type="http://schemas.openxmlformats.org/officeDocument/2006/relationships/image" Target="media/image2.jpg"/><Relationship Id="rId31" Type="http://schemas.openxmlformats.org/officeDocument/2006/relationships/hyperlink" Target="https://doi.org/10.1029/2019WR026611" TargetMode="External"/><Relationship Id="rId44" Type="http://schemas.openxmlformats.org/officeDocument/2006/relationships/hyperlink" Target="https://doi.org/10.1016/j.jhydrol.2013.12.050" TargetMode="External"/><Relationship Id="rId52" Type="http://schemas.openxmlformats.org/officeDocument/2006/relationships/hyperlink" Target="https://doi.org/10.1029/2017EO078085" TargetMode="External"/><Relationship Id="rId60" Type="http://schemas.openxmlformats.org/officeDocument/2006/relationships/hyperlink" Target="https://doi.org/10.5194/hess-23-4323-2019" TargetMode="External"/><Relationship Id="rId65" Type="http://schemas.openxmlformats.org/officeDocument/2006/relationships/hyperlink" Target="https://doi.org/10.1061/(ASCE)0733-9429(1999)125:1(3)" TargetMode="External"/><Relationship Id="rId73" Type="http://schemas.openxmlformats.org/officeDocument/2006/relationships/hyperlink" Target="https://doi.org/10.1002/lol2.10108" TargetMode="External"/><Relationship Id="rId78" Type="http://schemas.openxmlformats.org/officeDocument/2006/relationships/hyperlink" Target="https://doi.org/10.1029/2018GL080771" TargetMode="External"/><Relationship Id="rId81" Type="http://schemas.openxmlformats.org/officeDocument/2006/relationships/hyperlink" Target="https://doi.org/10.1029/2010GB003975" TargetMode="External"/><Relationship Id="rId86" Type="http://schemas.openxmlformats.org/officeDocument/2006/relationships/hyperlink" Target="https://doi.org/10.3402/tellusb.v55i2.16747" TargetMode="External"/><Relationship Id="rId4" Type="http://schemas.openxmlformats.org/officeDocument/2006/relationships/webSettings" Target="webSettings.xml"/><Relationship Id="rId9" Type="http://schemas.openxmlformats.org/officeDocument/2006/relationships/image" Target="media/image1.tiff"/><Relationship Id="rId13" Type="http://schemas.openxmlformats.org/officeDocument/2006/relationships/image" Target="media/image5.jpg"/><Relationship Id="rId18" Type="http://schemas.openxmlformats.org/officeDocument/2006/relationships/hyperlink" Target="https://zenodo.org/record/3817817" TargetMode="External"/><Relationship Id="rId39" Type="http://schemas.openxmlformats.org/officeDocument/2006/relationships/hyperlink" Target="https://doi.org/10.1002/2017GL074979" TargetMode="External"/><Relationship Id="rId34" Type="http://schemas.openxmlformats.org/officeDocument/2006/relationships/hyperlink" Target="https://doi.org/10.1007/978-3-319-32449-4_6" TargetMode="External"/><Relationship Id="rId50" Type="http://schemas.openxmlformats.org/officeDocument/2006/relationships/hyperlink" Target="https://doi.org/10.1080/00031305.2018.1549100" TargetMode="External"/><Relationship Id="rId55" Type="http://schemas.openxmlformats.org/officeDocument/2006/relationships/hyperlink" Target="https://doi.org/10.1002/wat2.1391" TargetMode="External"/><Relationship Id="rId76" Type="http://schemas.openxmlformats.org/officeDocument/2006/relationships/hyperlink" Target="https://doi.org/10.1002/2012JC008103" TargetMode="External"/><Relationship Id="rId7" Type="http://schemas.openxmlformats.org/officeDocument/2006/relationships/hyperlink" Target="mailto:cbrinkerhoff@umass.edu" TargetMode="External"/><Relationship Id="rId71" Type="http://schemas.openxmlformats.org/officeDocument/2006/relationships/hyperlink" Target="https://doi.org/10.1215/21573689-1597669@10.1002/(ISSN)1939-5590.MethaneVI" TargetMode="External"/><Relationship Id="rId2" Type="http://schemas.openxmlformats.org/officeDocument/2006/relationships/styles" Target="styles.xml"/><Relationship Id="rId29" Type="http://schemas.openxmlformats.org/officeDocument/2006/relationships/hyperlink" Target="https://doi.org/10.3390/rs12091510" TargetMode="External"/><Relationship Id="rId24" Type="http://schemas.openxmlformats.org/officeDocument/2006/relationships/hyperlink" Target="https://github.com/craigbrinkerhoff/BIKER" TargetMode="External"/><Relationship Id="rId40" Type="http://schemas.openxmlformats.org/officeDocument/2006/relationships/hyperlink" Target="https://doi.org/10.1016/0009-2509(61)87005-X" TargetMode="External"/><Relationship Id="rId45" Type="http://schemas.openxmlformats.org/officeDocument/2006/relationships/hyperlink" Target="https://doi.org/10.1002/2015WR018434" TargetMode="External"/><Relationship Id="rId66" Type="http://schemas.openxmlformats.org/officeDocument/2006/relationships/hyperlink" Target="https://ci.nii.ac.jp/naid/10025707421/" TargetMode="External"/><Relationship Id="rId87" Type="http://schemas.openxmlformats.org/officeDocument/2006/relationships/footer" Target="footer1.xml"/><Relationship Id="rId61" Type="http://schemas.openxmlformats.org/officeDocument/2006/relationships/hyperlink" Target="https://doi.org/10.1002/2014GB004941" TargetMode="External"/><Relationship Id="rId82" Type="http://schemas.openxmlformats.org/officeDocument/2006/relationships/hyperlink" Target="https://doi.org/10.1029/2020WR028757" TargetMode="External"/><Relationship Id="rId19" Type="http://schemas.openxmlformats.org/officeDocument/2006/relationships/hyperlink" Target="https://pubs.usgs.gov/pp/0737/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55</Pages>
  <Words>12247</Words>
  <Characters>69808</Characters>
  <Application>Microsoft Office Word</Application>
  <DocSecurity>0</DocSecurity>
  <Lines>581</Lines>
  <Paragraphs>163</Paragraphs>
  <ScaleCrop>false</ScaleCrop>
  <Company/>
  <LinksUpToDate>false</LinksUpToDate>
  <CharactersWithSpaces>81892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E Harlan1</dc:creator>
  <cp:keywords/>
  <cp:lastModifiedBy>Craig</cp:lastModifiedBy>
  <cp:revision>20</cp:revision>
  <dcterms:created xsi:type="dcterms:W3CDTF">2022-07-27T14:59:00Z</dcterms:created>
  <dcterms:modified xsi:type="dcterms:W3CDTF">2022-07-27T15:57:00Z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