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jpg" ContentType="image/jpeg"/>
  <Override PartName="/word/media/rId40.jpg" ContentType="image/jpeg"/>
  <Override PartName="/word/media/rId35.jpg" ContentType="image/jpeg"/>
  <Override PartName="/word/media/rId25.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estimating</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2021-02-22</w:t>
      </w:r>
    </w:p>
    <w:p>
      <w:pPr>
        <w:pStyle w:val="Heading2"/>
      </w:pPr>
      <w:bookmarkStart w:id="21" w:name="key-points-85-characters-each"/>
      <w:bookmarkEnd w:id="21"/>
      <w:r>
        <w:t xml:space="preserve">Key Points (85 characters each)</w:t>
      </w:r>
    </w:p>
    <w:p>
      <w:pPr>
        <w:pStyle w:val="Compact"/>
        <w:numPr>
          <w:numId w:val="1001"/>
          <w:ilvl w:val="0"/>
        </w:numPr>
      </w:pPr>
      <w:r>
        <w:t xml:space="preserve">We introduce the BIKER algorithm to remotely sense riverine gas exchange using the SWOT satellite</w:t>
      </w:r>
    </w:p>
    <w:p>
      <w:pPr>
        <w:pStyle w:val="Compact"/>
        <w:numPr>
          <w:numId w:val="1001"/>
          <w:ilvl w:val="0"/>
        </w:numPr>
      </w:pPr>
      <w:r>
        <w:t xml:space="preserve">BIKER reproduces estimates of</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BIKER's accuracy is limited by process-level uncertainties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w:t>
      </w:r>
      <w:r>
        <w:t xml:space="preserve"> </w:t>
      </w:r>
      <w:r>
        <w:t xml:space="preserve">(Cole et al., 2007)</w:t>
      </w:r>
      <w:r>
        <w:t xml:space="preserve">. As a result, rivers and lakes are usually supersaturated with dissolved greenhouse gases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as equation 1 for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the quality of their estimates of the velocity of the river channel. This is exasperated in ungauged basins where velocity 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(e.g. Borges et al., 2004;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I don't know if introducing SWOT via RSQ is the best idea. Maybe I should just introduce SWOT on its own?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RSQ methods are termed ‘McFLIs’ or ‘Mass Conserved Flow Law Inversion’ algorithms</w:t>
      </w:r>
      <w:r>
        <w:t xml:space="preserve"> </w:t>
      </w:r>
      <w:r>
        <w:t xml:space="preserve">(e.g. Andreadis et al., 2020; Brinkerhoff et al., 2020; Durand et al., 2014; Hagemann et al.,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In this context, we hypothesize that SWOT data will improve our understanding of riverine GHG fluxes in ungauged basins and/or at drainage-network-scales after techniques have been developed to ingest SWOT's novel measurements of water surface width and height. Therefore, we sought to develop a method to estimate</w:t>
      </w:r>
      <w:r>
        <w:t xml:space="preserve"> </w:t>
      </w:r>
      <m:oMath>
        <m:sSub>
          <m:e>
            <m:r>
              <m:t>k</m:t>
            </m:r>
          </m:e>
          <m:sub>
            <m:r>
              <m:t>600</m:t>
            </m:r>
          </m:sub>
        </m:sSub>
      </m:oMath>
      <w:r>
        <w:t xml:space="preserve"> </w:t>
      </w:r>
      <w:r>
        <w:t xml:space="preserve">using only SWOT measurements and no in situ information.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r>
        <w:t xml:space="preserve"> </w:t>
      </w:r>
      <w:r>
        <w:t xml:space="preserve"> </w:t>
      </w:r>
      <w:r>
        <w:t xml:space="preserve">1) is ungauged RS of the gas exchange velocity possible using soon-to-be-available SWOT river measurements?</w:t>
      </w:r>
      <w:r>
        <w:t xml:space="preserve"> </w:t>
      </w:r>
      <w:r>
        <w:t xml:space="preserve"> </w:t>
      </w:r>
      <w:r>
        <w:t xml:space="preserve">2) how might this algorithm influence upscaled estimates of riverine carbon efflux to the atmosphere?</w:t>
      </w:r>
    </w:p>
    <w:p>
      <w:pPr>
        <w:pStyle w:val="BodyText"/>
      </w:pPr>
      <w:r>
        <w:t xml:space="preserve">To answer these questions, we develop a RS algorithm that ingests SWOT data and produces</w:t>
      </w:r>
      <w:r>
        <w:t xml:space="preserve"> </w:t>
      </w:r>
      <m:oMath>
        <m:sSub>
          <m:e>
            <m:r>
              <m:t>k</m:t>
            </m:r>
          </m:e>
          <m:sub>
            <m:r>
              <m:t>600</m:t>
            </m:r>
          </m:sub>
        </m:sSub>
      </m:oMath>
      <w:r>
        <w:t xml:space="preserve"> </w:t>
      </w:r>
      <w:r>
        <w:t xml:space="preserve">estimates and associated uncertainties that requires only water surface width and slope and therefore no in situ information about a river’s hydraulic properties. We validate the algorithm on simulated SWOT data for 22 rivers (as SWOT has yet to launch, simulated data is necessary- Section 2.3). We also quantify the sensitivity of our algorithm to the expected measurement errors implicit in SWOT measurements. Finally, we compare our algorithm against published methods for estimating carbon dioxide evasion (</w:t>
      </w:r>
      <m:oMath>
        <m:r>
          <m:t>F</m:t>
        </m:r>
        <m:r>
          <m:t>C</m:t>
        </m:r>
        <m:sSub>
          <m:e>
            <m:r>
              <m:t>O</m:t>
            </m:r>
          </m:e>
          <m:sub>
            <m:r>
              <m:t>2</m:t>
            </m:r>
          </m:sub>
        </m:sSub>
      </m:oMath>
      <w:r>
        <w:t xml:space="preserve">) from rivers: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gauge-based techniques.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relies on no a priori knowledge of river hydraulics (section 2.1) and then we couple that upscaling model with remote sensing techniques to build BIKER (section 2.2). Following these methods, the validation setup is described (section 2.3), as is the workflow for comparing estimated bulk carbon effluxes from a suite of average flow velocity models (section 2.4). A flowchart detailing the entire study is included (Figure 1).</w:t>
      </w:r>
    </w:p>
    <w:p>
      <w:pPr>
        <w:pStyle w:val="FigureWithCaption"/>
      </w:pPr>
      <w:r>
        <w:drawing>
          <wp:inline>
            <wp:extent cx="5943600" cy="8446557"/>
            <wp:effectExtent b="0" l="0" r="0" t="0"/>
            <wp:docPr descr="Figure 1. Flowchart of methodology used in this study.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This extended earlier work predicting the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 </w:t>
      </w:r>
      <w:r>
        <w:t xml:space="preserve">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b"/>
            </m:rPr>
            <m:t>(</m:t>
          </m:r>
          <m:r>
            <m:rPr>
              <m:sty m:val="b"/>
            </m:rPr>
            <m:t>2</m:t>
          </m:r>
          <m:r>
            <m:rPr>
              <m:sty m:val="b"/>
            </m:rPr>
            <m:t>)</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goal of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RS-based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to define river size and train different upscaling functions for different groups of data with similar river sizes</w:t>
      </w:r>
      <w:r>
        <w:t xml:space="preserve"> </w:t>
      </w:r>
      <w:r>
        <w:t xml:space="preserve">(Figure 2, using the data from Ulseth et al., 2019)</w:t>
      </w:r>
      <w:r>
        <w:t xml:space="preserve">.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b"/>
            </m:rPr>
            <m:t>(</m:t>
          </m:r>
          <m:r>
            <m:rPr>
              <m:sty m:val="b"/>
            </m:rPr>
            <m:t>3</m:t>
          </m:r>
          <m:r>
            <m:rPr>
              <m:sty m:val="b"/>
            </m:rPr>
            <m:t>)</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SWOT measurements of water surface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remotely sense</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inference problem, which we largely follow here to conceptualize remote sensing</w:t>
      </w:r>
      <w:r>
        <w:t xml:space="preserve"> </w:t>
      </w:r>
      <m:oMath>
        <m:sSub>
          <m:e>
            <m:r>
              <m:t>k</m:t>
            </m:r>
          </m:e>
          <m:sub>
            <m:r>
              <m:t>600</m:t>
            </m:r>
          </m:sub>
        </m:sSub>
      </m:oMath>
      <w:r>
        <w:t xml:space="preserve"> </w:t>
      </w:r>
      <w:r>
        <w:t xml:space="preserve">as a Bayesian inference problem that can be solved using SWOT data.</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SWOT measurements of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an algorithm ingesting SWOT data).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(discretized via the change in channel area</w:t>
      </w:r>
      <w:r>
        <w:t xml:space="preserve"> </w:t>
      </w:r>
      <w:r>
        <w:rPr>
          <w:i/>
        </w:rPr>
        <w:t xml:space="preserve">dA</w:t>
      </w:r>
      <w:r>
        <w:t xml:space="preserve"> </w:t>
      </w:r>
      <w:r>
        <w:t xml:space="preserve">and median channel area</w:t>
      </w:r>
      <w:r>
        <w:t xml:space="preserve"> </w:t>
      </w:r>
      <m:oMath>
        <m:sSub>
          <m:e>
            <m:r>
              <m:t>A</m:t>
            </m:r>
          </m:e>
          <m:sub>
            <m:r>
              <m:t>0</m:t>
            </m:r>
          </m:sub>
        </m:sSub>
      </m:oMath>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b"/>
            </m:rPr>
            <m:t>(</m:t>
          </m:r>
          <m:r>
            <m:rPr>
              <m:sty m:val="b"/>
            </m:rPr>
            <m:t>4</m:t>
          </m:r>
          <m:r>
            <m:rPr>
              <m:sty m:val="b"/>
            </m:rPr>
            <m:t>)</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both sides of equation 5 are ln-transformed to produce the normal sampling model presented here, however they are written here without that transformation for succinctness. The</w:t>
      </w:r>
      <w:r>
        <w:t xml:space="preserve"> </w:t>
      </w:r>
      <m:oMath>
        <m:sSubSup>
          <m:e>
            <m:r>
              <m:t>σ</m:t>
            </m:r>
          </m:e>
          <m:sub>
            <m:r>
              <m:t>u</m:t>
            </m:r>
            <m:r>
              <m:t>p</m:t>
            </m:r>
            <m:r>
              <m:t>s</m:t>
            </m:r>
            <m:r>
              <m:t>c</m:t>
            </m:r>
            <m:r>
              <m:t>a</m:t>
            </m:r>
            <m:r>
              <m:t>l</m:t>
            </m:r>
            <m:r>
              <m:t>e</m:t>
            </m:r>
          </m:sub>
          <m:sup>
            <m:r>
              <m:t>2</m:t>
            </m:r>
          </m:sup>
        </m:sSubSup>
      </m:oMath>
      <w:r>
        <w:t xml:space="preserve"> </w:t>
      </w:r>
      <w:r>
        <w:t xml:space="preserve">parameter refers to the uncertainty inherent in the upscaled</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b"/>
            </m:rPr>
            <m:t>(</m:t>
          </m:r>
          <m:r>
            <m:rPr>
              <m:sty m:val="b"/>
            </m:rPr>
            <m:t>5</m:t>
          </m:r>
          <m:r>
            <m:rPr>
              <m:sty m:val="b"/>
            </m:rPr>
            <m:t>)</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for these physcial quantities,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w:r>
        <w:rPr>
          <w:i/>
        </w:rPr>
        <w:t xml:space="preserve">X</w:t>
      </w:r>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b"/>
            </m:rPr>
            <m:t>(</m:t>
          </m:r>
          <m:r>
            <m:rPr>
              <m:sty m:val="b"/>
            </m:rPr>
            <m:t>6</m:t>
          </m:r>
          <m:r>
            <m:rPr>
              <m:sty m:val="b"/>
            </m:rPr>
            <m:t>)</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Specifically, we explore three uncertainty scenarios to assess the realtive inlfuences of the different sources of uncertainity. Uncertainty in equation 4 can stem from three sources: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run 15,000 unique MC simulations on 5,000 sets of field measurements of river channel hydraulics</w:t>
      </w:r>
      <w:r>
        <w:t xml:space="preserve"> </w:t>
      </w:r>
      <w:r>
        <w:t xml:space="preserve">(Brinkerhoff et al., 2019)</w:t>
      </w:r>
      <w:r>
        <w:t xml:space="preserve"> </w:t>
      </w:r>
      <w:r>
        <w:t xml:space="preserve">under three different uncertainty scenarios. Each MC simulation is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slope-error model that we used is explained in detail in Section 2.3 and relies on a recent analysis of SWOT slope measurement errors</w:t>
      </w:r>
      <w:r>
        <w:t xml:space="preserve"> </w:t>
      </w:r>
      <w:r>
        <w:t xml:space="preserve">(Durand et al., 2020)</w:t>
      </w:r>
      <w:r>
        <w:t xml:space="preserve">. This results in three sets of 5,000 discrete distributions for</w:t>
      </w:r>
      <w:r>
        <w:t xml:space="preserve"> </w:t>
      </w:r>
      <m:oMath>
        <m:sSub>
          <m:e>
            <m:r>
              <m:t>k</m:t>
            </m:r>
          </m:e>
          <m:sub>
            <m:r>
              <m:t>600</m:t>
            </m:r>
          </m:sub>
        </m:sSub>
      </m:oMath>
      <w:r>
        <w:t xml:space="preserve"> </w:t>
      </w:r>
      <w:r>
        <w:t xml:space="preserve">from which the median uncertainty term for each scenario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obtained.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BIKER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 (</w:t>
      </w:r>
      <w:r>
        <w:rPr>
          <w:b/>
        </w:rPr>
        <w:t xml:space="preserve">is that sufficient to say?</w:t>
      </w:r>
      <w:r>
        <w:t xml:space="preserve">) 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w:t>
      </w:r>
      <w:r>
        <w:t xml:space="preserve"> </w:t>
      </w:r>
      <w:r>
        <w:t xml:space="preserve">(Durand et al., 2020)</w:t>
      </w:r>
      <w:r>
        <w:t xml:space="preserve"> </w:t>
      </w:r>
      <w:r>
        <w:t xml:space="preserve">and so generally occurs in areas of high topographic variation</w:t>
      </w:r>
      <w:r>
        <w:t xml:space="preserve"> </w:t>
      </w:r>
      <w:r>
        <w:t xml:space="preserve">(Rees, 2013)</w:t>
      </w:r>
      <w:r>
        <w:t xml:space="preserve">.</w:t>
      </w:r>
    </w:p>
    <w:p>
      <w:pPr>
        <w:pStyle w:val="BodyText"/>
      </w:pPr>
      <w:r>
        <w:t xml:space="preserve">To explore the effect of SWOT measurement errors on BIKER, the SWOT simulator mentioned above is the ideal tool. However, it is cumbersome to run on many rivers and so here we coarsely model measurement error using the results from a recent global anlaysis of SWOT water surface slope/height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 and water surface slopes by sampling every observation from normal distributions following equations 7 and 8 for node</w:t>
      </w:r>
      <w:r>
        <w:t xml:space="preserve"> </w:t>
      </w:r>
      <w:r>
        <w:rPr>
          <w:i/>
        </w:rPr>
        <w:t xml:space="preserve">i</w:t>
      </w:r>
      <w:r>
        <w:t xml:space="preserve"> </w:t>
      </w:r>
      <w:r>
        <w:t xml:space="preserve">and timestep</w:t>
      </w:r>
      <w:r>
        <w:t xml:space="preserve"> </w:t>
      </w:r>
      <w:r>
        <w:rPr>
          <w:i/>
        </w:rPr>
        <w:t xml:space="preserve">t</w:t>
      </w:r>
      <w:r>
        <w:t xml:space="preserve">.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 Note that equation 7 is also used to define slope measurement error in the MC analysis (section 2.2).</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rPr>
              <m:sty m:val="b"/>
            </m:rPr>
            <m:t>(</m:t>
          </m:r>
          <m:r>
            <m:rPr>
              <m:sty m:val="b"/>
            </m:rPr>
            <m:t>7</m:t>
          </m:r>
          <m:r>
            <m:rPr>
              <m:sty m:val="b"/>
            </m:rPr>
            <m:t>)</m:t>
          </m:r>
        </m:oMath>
      </m:oMathPara>
    </w:p>
    <w:p>
      <w:pPr>
        <w:pStyle w:val="FirstParagraph"/>
      </w:pPr>
      <m:oMathPara>
        <m:oMathParaPr>
          <m:jc m:val="center"/>
        </m:oMathParaP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r>
            <m:rPr>
              <m:sty m:val="b"/>
            </m:rPr>
            <m:t>(</m:t>
          </m:r>
          <m:r>
            <m:rPr>
              <m:sty m:val="b"/>
            </m:rPr>
            <m:t>8</m:t>
          </m:r>
          <m:r>
            <m:rPr>
              <m:sty m:val="b"/>
            </m:rP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and @ulsethDistinctAirWater2019a)</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r>
        <w:t xml:space="preserve"> </w:t>
      </w:r>
      <w:r>
        <w:rPr>
          <w:b/>
        </w:rPr>
        <w:t xml:space="preserve">MIGHT NEED TO ACCOUNT FOR SLOPE UNCERTAINITY TOO? I can probably justify not doing this though</w:t>
      </w:r>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b"/>
            </m:rPr>
            <m:t>(</m:t>
          </m:r>
          <m:r>
            <m:rPr>
              <m:sty m:val="b"/>
            </m:rPr>
            <m:t>9</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w:t>
      </w:r>
      <w:r>
        <w:t xml:space="preserve"> </w:t>
      </w:r>
      <m:oMath>
        <m:r>
          <m:t>[</m:t>
        </m:r>
        <m:r>
          <m:t>M</m:t>
        </m:r>
        <m:r>
          <m:t>/</m:t>
        </m:r>
        <m:r>
          <m:t>T</m:t>
        </m:r>
        <m:r>
          <m:t>]</m:t>
        </m:r>
      </m:oMath>
      <w:r>
        <w:t xml:space="preserve"> </w:t>
      </w:r>
      <w:r>
        <w:t xml:space="preserve">(via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our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22 rivers after accounting for total river surface area.</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gauged and ungauged methods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 or not mention it??</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the three uncertainity scenarios (section 2.2) 5,000 times. Figures 4a, 4c, and 4e plot histograms of the 5,000 uncertainty terms extracted from those distributions (Figures 4b, 4d, and 4f plot three of the distributions used to build the histograms as examples). Across the 5,000 tests for the fullest error scenario (Figure 4e), we quantified median ln-transformed uncertainty in equation 4 to be 1.28 (~3.6 m/day- dashed blue line in Figure 4a). While the cases when estimate uncertainity is extremely high get larger under the fullest uncertainity scenario (Figure 4e right-hand tail), median uncertainty solely from the upscaling model is also 1.27, confirming that functionally all uncertainity in the equation 4 estimates is due to upscaling and not due to the assumptions made for BIKER. Figures 4b, 4d, and 4f are also functionally identical, further corroborating this result.</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0.14 (or 1.38) m/day across all predictions. Again, this is substantially less than the RMSEs for the upscaling models (Figure 3) and the MC-propogated uncertainties (Figure 4).</w:t>
      </w:r>
    </w:p>
    <w:p>
      <w:pPr>
        <w:pStyle w:val="FigureWithCaption"/>
      </w:pPr>
      <w:r>
        <w:drawing>
          <wp:inline>
            <wp:extent cx="5943600" cy="3467100"/>
            <wp:effectExtent b="0" l="0" r="0" t="0"/>
            <wp:docPr descr="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with and without SWOT measurement error (i.e. the boxplots are composed of scores for the 22 rivers- see Table 1 for metric definitions). SWOT measurement uncertainties slightly degrade performance in KGE, neglibily degrade rBIAS and RRMSE, and actually improve performance in NRMSE (Figure 6a). Aside from the modest decrease in KGE, SWOT measurement error does not exert a significant influence on BIKER and so the results presented for the rest of the manuscript assume no measurement error. Median rBIAS is 0.04,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0.53, which is excellent given that absolutely no in situ information is being used to predict</w:t>
      </w:r>
      <w:r>
        <w:t xml:space="preserve"> </w:t>
      </w:r>
      <m:oMath>
        <m:sSub>
          <m:e>
            <m:r>
              <m:t>k</m:t>
            </m:r>
          </m:e>
          <m:sub>
            <m:r>
              <m:t>600</m:t>
            </m:r>
          </m:sub>
        </m:sSub>
      </m:oMath>
      <w:r>
        <w:t xml:space="preserve">. NRMSE and RMSE have median scores of 0.29 and 0.28, respectively. While median KGE and rBIAS scores were strong, the ranges of these scores were somewhat large (standard deviation for KGE of 0.53 and for rBIAS of 0.34).</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nfluences-on-carbon-efflux-estimates"/>
      <w:bookmarkEnd w:id="39"/>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models (741, 770, and 860 gG-C/yr for ‘Raymond 2012’, ‘Raymond 2013’, and ‘Lauerwald 2015’, respectively). Thus, BIKER reasonably captures the estimated efflux from these rivers purely from RS data, and surprisingly outperforms the gauge-based approaches when assessiung bulk flux properties (Figure 8a).</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BIKER has similar NRMSE and RRMSE performance, which is generally worse than the rating curves. But, BIKER NRMSE is only slightly worse than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better, similar, or negligibly worse than the gauge-based upscaling approaches tested here and notably worse for RRMSE.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remote-sensing-global-spatiotemporal-dynamics-of-k_600"/>
      <w:bookmarkEnd w:id="43"/>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and Naegeli, 1998)</w:t>
      </w:r>
      <w:r>
        <w:t xml:space="preserve">, or 4) oxygen diel curves</w:t>
      </w:r>
      <w:r>
        <w:t xml:space="preserve"> </w:t>
      </w:r>
      <w:r>
        <w:t xml:space="preserve">(where gas exchange is still assumed constant in time- e.g. Appling et al., 2018; Demars et al., 2015)</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(Figures 4 and 6a) bode well for BIKER's eventual implementation on real SWOT observations. The results presented here suggest that daily estimation of riverine gas exchange globally could be possible once SWOT launches.</w:t>
      </w:r>
    </w:p>
    <w:p>
      <w:pPr>
        <w:pStyle w:val="Heading3"/>
      </w:pPr>
      <w:bookmarkStart w:id="44" w:name="estimating-bulk-carbon-efflux-using-the-swot-satellite"/>
      <w:bookmarkEnd w:id="44"/>
      <w:r>
        <w:t xml:space="preserve">4.2 Estimating bulk carbon efflux using the SWOT satellite</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This encouraging result has two main implications for future work. First, section 2.4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resoultion in situ gas concentration loggers</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1) upscaling in ungauged rivers as hypothesized, but also in 2) potentially improving our bulk efflux understandings at gauged sites. Future work should systematically quantify prediction error from coupling global-scope HG models with modeled discharge, as is the default workflow used in recent upscaling studies</w:t>
      </w:r>
      <w:r>
        <w:t xml:space="preserve"> </w:t>
      </w:r>
      <w:r>
        <w:t xml:space="preserve">(e.g. Lauerwald et al., 2015,</w:t>
      </w:r>
      <w:r>
        <w:t xml:space="preserve"> </w:t>
      </w:r>
      <w:r>
        <w:t xml:space="preserve">Horgby et al. (2019)</w:t>
      </w:r>
      <w:r>
        <w:t xml:space="preserve">)</w:t>
      </w:r>
      <w:r>
        <w:t xml:space="preserve">.</w:t>
      </w:r>
      <w:r>
        <w:t xml:space="preserve"> </w:t>
      </w:r>
      <w:r>
        <w:rPr>
          <w:b/>
        </w:rPr>
        <w:t xml:space="preserve">I assume Shaoda's paper will still be in review and can't cite here...</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generally the case in rivers wide enough to be SWOT-observable- Ferguson, 2010)</w:t>
      </w:r>
      <w:r>
        <w:t xml:space="preserve">. Upon SWOT's launch, the BIKER approach to estimating gas exchange could be coupled with existing upscaling workflows to improve riverine gas flux predictions where gauges are unavailable but SWOT measurements are.</w:t>
      </w:r>
    </w:p>
    <w:p>
      <w:pPr>
        <w:pStyle w:val="Heading3"/>
      </w:pPr>
      <w:bookmarkStart w:id="45" w:name="sources-of-biker-uncertainty-process-level-or-remote-sensing"/>
      <w:bookmarkEnd w:id="45"/>
      <w:r>
        <w:t xml:space="preserve">4.2 Sources of BIKER uncertainty: process-level or remote sensing?</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We argue that BIKER's estimate uncertainity is therefore limited by our current process-level understanding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through which we can study riverine gas exchange theory.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6" w:name="gas-exchange-under-uniform-and-non-uniform-flow-conditions"/>
      <w:bookmarkEnd w:id="46"/>
      <w:r>
        <w:t xml:space="preserve">4.2.1 Gas exchange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answer this question.</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affects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and their GHG evasion due to the fractal nature of river systems</w:t>
      </w:r>
      <w:r>
        <w:t xml:space="preserve"> </w:t>
      </w:r>
      <w:r>
        <w:t xml:space="preserve">(Horgby et al., 2019; 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only modestly worse than those made using a streamgauge and the global-scope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C.B. Brinkerhoff was funded on xxxxxxxxxxxxx. BIKER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Data used in this study was made generously available by the authors of Frasson et al. (2019), Ulseth et al. (2019), and Beaulieu et al. (2012).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59">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0">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1">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2">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3">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4">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5">
        <w:r>
          <w:rPr>
            <w:rStyle w:val="Hyperlink"/>
          </w:rPr>
          <w:t xml:space="preserve">https://doi.org/10.1007/s10021-006-9013-8</w:t>
        </w:r>
      </w:hyperlink>
    </w:p>
    <w:p>
      <w:pPr>
        <w:pStyle w:val="Bibliography"/>
      </w:pPr>
      <w:r>
        <w:t xml:space="preserve">Demars, B.O.L., Thompson, J., Manson, J.R., 2015. Stream metabolism and the open diel oxygen method: Principles, practice, and perspectives. Limnology and Oceanography: Methods 13, 356–374.</w:t>
      </w:r>
      <w:r>
        <w:t xml:space="preserve"> </w:t>
      </w:r>
      <w:hyperlink r:id="rId66">
        <w:r>
          <w:rPr>
            <w:rStyle w:val="Hyperlink"/>
          </w:rPr>
          <w:t xml:space="preserve">https://doi.org/10.1002/lom3.10030</w:t>
        </w:r>
      </w:hyperlink>
    </w:p>
    <w:p>
      <w:pPr>
        <w:pStyle w:val="Bibliography"/>
      </w:pPr>
      <w:r>
        <w:t xml:space="preserve">Dingman, S.L., 2007. Analytical derivation of at-a-station hydraulicGeometry relations. Journal of Hydrology 334, 17–27.</w:t>
      </w:r>
      <w:r>
        <w:t xml:space="preserve"> </w:t>
      </w:r>
      <w:hyperlink r:id="rId67">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8">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9">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0">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71">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72">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3">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5">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6">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7">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8">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9">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6">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7">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0">
        <w:r>
          <w:rPr>
            <w:rStyle w:val="Hyperlink"/>
          </w:rPr>
          <w:t xml:space="preserve">https://doi.org/10.1029/2019WR025287</w:t>
        </w:r>
      </w:hyperlink>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1">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2">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3">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4">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5">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96">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97">
        <w:r>
          <w:rPr>
            <w:rStyle w:val="Hyperlink"/>
          </w:rPr>
          <w:t xml:space="preserve">https://doi.org/10.1029/2008WR007424</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9">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100">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101">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2">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103">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4">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5">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6">
        <w:r>
          <w:rPr>
            <w:rStyle w:val="Hyperlink"/>
          </w:rPr>
          <w:t xml:space="preserve">https://doi.org/10.1029/WR024i008p01317</w:t>
        </w:r>
      </w:hyperlink>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07">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1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2">
        <w:r>
          <w:rPr>
            <w:rStyle w:val="Hyperlink"/>
          </w:rPr>
          <w:t xml:space="preserve">https://doi.org/10.1029/2006GL028790</w:t>
        </w:r>
      </w:hyperlink>
    </w:p>
    <w:sectPr w:rsidR="00F3367E" w:rsidRPr="00F3367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280711"/>
      <w:docPartObj>
        <w:docPartGallery w:val="Page Numbers (Bottom of Page)"/>
        <w:docPartUnique/>
      </w:docPartObj>
    </w:sdtPr>
    <w:sdtEndPr>
      <w:rPr>
        <w:rFonts w:ascii="Times New Roman" w:hAnsi="Times New Roman" w:cs="Times New Roman"/>
        <w:noProof/>
      </w:rPr>
    </w:sdtEndPr>
    <w:sdtContent>
      <w:p w14:paraId="5BE606CD" w14:textId="69E5DD97" w:rsidR="002059CC" w:rsidRPr="002059CC" w:rsidRDefault="002059CC">
        <w:pPr>
          <w:pStyle w:val="Footer"/>
          <w:jc w:val="center"/>
          <w:rPr>
            <w:rFonts w:ascii="Times New Roman" w:hAnsi="Times New Roman" w:cs="Times New Roman"/>
          </w:rPr>
        </w:pPr>
        <w:r w:rsidRPr="002059CC">
          <w:rPr>
            <w:rFonts w:ascii="Times New Roman" w:hAnsi="Times New Roman" w:cs="Times New Roman"/>
          </w:rPr>
          <w:fldChar w:fldCharType="begin"/>
        </w:r>
        <w:r w:rsidRPr="002059CC">
          <w:rPr>
            <w:rFonts w:ascii="Times New Roman" w:hAnsi="Times New Roman" w:cs="Times New Roman"/>
          </w:rPr>
          <w:instrText xml:space="preserve"> PAGE   \* MERGEFORMAT </w:instrText>
        </w:r>
        <w:r w:rsidRPr="002059CC">
          <w:rPr>
            <w:rFonts w:ascii="Times New Roman" w:hAnsi="Times New Roman" w:cs="Times New Roman"/>
          </w:rPr>
          <w:fldChar w:fldCharType="separate"/>
        </w:r>
        <w:r w:rsidRPr="002059CC">
          <w:rPr>
            <w:rFonts w:ascii="Times New Roman" w:hAnsi="Times New Roman" w:cs="Times New Roman"/>
            <w:noProof/>
          </w:rPr>
          <w:t>2</w:t>
        </w:r>
        <w:r w:rsidRPr="002059CC">
          <w:rPr>
            <w:rFonts w:ascii="Times New Roman" w:hAnsi="Times New Roman" w:cs="Times New Roman"/>
            <w:noProof/>
          </w:rPr>
          <w:fldChar w:fldCharType="end"/>
        </w:r>
      </w:p>
    </w:sdtContent>
  </w:sdt>
  <w:p w14:paraId="50831D15" w14:textId="77777777" w:rsidR="002059CC" w:rsidRDefault="002059C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9bbf6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91182a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66" Target="https://doi.org/10.1002/lom3.10030"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66" Target="https://doi.org/10.1002/lom3.10030"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dcterms:created xsi:type="dcterms:W3CDTF">2021-02-22T23:00:43Z</dcterms:created>
  <dcterms:modified xsi:type="dcterms:W3CDTF">2021-02-22T23:00:43Z</dcterms:modified>
</cp:coreProperties>
</file>