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jpg" ContentType="image/jpeg"/>
  <Override PartName="/word/media/rId40.jpg" ContentType="image/jpeg"/>
  <Override PartName="/word/media/rId35.jpg" ContentType="image/jpeg"/>
  <Override PartName="/word/media/rId25.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2021-02-17</w:t>
      </w:r>
    </w:p>
    <w:p>
      <w:pPr>
        <w:pStyle w:val="Heading2"/>
      </w:pPr>
      <w:bookmarkStart w:id="21" w:name="key-points-85-characters-each"/>
      <w:bookmarkEnd w:id="21"/>
      <w:r>
        <w:t xml:space="preserve">Key Points (85 characters each)</w:t>
      </w:r>
    </w:p>
    <w:p>
      <w:pPr>
        <w:pStyle w:val="Compact"/>
        <w:numPr>
          <w:numId w:val="1001"/>
          <w:ilvl w:val="0"/>
        </w:numPr>
      </w:pPr>
      <w:r>
        <w:t xml:space="preserve">We introduce the BIKER algorithm to remotely sense riverine gas exchange using the SWOT satellite</w:t>
      </w:r>
    </w:p>
    <w:p>
      <w:pPr>
        <w:pStyle w:val="Compact"/>
        <w:numPr>
          <w:numId w:val="1001"/>
          <w:ilvl w:val="0"/>
        </w:numPr>
      </w:pPr>
      <w:r>
        <w:t xml:space="preserve">BIKER replicates estimates of</w:t>
      </w:r>
      <w:r>
        <w:t xml:space="preserve"> </w:t>
      </w:r>
      <m:oMath>
        <m:r>
          <m:t>C</m:t>
        </m:r>
        <m:sSub>
          <m:e>
            <m:r>
              <m:t>O</m:t>
            </m:r>
          </m:e>
          <m:sub>
            <m:r>
              <m:t>2</m:t>
            </m:r>
          </m:sub>
        </m:sSub>
      </m:oMath>
      <w:r>
        <w:t xml:space="preserve"> </w:t>
      </w:r>
      <w:r>
        <w:t xml:space="preserve">fluxes when coupled with in situ concentration data</w:t>
      </w:r>
    </w:p>
    <w:p>
      <w:pPr>
        <w:pStyle w:val="Compact"/>
        <w:numPr>
          <w:numId w:val="1001"/>
          <w:ilvl w:val="0"/>
        </w:numPr>
      </w:pPr>
      <w:r>
        <w:t xml:space="preserve">Expected SWOT measurement errors exert a trivial influence on BIKER's estimates</w:t>
      </w:r>
    </w:p>
    <w:p>
      <w:pPr>
        <w:pStyle w:val="Compact"/>
        <w:numPr>
          <w:numId w:val="1001"/>
          <w:ilvl w:val="0"/>
        </w:numPr>
      </w:pPr>
      <w:r>
        <w:t xml:space="preserve">BIKER's accuracy is limited by process-level uncertainties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 and a byproduct of many of these processes is riverine greenhouse gas (GHG) production</w:t>
      </w:r>
      <w:r>
        <w:t xml:space="preserve"> </w:t>
      </w:r>
      <w:r>
        <w:t xml:space="preserve">(Cole et al., 2007)</w:t>
      </w:r>
      <w:r>
        <w:t xml:space="preserve">. Rivers are usually supersaturated with dissolved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p"/>
            </m:rPr>
            <m:t>(1)</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estimates of the</w:t>
      </w:r>
      <w:r>
        <w:t xml:space="preserve"> </w:t>
      </w:r>
      <w:r>
        <w:rPr>
          <w:i/>
        </w:rPr>
        <w:t xml:space="preserve">V</w:t>
      </w:r>
      <w:r>
        <w:t xml:space="preserve"> </w:t>
      </w:r>
      <w:r>
        <w:t xml:space="preserve">of the river channel. Thus, drainage-network-scale GHG emissions estimates are sensitive to their</w:t>
      </w:r>
      <w:r>
        <w:t xml:space="preserve"> </w:t>
      </w:r>
      <w:r>
        <w:rPr>
          <w:i/>
        </w:rPr>
        <w:t xml:space="preserve">V</w:t>
      </w:r>
      <w:r>
        <w:t xml:space="preserve"> </w:t>
      </w:r>
      <w:r>
        <w:t xml:space="preserve">data. This is exasperated in ungauged basins where</w:t>
      </w:r>
      <w:r>
        <w:t xml:space="preserve"> </w:t>
      </w:r>
      <w:r>
        <w:rPr>
          <w:i/>
        </w:rPr>
        <w:t xml:space="preserve">V</w:t>
      </w:r>
      <w:r>
        <w:t xml:space="preserve"> </w:t>
      </w:r>
      <w:r>
        <w:t xml:space="preserve">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(Borges et al., 2004; e.g.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hydrologic and hydraulic models [] to methods that use no in situ information ('ungauged approaches') []. Many of these ungauged approaches were developed in the context of the upcoming NASA/CNES/UKSA/CSA Surface Water and Ocean Topography (SWOT) satellite mission.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Andreadis et al., 2020; Brinkerhoff et al., 2020; Durand et al., 2014; Garambois and Monnier, 2015; Gleason et al., 2014; Hagemann et al., 2017; Larnier et al., 2020; Oubanas et al., 2018)</w:t>
      </w:r>
      <w:r>
        <w:t xml:space="preserve">. A specific subset of these ungauged RSQ methods are termed ‘McFLIs’ or ‘Mass Conserved Flow Law Inversion’ algorithms (e.g.</w:t>
      </w:r>
      <w:r>
        <w:t xml:space="preserve"> </w:t>
      </w:r>
      <w:r>
        <w:t xml:space="preserve">Andreadis et al. (2020)</w:t>
      </w:r>
      <w:r>
        <w:t xml:space="preserve">;</w:t>
      </w:r>
      <w:r>
        <w:t xml:space="preserve"> </w:t>
      </w:r>
      <w:r>
        <w:t xml:space="preserve">Brinkerhoff et al. (2020)</w:t>
      </w:r>
      <w:r>
        <w:t xml:space="preserve">;</w:t>
      </w:r>
      <w:r>
        <w:t xml:space="preserve"> </w:t>
      </w:r>
      <w:r>
        <w:t xml:space="preserve">Durand et al. (2014)</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Thus, to advance our understanding of riverine GHG fluxes in ungauged basins and/or at drainage-network-scales, we sought to estimate</w:t>
      </w:r>
      <w:r>
        <w:t xml:space="preserve"> </w:t>
      </w:r>
      <m:oMath>
        <m:sSub>
          <m:e>
            <m:r>
              <m:t>k</m:t>
            </m:r>
          </m:e>
          <m:sub>
            <m:r>
              <m:t>600</m:t>
            </m:r>
          </m:sub>
        </m:sSub>
      </m:oMath>
      <w:r>
        <w:t xml:space="preserve"> </w:t>
      </w:r>
      <w:r>
        <w:t xml:space="preserve">using only RS data and no in situ information. We hypothesize that remote sensing</w:t>
      </w:r>
      <w:r>
        <w:t xml:space="preserve"> </w:t>
      </w:r>
      <m:oMath>
        <m:sSub>
          <m:e>
            <m:r>
              <m:t>k</m:t>
            </m:r>
          </m:e>
          <m:sub>
            <m:r>
              <m:t>600</m:t>
            </m:r>
          </m:sub>
        </m:sSub>
      </m:oMath>
      <w:r>
        <w:t xml:space="preserve"> </w:t>
      </w:r>
      <w:r>
        <w:t xml:space="preserve">is possible by coupling 1) hydraulic geometry theory, 2)</w:t>
      </w:r>
      <w:r>
        <w:t xml:space="preserve"> </w:t>
      </w:r>
      <m:oMath>
        <m:sSub>
          <m:e>
            <m:r>
              <m:t>k</m:t>
            </m:r>
          </m:e>
          <m:sub>
            <m:r>
              <m:t>600</m:t>
            </m:r>
          </m:sub>
        </m:sSub>
      </m:oMath>
      <w:r>
        <w:t xml:space="preserve"> </w:t>
      </w:r>
      <w:r>
        <w:t xml:space="preserve">upscaling theory, 3) Bayesian remote sensing (in a manner similar to McFLI), and 4) SWOT data. More specifically, this manuscript aims to answer two questions:</w:t>
      </w:r>
      <w:r>
        <w:t xml:space="preserve"> </w:t>
      </w:r>
      <w:r>
        <w:t xml:space="preserve">1) Is ungauged RS of the gas exchange velocity possible?</w:t>
      </w:r>
      <w:r>
        <w:t xml:space="preserve"> </w:t>
      </w:r>
      <w:r>
        <w:t xml:space="preserve">2) How might this algorithm influence upscaled estimates of riverine carbon efflux to the atmosphere?</w:t>
      </w:r>
    </w:p>
    <w:p>
      <w:pPr>
        <w:pStyle w:val="BodyText"/>
      </w:pPr>
      <w:r>
        <w:t xml:space="preserve">To answer these questions, we build a RS algorithm that ingests SWOT data and produces</w:t>
      </w:r>
      <w:r>
        <w:t xml:space="preserve"> </w:t>
      </w:r>
      <m:oMath>
        <m:sSub>
          <m:e>
            <m:r>
              <m:t>k</m:t>
            </m:r>
          </m:e>
          <m:sub>
            <m:r>
              <m:t>600</m:t>
            </m:r>
          </m:sub>
        </m:sSub>
      </m:oMath>
      <w:r>
        <w:t xml:space="preserve"> </w:t>
      </w:r>
      <w:r>
        <w:t xml:space="preserve">estimates (with fully quantified uncertainty within a Bayesian framework) that requires no in situ information about a river’s hydraulic properties. We validate the algorithm on simulated SWOT data for 22 rivers (as SWOT has yet to launch, simulated data is necessary- Section 2.3). We also quantify the influence of the expected measurement errors in SWOT data on our</w:t>
      </w:r>
      <w:r>
        <w:t xml:space="preserve"> </w:t>
      </w:r>
      <m:oMath>
        <m:sSub>
          <m:e>
            <m:r>
              <m:t>k</m:t>
            </m:r>
          </m:e>
          <m:sub>
            <m:r>
              <m:t>600</m:t>
            </m:r>
          </m:sub>
        </m:sSub>
      </m:oMath>
      <w:r>
        <w:t xml:space="preserve"> </w:t>
      </w:r>
      <w:r>
        <w:t xml:space="preserve">estimates. Finally, we compare our algorithm against published methods: we use previously published dissolved carbon dioxide (</w:t>
      </w:r>
      <m:oMath>
        <m:r>
          <m:t>C</m:t>
        </m:r>
        <m:sSub>
          <m:e>
            <m:r>
              <m:t>O</m:t>
            </m:r>
          </m:e>
          <m:sub>
            <m:r>
              <m:t>2</m:t>
            </m:r>
          </m:sub>
        </m:sSub>
      </m:oMath>
      <w:r>
        <w:t xml:space="preserve">) 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velocity rating curves and in situ discharge records.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does not rely on a priori knowledge of the river (section 2.1) and then we use that upscaling model to build the actual RS algorithm (section 2.2). Following these methods, the validation setup is described (section 2.3), as is the comparison of estimated bulk carbon effluxes from a suite of average flow velocity models (section 2.4). A flowchart detailing the complete workflow is included (Figure 1).</w:t>
      </w:r>
    </w:p>
    <w:p>
      <w:pPr>
        <w:pStyle w:val="FigureWithCaption"/>
      </w:pPr>
      <w:r>
        <w:drawing>
          <wp:inline>
            <wp:extent cx="5943600" cy="8446557"/>
            <wp:effectExtent b="0" l="0" r="0" t="0"/>
            <wp:docPr descr="Figure 1. Flowchart of methodology developed in this chapter.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developed in this chapter.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extending earlier work predicting the reaeration coefficient</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’s work 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p"/>
            </m:rPr>
            <m:t>(2)</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purposes outlined for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as a proxy for river size and train different upscaling functions for different groups of data with similar river sizes (Figure 2, using data from</w:t>
      </w:r>
      <w:r>
        <w:t xml:space="preserve"> </w:t>
      </w:r>
      <w:r>
        <w:t xml:space="preserve">(Ulseth et al., 2019)</w:t>
      </w:r>
      <w:r>
        <w:t xml:space="preserve"> </w:t>
      </w:r>
      <w:r>
        <w:t xml:space="preserve">dataset).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p"/>
            </m:rPr>
            <m:t>(3)</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river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RS</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inference problem, which we largely follow here to conceptualize remote sensing</w:t>
      </w:r>
      <w:r>
        <w:t xml:space="preserve"> </w:t>
      </w:r>
      <m:oMath>
        <m:sSub>
          <m:e>
            <m:r>
              <m:t>k</m:t>
            </m:r>
          </m:e>
          <m:sub>
            <m:r>
              <m:t>600</m:t>
            </m:r>
          </m:sub>
        </m:sSub>
      </m:oMath>
      <w:r>
        <w:t xml:space="preserve"> </w:t>
      </w:r>
      <w:r>
        <w:t xml:space="preserve">as a Bayesian inference problem.</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our application).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for the change in channel area</w:t>
      </w:r>
      <w:r>
        <w:t xml:space="preserve"> </w:t>
      </w:r>
      <w:r>
        <w:rPr>
          <w:i/>
        </w:rPr>
        <w:t xml:space="preserve">dA</w:t>
      </w:r>
      <w:r>
        <w:t xml:space="preserve"> </w:t>
      </w:r>
      <w:r>
        <w:t xml:space="preserve">and median channel area</w:t>
      </w:r>
      <w:r>
        <w:t xml:space="preserve"> </w:t>
      </w:r>
      <m:oMath>
        <m:sSub>
          <m:e>
            <m:r>
              <m:t>A</m:t>
            </m:r>
          </m:e>
          <m:sub>
            <m:r>
              <m:t>0</m:t>
            </m:r>
          </m:sub>
        </m:sSub>
      </m:oMath>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p"/>
            </m:rPr>
            <m:t>(4)</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to yield a normal sampling model, however they are written here without a transformation for succinctness.</w:t>
      </w:r>
      <w:r>
        <w:t xml:space="preserve"> </w:t>
      </w:r>
      <m:oMath>
        <m:sSubSup>
          <m:e>
            <m:r>
              <m:t>σ</m:t>
            </m:r>
          </m:e>
          <m:sub>
            <m:r>
              <m:t>u</m:t>
            </m:r>
            <m:r>
              <m:t>p</m:t>
            </m:r>
            <m:r>
              <m:t>s</m:t>
            </m:r>
            <m:r>
              <m:t>c</m:t>
            </m:r>
            <m:r>
              <m:t>a</m:t>
            </m:r>
            <m:r>
              <m:t>l</m:t>
            </m:r>
            <m:r>
              <m:t>e</m:t>
            </m:r>
          </m:sub>
          <m:sup>
            <m:r>
              <m:t>2</m:t>
            </m:r>
          </m:sup>
        </m:sSubSup>
      </m:oMath>
      <w:r>
        <w:t xml:space="preserve"> </w:t>
      </w:r>
      <w:r>
        <w:t xml:space="preserve">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p"/>
            </m:rPr>
            <m:t>(5)</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m:oMath>
        <m:r>
          <m:t>X</m:t>
        </m:r>
        <m:r>
          <m:t>=</m:t>
        </m:r>
        <m:r>
          <m:t>n</m:t>
        </m:r>
      </m:oMath>
      <w:r>
        <w:t xml:space="preserve">,</w:t>
      </w:r>
      <w:r>
        <w:t xml:space="preserve"> </w:t>
      </w:r>
      <m:oMath>
        <m:sSub>
          <m:e>
            <m:r>
              <m:t>A</m:t>
            </m:r>
          </m:e>
          <m:sub>
            <m:r>
              <m:t>0</m:t>
            </m:r>
          </m:sub>
        </m:sSub>
      </m:oMath>
      <w:r>
        <w:t xml:space="preserve">, or</w:t>
      </w:r>
      <w:r>
        <w:t xml:space="preserve"> </w:t>
      </w:r>
      <m:oMath>
        <m:sSub>
          <m:e>
            <m:r>
              <m:t>k</m:t>
            </m:r>
          </m:e>
          <m:sub>
            <m:r>
              <m:t>600</m:t>
            </m:r>
          </m:sub>
        </m:sSub>
      </m:oMath>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p"/>
            </m:rPr>
            <m:t>(6)</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We specifically explore three uncertainty scenarios to assess which error source is most influential. Uncertainty in equation 4 can stem from three sources: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ran three sets of MC simulations on 5,000 sets of field measurements of river channel hydraulics</w:t>
      </w:r>
      <w:r>
        <w:t xml:space="preserve"> </w:t>
      </w:r>
      <w:r>
        <w:t xml:space="preserve">(Brinkerhoff et al., 2019)</w:t>
      </w:r>
      <w:r>
        <w:t xml:space="preserve">. Each MC simulation was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specifics of the slope-error model used are elaborated in Section 2.3, but in short we account for both the SWOT error tolerances and radar layover error</w:t>
      </w:r>
      <w:r>
        <w:t xml:space="preserve"> </w:t>
      </w:r>
      <w:r>
        <w:t xml:space="preserve">(Durand et al., 2020)</w:t>
      </w:r>
      <w:r>
        <w:t xml:space="preserve">. This resulted in three sets of 5,000 discrete distributions for</w:t>
      </w:r>
      <w:r>
        <w:t xml:space="preserve"> </w:t>
      </w:r>
      <m:oMath>
        <m:sSub>
          <m:e>
            <m:r>
              <m:t>k</m:t>
            </m:r>
          </m:e>
          <m:sub>
            <m:r>
              <m:t>600</m:t>
            </m:r>
          </m:sub>
        </m:sSub>
      </m:oMath>
      <w:r>
        <w:t xml:space="preserve"> </w:t>
      </w:r>
      <w:r>
        <w:t xml:space="preserve">from which the median uncertainty term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derived.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the BIKER algorithm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and represent the best-case scenarios of what SWOT will provide to hydrologists.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within the SWOT context. We omitted the Arial Khan river in Bangladesh due to known problems with that hydraulic model and we further sampled the models for only the observations every 11 days to mimic the average SWOT overpass frequency (this also approximately algins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the performance degradation due to errors inherent in SWOT measurements. Error in SWOT-measured river heights and water surface slopes will come from tolerances internal to the satellite, i.e. the SWOT error budget, as well as radar layover error. River width errors are assumed here to be neglible</w:t>
      </w:r>
      <w:r>
        <w:t xml:space="preserve"> </w:t>
      </w:r>
      <w:r>
        <w:t xml:space="preserve">(Durand et al., 2020)</w:t>
      </w:r>
      <w:r>
        <w:t xml:space="preserve">. Layover error is the phenomenon when radar returns arrive at the sensor at the same time, generally in areas of high topographic variation</w:t>
      </w:r>
      <w:r>
        <w:t xml:space="preserve"> </w:t>
      </w:r>
      <w:r>
        <w:t xml:space="preserve">(Rees, 2013)</w:t>
      </w:r>
      <w:r>
        <w:t xml:space="preserve">. While the SWOT simulator mentioned above is ideal for this analysis, it is cumbersome to run on many rivers and so here we coarsely model measurement error using the results from a recent global anlaysis of SWOT radar layover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w:t>
      </w:r>
      <w:r>
        <w:t xml:space="preserve"> </w:t>
      </w:r>
      <w:r>
        <w:rPr>
          <w:i/>
        </w:rPr>
        <w:t xml:space="preserve">H</w:t>
      </w:r>
      <w:r>
        <w:t xml:space="preserve"> </w:t>
      </w:r>
      <w:r>
        <w:t xml:space="preserve">and water surface slopes</w:t>
      </w:r>
      <w:r>
        <w:t xml:space="preserve"> </w:t>
      </w:r>
      <m:oMath>
        <m:sSub>
          <m:e>
            <m:r>
              <m:t>S</m:t>
            </m:r>
          </m:e>
          <m:sub>
            <m:r>
              <m:t>h</m:t>
            </m:r>
          </m:sub>
        </m:sSub>
      </m:oMath>
      <w:r>
        <w:t xml:space="preserve"> </w:t>
      </w:r>
      <w:r>
        <w:t xml:space="preserve">by sampling every observation from a normal distribution as by equations 7 and 8.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w:t>
      </w:r>
      <w:r>
        <w:t xml:space="preserve"> </w:t>
      </w:r>
      <m:oMath>
        <m:sSub>
          <m:e>
            <m:r>
              <m:t>σ</m:t>
            </m:r>
          </m:e>
          <m:sub>
            <m:r>
              <m:t>d</m:t>
            </m:r>
            <m:r>
              <m:t>A</m:t>
            </m:r>
          </m:sub>
        </m:sSub>
        <m:r>
          <m:t>≈</m:t>
        </m:r>
        <m:r>
          <m:t>W</m:t>
        </m:r>
        <m:sSub>
          <m:e>
            <m:r>
              <m:t>σ</m:t>
            </m:r>
          </m:e>
          <m:sub>
            <m:r>
              <m:t>H</m:t>
            </m:r>
          </m:sub>
        </m:sSub>
        <m:rad>
          <m:radPr>
            <m:degHide m:val="1"/>
          </m:radPr>
          <m:deg/>
          <m:e>
            <m:r>
              <m:t>2</m:t>
            </m:r>
          </m:e>
        </m:rad>
      </m:oMath>
      <w:r>
        <w:t xml:space="preserve"> </w:t>
      </w:r>
      <w:r>
        <w:t xml:space="preserve">given our rectangular channel assumptions.</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t>(</m:t>
          </m:r>
          <m:r>
            <m:t>7</m:t>
          </m:r>
          <m:r>
            <m:t>)</m:t>
          </m:r>
        </m:oMath>
      </m:oMathPara>
    </w:p>
    <w:p>
      <w:pPr>
        <w:pStyle w:val="FirstParagraph"/>
      </w:pPr>
      <m:oMathPara>
        <m:oMathParaPr>
          <m:jc m:val="center"/>
        </m:oMathParaP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r>
            <m:t>(</m:t>
          </m:r>
          <m:r>
            <m:t>8</m:t>
          </m:r>
          <m: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 (which can be validated using existing datasets).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calculated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our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p"/>
            </m:rPr>
            <m:t>(9)</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our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(via</w:t>
      </w:r>
      <w:r>
        <w:t xml:space="preserve"> </w:t>
      </w:r>
      <m:oMath>
        <m:r>
          <m:t>C</m:t>
        </m:r>
        <m:sSub>
          <m:e>
            <m:r>
              <m:t>O</m:t>
            </m:r>
          </m:e>
          <m:sub>
            <m:r>
              <m:t>2</m:t>
            </m:r>
          </m:sub>
        </m:sSub>
      </m:oMath>
      <w:r>
        <w:t xml:space="preserve"> </w:t>
      </w:r>
      <w:r>
        <w:t xml:space="preserve">evasion)</w:t>
      </w:r>
      <w:r>
        <w:t xml:space="preserve"> </w:t>
      </w:r>
      <m:oMath>
        <m:r>
          <m:t>[</m:t>
        </m:r>
        <m:r>
          <m:t>M</m:t>
        </m:r>
        <m:r>
          <m:t>/</m:t>
        </m:r>
        <m:r>
          <m:t>T</m:t>
        </m:r>
        <m:r>
          <m:t>]</m:t>
        </m:r>
      </m:oMath>
      <w:r>
        <w:t xml:space="preserve"> </w:t>
      </w:r>
      <w:r>
        <w:t xml:space="preserve">as the average mass flow rate of carbon per year from the 22 rivers, accounting for total river surface area.</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from the 22 rivers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 Raymond models (</w:t>
      </w:r>
      <w:r>
        <w:t xml:space="preserve">(Raymond et al., 2012)</w:t>
      </w:r>
      <w:r>
        <w:t xml:space="preserve"> </w:t>
      </w:r>
      <w:r>
        <w:t xml:space="preserve">equations 4 and 3)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 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three error scenarios (section 2.2) for the 5,000 hydraulic measurements. Figures 4a, 4c, and 4e plot histograms of the 5,000 uncertainty terms extracted from those distributions (Figures 4b, 4d, and 4f plot three of the distributions used to build the histograms). Across the 5,000 tests for the fullest error scenario (Figure 4e), we quantified average ln-transformed uncertainty in equation 4 to be 1.27 (~3.56 m/day- dashed blue line in Figure 4a). Uncertainty solely from the upscaling model is also 1.27, confirming that functionally all uncertainity in the equation 4 estimates is due to upscaling and not due to the assumptions made for BIKER (specifically, using Manning’s equation to approximate average flow velocity and SWOT measuurement error). This also confirms the large residuals inherent in</w:t>
      </w:r>
      <w:r>
        <w:t xml:space="preserve"> </w:t>
      </w:r>
      <m:oMath>
        <m:sSub>
          <m:e>
            <m:r>
              <m:t>k</m:t>
            </m:r>
          </m:e>
          <m:sub>
            <m:r>
              <m:t>600</m:t>
            </m:r>
          </m:sub>
        </m:sSub>
      </m:oMath>
      <w:r>
        <w:t xml:space="preserve"> </w:t>
      </w:r>
      <w:r>
        <w:t xml:space="preserve">upscaling models as described by</w:t>
      </w:r>
      <w:r>
        <w:t xml:space="preserve"> </w:t>
      </w:r>
      <w:r>
        <w:t xml:space="preserve">Hall and Ulseth (2020)</w:t>
      </w:r>
      <w:r>
        <w:t xml:space="preserve">.</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capturing the general magnitude of the predictions and with most points falling on or near the 1:1 line. However, the 95% prediction intervals (dashed grey lines) highlight relatively large residuals for many predictions. Regardless, the RMSE for the BIKER predictions is only 1.38 m/day across all predictions. This is substantially less than the RMSEs for the upscaling models (Figure 3) and the MC-simulated uncertainties (Figure 4a), indicating that inferring upscaled</w:t>
      </w:r>
      <w:r>
        <w:t xml:space="preserve"> </w:t>
      </w:r>
      <m:oMath>
        <m:sSub>
          <m:e>
            <m:r>
              <m:t>k</m:t>
            </m:r>
          </m:e>
          <m:sub>
            <m:r>
              <m:t>600</m:t>
            </m:r>
          </m:sub>
        </m:sSub>
      </m:oMath>
      <w:r>
        <w:t xml:space="preserve"> </w:t>
      </w:r>
      <w:r>
        <w:t xml:space="preserve">from SWOT data is much more accurate than the upscaling process itself.</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95% CIs for the BIKER posterior. We see, more clearly than in Figure 5a, that the posterior mean is systematically underestimated below the median</w:t>
      </w:r>
      <w:r>
        <w:t xml:space="preserve"> </w:t>
      </w:r>
      <m:oMath>
        <m:sSub>
          <m:e>
            <m:r>
              <m:t>k</m:t>
            </m:r>
          </m:e>
          <m:sub>
            <m:r>
              <m:t>600</m:t>
            </m:r>
          </m:sub>
        </m:sSub>
      </m:oMath>
      <w:r>
        <w:t xml:space="preserve"> </w:t>
      </w:r>
      <w:r>
        <w:t xml:space="preserve">values and systemically overestimated above the median</w:t>
      </w:r>
      <w:r>
        <w:t xml:space="preserve"> </w:t>
      </w:r>
      <m:oMath>
        <m:sSub>
          <m:e>
            <m:r>
              <m:t>k</m:t>
            </m:r>
          </m:e>
          <m:sub>
            <m:r>
              <m:t>600</m:t>
            </m:r>
          </m:sub>
        </m:sSub>
      </m:oMath>
      <w:r>
        <w:t xml:space="preserve"> </w:t>
      </w:r>
      <w:r>
        <w:t xml:space="preserve">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scores for the 22 rivers with and without measurement error- see Table 1 for metric definitions). SWOT measurement uncertainties exert a neglible influence on 3/4 performance metrics and slightly decrease KGE across the 22 rivers (Figure 6a). With SWOT's errors not exerting a significant influence on BIKER, the results presented for the rest of the manuscript assume no measurement error. Median rBIAS is 0.01,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0.47, which is excellent given that absolutely no in situ information is being used to predict</w:t>
      </w:r>
      <w:r>
        <w:t xml:space="preserve"> </w:t>
      </w:r>
      <m:oMath>
        <m:sSub>
          <m:e>
            <m:r>
              <m:t>k</m:t>
            </m:r>
          </m:e>
          <m:sub>
            <m:r>
              <m:t>600</m:t>
            </m:r>
          </m:sub>
        </m:sSub>
      </m:oMath>
      <w:r>
        <w:t xml:space="preserve">. NRMSE and RMSE have median scores of 0.31 and 0.3, respectively. While median KGE and rBIAS scores were strong, the ranges of these scores were somewhat large (standard deviation for KGE of 0.55 and for rBIAS of 0.33). This suggests that BIKER predicts</w:t>
      </w:r>
      <w:r>
        <w:t xml:space="preserve"> </w:t>
      </w:r>
      <m:oMath>
        <m:sSub>
          <m:e>
            <m:r>
              <m:t>k</m:t>
            </m:r>
          </m:e>
          <m:sub>
            <m:r>
              <m:t>600</m:t>
            </m:r>
          </m:sub>
        </m:sSub>
      </m:oMath>
      <w:r>
        <w:t xml:space="preserve"> </w:t>
      </w:r>
      <w:r>
        <w:t xml:space="preserve">very well in some rivers, but poorly in other rivers.</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nfluences-on-carbon-efflux-estimates"/>
      <w:bookmarkEnd w:id="39"/>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lowest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sturcture of the</w:t>
      </w:r>
      <w:r>
        <w:t xml:space="preserve"> </w:t>
      </w:r>
      <m:oMath>
        <m:r>
          <m:t>F</m:t>
        </m:r>
        <m:r>
          <m:t>C</m:t>
        </m:r>
        <m:sSub>
          <m:e>
            <m:r>
              <m:t>O</m:t>
            </m:r>
          </m:e>
          <m:sub>
            <m:r>
              <m:t>2</m:t>
            </m:r>
          </m:sub>
        </m:sSub>
      </m:oMath>
      <w:r>
        <w:t xml:space="preserve"> </w:t>
      </w:r>
      <w:r>
        <w:t xml:space="preserve">equation, which reduces the relative importance of errors in the gas exchange values.</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estiamtes (Figure 5b). Again, the temporal dynamics are accurately modeled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467100"/>
            <wp:effectExtent b="0" l="0" r="0" t="0"/>
            <wp:docPr descr="Figure 7. a: FCO2 from BIKER versus using observed average flow velocity for all timesteps for 22 SWOT rivers (grey lines are linear regression and 95% prediction intervals, while black dashed line is the 1:1 line). b-d: timeseries plots for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0"/>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In Figure 8a are barplots of the bulk carbon efflux across all rivers in gigagrams of carbon per year. The BIKER bulk carbon efflux (1166 gG-C/yr) is slightly overestimated relative to to the bulk carbon efflux calculated using observed velocity (1054 gG-C/yr). However, it is a better estimate than those using observed streamflow and HG (741, 770, and 860 gG-C/yr for ‘Raymond 2012’, ‘Raymond 2013’, and ‘Lauerwald 2015’, respectively). Thus, BIKER reasonably captures the estimated efflux from these rivers purely from RS data, and surprisingly outperforms the gauge-based approaches.</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NRMSE and RRMSE have similar BIKER performance, which is generally worse than the rating curves. But, BIKER NRMSE is approximately on par with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exploring-global-spatiotemporal-dynamics-of-k_600"/>
      <w:bookmarkEnd w:id="43"/>
      <w:r>
        <w:t xml:space="preserve">4.1 Towards exploring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and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et al. (2015)</w:t>
      </w:r>
      <w:r>
        <w:t xml:space="preserve">). However, the spatiotemporal dynamics of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(Figures 5 and 6) and 2) being robust to measurement errors internal to that SWOT data (Figure 6a) bode well for BIKER's eventual implementation on real SWOT observations. The results presented here functionally open the door for daily estimation of riverine gas exchange globally once SWOT launches.</w:t>
      </w:r>
    </w:p>
    <w:p>
      <w:pPr>
        <w:pStyle w:val="Heading3"/>
      </w:pPr>
      <w:bookmarkStart w:id="44" w:name="estimating-bulk-carbon-efflux-from-swot"/>
      <w:bookmarkEnd w:id="44"/>
      <w:r>
        <w:t xml:space="preserve">4.2 Estimating bulk carbon efflux from SWOT</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This encouraging result has two main implications for future work. First, we can couple BIKER with in situ gas concentration loggers to produce</w:t>
      </w:r>
      <w:r>
        <w:t xml:space="preserve"> </w:t>
      </w:r>
      <m:oMath>
        <m:r>
          <m:t>F</m:t>
        </m:r>
        <m:r>
          <m:t>C</m:t>
        </m:r>
        <m:sSub>
          <m:e>
            <m:r>
              <m:t>O</m:t>
            </m:r>
          </m:e>
          <m:sub>
            <m:r>
              <m:t>2</m:t>
            </m:r>
          </m:sub>
        </m:sSub>
      </m:oMath>
      <w:r>
        <w:t xml:space="preserve"> </w:t>
      </w:r>
      <w:r>
        <w:t xml:space="preserve">estimates at novel temporal resolutions, given that to date the temporal resolution of</w:t>
      </w:r>
      <w:r>
        <w:t xml:space="preserve"> </w:t>
      </w:r>
      <m:oMath>
        <m:sSub>
          <m:e>
            <m:r>
              <m:t>k</m:t>
            </m:r>
          </m:e>
          <m:sub>
            <m:r>
              <m:t>600</m:t>
            </m:r>
          </m:sub>
        </m:sSub>
      </m:oMath>
      <w:r>
        <w:t xml:space="preserve"> </w:t>
      </w:r>
      <w:r>
        <w:t xml:space="preserve">has arguably lagged behind recent advances in gas concentration loggers (CIte KElly??- don't think this is published yet). BIKER can likely also be ran at the field scale using arrays of pressure transducers to estimate water surface slope following recent work doing the same using the BAM RSQ algorithm (Harlan et al. 2021). This opens the door to field-scale</w:t>
      </w:r>
      <w:r>
        <w:t xml:space="preserve"> </w:t>
      </w:r>
      <m:oMath>
        <m:r>
          <m:t>F</m:t>
        </m:r>
        <m:r>
          <m:t>C</m:t>
        </m:r>
        <m:sSub>
          <m:e>
            <m:r>
              <m:t>O</m:t>
            </m:r>
          </m:e>
          <m:sub>
            <m:r>
              <m:t>2</m:t>
            </m:r>
          </m:sub>
        </m:sSub>
      </m:oMath>
      <w:r>
        <w:t xml:space="preserve"> </w:t>
      </w:r>
      <w:r>
        <w:t xml:space="preserve">estimates at unprecented temporal resolution.</w:t>
      </w:r>
    </w:p>
    <w:p>
      <w:pPr>
        <w:pStyle w:val="BodyText"/>
      </w:pPr>
      <w:r>
        <w:t xml:space="preserve">Secondly, it is important to stress that, unlike BIKER, the HG models in Figure 8 rely on the observed discharge record. This means that Figure 8 represents the best performance that those models could ever have; if ran using modeled discharge their accuracy would necessarily decrease. However, this decrease would not be too much due to the generally high accuracy of those data (e.g.</w:t>
      </w:r>
      <w:r>
        <w:t xml:space="preserve"> </w:t>
      </w:r>
      <w:r>
        <w:t xml:space="preserve">Lin et al. (2019)</w:t>
      </w:r>
      <w:r>
        <w:t xml:space="preserve"> </w:t>
      </w:r>
      <w:r>
        <w:t xml:space="preserve">for globally routed discharge).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HG and modeled discharge, like is the default workflow used in recent upscaling studies (e.g.</w:t>
      </w:r>
      <w:r>
        <w:t xml:space="preserve"> </w:t>
      </w:r>
      <w:r>
        <w:t xml:space="preserve">(Lauerwald et al., 2015,</w:t>
      </w:r>
      <w:r>
        <w:t xml:space="preserve"> </w:t>
      </w:r>
      <w:r>
        <w:t xml:space="preserve">Horgby et al. (2019)</w:t>
      </w:r>
      <w:r>
        <w:t xml:space="preserve">)</w:t>
      </w:r>
      <w:r>
        <w:t xml:space="preserve">).</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largely the case in rivers wide enough to be SWOT-observable- Ferguson, 2010)</w:t>
      </w:r>
      <w:r>
        <w:t xml:space="preserve">. Upon SWOT's launch, the BIKER approach to estimating gas exchange could be coupled with existing upscaling workflows to improve riverine gas flux predictions where gauges are unavailable.</w:t>
      </w:r>
    </w:p>
    <w:p>
      <w:pPr>
        <w:pStyle w:val="Heading3"/>
      </w:pPr>
      <w:bookmarkStart w:id="45" w:name="k_600-estimate-uncertainity-from-physical-processes-verus-from-rs"/>
      <w:bookmarkEnd w:id="45"/>
      <w:r>
        <w:t xml:space="preserve">4.2</w:t>
      </w:r>
      <w:r>
        <w:t xml:space="preserve"> </w:t>
      </w:r>
      <m:oMath>
        <m:sSub>
          <m:e>
            <m:r>
              <m:t>K</m:t>
            </m:r>
          </m:e>
          <m:sub>
            <m:r>
              <m:t>600</m:t>
            </m:r>
          </m:sub>
        </m:sSub>
      </m:oMath>
      <w:r>
        <w:t xml:space="preserve"> </w:t>
      </w:r>
      <w:r>
        <w:t xml:space="preserve">estimate uncertainity from physical processes verus from RS</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Figure 4 highlights the significant influence that those large parameter uncertainties have on estimates of</w:t>
      </w:r>
      <w:r>
        <w:t xml:space="preserve"> </w:t>
      </w:r>
      <m:oMath>
        <m:sSub>
          <m:e>
            <m:r>
              <m:t>k</m:t>
            </m:r>
          </m:e>
          <m:sub>
            <m:r>
              <m:t>600</m:t>
            </m:r>
          </m:sub>
        </m:sSub>
      </m:oMath>
      <w:r>
        <w:t xml:space="preserve">. Concurrently, BIKER estimate uncertainty (Figure 5) is small realitive to the Figure 4 uncertainities. Therefore,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We argue that BIKER's estimate uncertainity is limited by current process-level knowledge of</w:t>
      </w:r>
      <w:r>
        <w:t xml:space="preserve"> </w:t>
      </w:r>
      <m:oMath>
        <m:sSub>
          <m:e>
            <m:r>
              <m:t>k</m:t>
            </m:r>
          </m:e>
          <m:sub>
            <m:r>
              <m:t>600</m:t>
            </m:r>
          </m:sub>
        </m:sSub>
      </m:oMath>
      <w:r>
        <w:t xml:space="preserve"> </w:t>
      </w:r>
      <w:r>
        <w:t xml:space="preserve">upscaling and not by the RS algorithm itself, suggesting that BIKER's predictive performance can only improve from advancing our understandings of the processes governing gas exchange from drainage networks. In that context, we next explore some considerations for future work on</w:t>
      </w:r>
      <w:r>
        <w:t xml:space="preserve"> </w:t>
      </w:r>
      <m:oMath>
        <m:sSub>
          <m:e>
            <m:r>
              <m:t>k</m:t>
            </m:r>
          </m:e>
          <m:sub>
            <m:r>
              <m:t>600</m:t>
            </m:r>
          </m:sub>
        </m:sSub>
      </m:oMath>
      <w:r>
        <w:t xml:space="preserve"> </w:t>
      </w:r>
      <w:r>
        <w:t xml:space="preserve">upscaling theory in the context of SWOT-observable rivers.</w:t>
      </w:r>
    </w:p>
    <w:p>
      <w:pPr>
        <w:pStyle w:val="Heading4"/>
      </w:pPr>
      <w:bookmarkStart w:id="46" w:name="gas-exhange-under-uniform-and-non-uniform-flow-conditions"/>
      <w:bookmarkEnd w:id="46"/>
      <w:r>
        <w:t xml:space="preserve">4.2.1 Gas exhange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w:t>
      </w:r>
      <w:r>
        <w:t xml:space="preserve"> </w:t>
      </w:r>
      <w:r>
        <w:rPr>
          <w:i/>
        </w:rPr>
        <w:t xml:space="preserve">S</w:t>
      </w:r>
      <w:r>
        <w:t xml:space="preserve"> </w:t>
      </w:r>
      <w:r>
        <w:t xml:space="preserve">data. However, the first-principles model previously used to define</w:t>
      </w:r>
      <w:r>
        <w:t xml:space="preserve"> </w:t>
      </w:r>
      <w:r>
        <w:rPr>
          <w:i/>
        </w:rPr>
        <w:t xml:space="preserve">eD</w:t>
      </w:r>
      <w:r>
        <w:t xml:space="preserve"> </w:t>
      </w:r>
      <w:r>
        <w:t xml:space="preserve">(Tsivoglou and Neal, 1976)</w:t>
      </w:r>
      <w:r>
        <w:t xml:space="preserve"> </w:t>
      </w:r>
      <w:r>
        <w:t xml:space="preserve">by</w:t>
      </w:r>
      <w:r>
        <w:t xml:space="preserve"> </w:t>
      </w:r>
      <w:r>
        <w:t xml:space="preserve">(Ulseth et al., 2019)</w:t>
      </w:r>
      <w:r>
        <w:t xml:space="preserve"> </w:t>
      </w:r>
      <w:r>
        <w:t xml:space="preserve">and</w:t>
      </w:r>
      <w:r>
        <w:t xml:space="preserve"> </w:t>
      </w:r>
      <w:r>
        <w:t xml:space="preserve">(Raymond et al., 2012)</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sptially joined to hydrography that provides</w:t>
      </w:r>
      <w:r>
        <w:t xml:space="preserve"> </w:t>
      </w:r>
      <m:oMath>
        <m:sSub>
          <m:e>
            <m:r>
              <m:t>S</m:t>
            </m:r>
          </m:e>
          <m:sub>
            <m:r>
              <m:t>0</m:t>
            </m:r>
          </m:sub>
        </m:sSub>
      </m:oMath>
      <w:r>
        <w:t xml:space="preserve">. Thus, future researchers can use BIKER and SWOT in conjunction to directly compare</w:t>
      </w:r>
      <w:r>
        <w:t xml:space="preserve"> </w:t>
      </w:r>
      <m:oMath>
        <m:sSub>
          <m:e>
            <m:r>
              <m:t>k</m:t>
            </m:r>
          </m:e>
          <m:sub>
            <m:r>
              <m:t>600</m:t>
            </m:r>
          </m:sub>
        </m:sSub>
      </m:oMath>
      <w:r>
        <w:t xml:space="preserve"> </w:t>
      </w:r>
      <w:r>
        <w:t xml:space="preserve">as estimated using</w:t>
      </w:r>
      <w:r>
        <w:t xml:space="preserve"> </w:t>
      </w:r>
      <m:oMath>
        <m:sSub>
          <m:e>
            <m:r>
              <m:t>S</m:t>
            </m:r>
          </m:e>
          <m:sub>
            <m:r>
              <m:t>0</m:t>
            </m:r>
          </m:sub>
        </m:sSub>
      </m:oMath>
      <w:r>
        <w:t xml:space="preserve"> </w:t>
      </w:r>
      <w:r>
        <w:t xml:space="preserve">and</w:t>
      </w:r>
      <w:r>
        <w:t xml:space="preserve"> </w:t>
      </w:r>
      <m:oMath>
        <m:sSub>
          <m:e>
            <m:r>
              <m:t>S</m:t>
            </m:r>
          </m:e>
          <m:sub>
            <m:r>
              <m:t>h</m:t>
            </m:r>
          </m:sub>
        </m:sSub>
      </m:oMath>
      <w:r>
        <w:t xml:space="preserve">.</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effects riverine gas exchange mostly in high energy streams where</w:t>
      </w:r>
      <w:r>
        <w:t xml:space="preserve"> </w:t>
      </w:r>
      <w:r>
        <w:rPr>
          <w:i/>
        </w:rPr>
        <w:t xml:space="preserve">S</w:t>
      </w:r>
      <w:r>
        <w:t xml:space="preserve"> </w:t>
      </w:r>
      <w:r>
        <w:t xml:space="preserve">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coarsely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per river network geomorphology).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senstivie to availble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estimate gas exchange velocity solely from river width and water surface elevation. We validated BIKER on 22 'rivers' of simulated SWOT data</w:t>
      </w:r>
      <w:r>
        <w:t xml:space="preserve"> </w:t>
      </w:r>
      <w:r>
        <w:t xml:space="preserve">(Frasson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neglibly worse than those made using a streamgauge and the global-scope HG models frequently used in the literature. This suggests that BIKER will be useful in two settings: upscaling in ungauged rivers as hypothesized, but also in potentially improving our understandings at gauged sites too. As river evasion models gain in sophistication and can continue to ingest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C.B. Brinkerhoff was funded on xxxxxxxxxxxxx. BIKER is available at</w:t>
      </w:r>
      <w:r>
        <w:t xml:space="preserve"> </w:t>
      </w:r>
      <w:hyperlink r:id="rId51">
        <w:r>
          <w:rPr>
            <w:rStyle w:val="Hyperlink"/>
          </w:rPr>
          <w:t xml:space="preserve">https://github.com/craigbrinkerhoff/BIKER</w:t>
        </w:r>
      </w:hyperlink>
      <w:r>
        <w:t xml:space="preserve">. All code to build and generate results, figures, and the manuscript are available at</w:t>
      </w:r>
      <w:r>
        <w:t xml:space="preserve"> </w:t>
      </w:r>
      <w:hyperlink r:id="rId52">
        <w:r>
          <w:rPr>
            <w:rStyle w:val="Hyperlink"/>
          </w:rPr>
          <w:t xml:space="preserve">https://github.com/craigbrinkerhoff/RSK600</w:t>
        </w:r>
      </w:hyperlink>
      <w:r>
        <w:t xml:space="preserve">. Data used in this study was made generously avaible by Frasson et al. (2019), Ulseth et al. (2019), and Beaulieu et al. (2012).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9">
        <w:r>
          <w:rPr>
            <w:rStyle w:val="Hyperlink"/>
          </w:rPr>
          <w:t xml:space="preserve">https://doi.org/10.1007/BF02907647</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0">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1">
        <w:r>
          <w:rPr>
            <w:rStyle w:val="Hyperlink"/>
          </w:rPr>
          <w:t xml:space="preserve">https://doi.org/10.1029/2019GL084529</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2">
        <w:r>
          <w:rPr>
            <w:rStyle w:val="Hyperlink"/>
          </w:rPr>
          <w:t xml:space="preserve">https://doi.org/10.1007/s10021-006-9013-8</w:t>
        </w:r>
      </w:hyperlink>
    </w:p>
    <w:p>
      <w:pPr>
        <w:pStyle w:val="Bibliography"/>
      </w:pPr>
      <w:r>
        <w:t xml:space="preserve">Demars, B.O.L., Thompson, J., Manson, J.R., 2015. Stream metabolism and the open diel oxygen method: Principles, practice, and perspectives. Limnology and Oceanography: Methods 13, 356–374.</w:t>
      </w:r>
      <w:r>
        <w:t xml:space="preserve"> </w:t>
      </w:r>
      <w:hyperlink r:id="rId63">
        <w:r>
          <w:rPr>
            <w:rStyle w:val="Hyperlink"/>
          </w:rPr>
          <w:t xml:space="preserve">https://doi.org/10.1002/lom3.10030</w:t>
        </w:r>
      </w:hyperlink>
    </w:p>
    <w:p>
      <w:pPr>
        <w:pStyle w:val="Bibliography"/>
      </w:pPr>
      <w:r>
        <w:t xml:space="preserve">Dingman, S.L., 2007. Analytical derivation of at-a-station hydraulicGeometry relations. Journal of Hydrology 334, 17–27.</w:t>
      </w:r>
      <w:r>
        <w:t xml:space="preserve"> </w:t>
      </w:r>
      <w:hyperlink r:id="rId64">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5">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6">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7">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68">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69">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0">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1">
        <w:r>
          <w:rPr>
            <w:rStyle w:val="Hyperlink"/>
          </w:rPr>
          <w:t xml:space="preserve">https://doi.org/10.1016/j.advwatres.2015.02.007</w:t>
        </w:r>
      </w:hyperlink>
    </w:p>
    <w:p>
      <w:pPr>
        <w:pStyle w:val="Bibliography"/>
      </w:pPr>
      <w:r>
        <w:t xml:space="preserve">Gleason, C., Garambois, P.-A., Durand, M., 2017. Tracking River Flows from Space. Eos.</w:t>
      </w:r>
      <w:r>
        <w:t xml:space="preserve"> </w:t>
      </w:r>
      <w:hyperlink r:id="rId72">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3">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4">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5">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6">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7">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8">
        <w:r>
          <w:rPr>
            <w:rStyle w:val="Hyperlink"/>
          </w:rPr>
          <w:t xml:space="preserve">https://doi.org/10.1002/wat2.1391</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79">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0">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1">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2">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3">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4">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85">
        <w:r>
          <w:rPr>
            <w:rStyle w:val="Hyperlink"/>
          </w:rPr>
          <w:t xml:space="preserve">https://doi.org/10.1029/2019WR025287</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6">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87">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88">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89">
        <w:r>
          <w:rPr>
            <w:rStyle w:val="Hyperlink"/>
          </w:rPr>
          <w:t xml:space="preserve">https://doi.org/10.1029/2006JF000549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0">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1">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92">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93">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94">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95">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96">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97">
        <w:r>
          <w:rPr>
            <w:rStyle w:val="Hyperlink"/>
          </w:rPr>
          <w:t xml:space="preserve">https://doi.org/10.1029/WR024i008p01317</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9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9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0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0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02">
        <w:r>
          <w:rPr>
            <w:rStyle w:val="Hyperlink"/>
          </w:rPr>
          <w:t xml:space="preserve">https://doi.org/10.1029/2006GL028790</w:t>
        </w:r>
      </w:hyperlink>
    </w:p>
    <w:sectPr w:rsidR="00F3367E" w:rsidRPr="00F3367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280711"/>
      <w:docPartObj>
        <w:docPartGallery w:val="Page Numbers (Bottom of Page)"/>
        <w:docPartUnique/>
      </w:docPartObj>
    </w:sdtPr>
    <w:sdtEndPr>
      <w:rPr>
        <w:rFonts w:ascii="Times New Roman" w:hAnsi="Times New Roman" w:cs="Times New Roman"/>
        <w:noProof/>
      </w:rPr>
    </w:sdtEndPr>
    <w:sdtContent>
      <w:p w14:paraId="5BE606CD" w14:textId="69E5DD97" w:rsidR="002059CC" w:rsidRPr="002059CC" w:rsidRDefault="002059CC">
        <w:pPr>
          <w:pStyle w:val="Footer"/>
          <w:jc w:val="center"/>
          <w:rPr>
            <w:rFonts w:ascii="Times New Roman" w:hAnsi="Times New Roman" w:cs="Times New Roman"/>
          </w:rPr>
        </w:pPr>
        <w:r w:rsidRPr="002059CC">
          <w:rPr>
            <w:rFonts w:ascii="Times New Roman" w:hAnsi="Times New Roman" w:cs="Times New Roman"/>
          </w:rPr>
          <w:fldChar w:fldCharType="begin"/>
        </w:r>
        <w:r w:rsidRPr="002059CC">
          <w:rPr>
            <w:rFonts w:ascii="Times New Roman" w:hAnsi="Times New Roman" w:cs="Times New Roman"/>
          </w:rPr>
          <w:instrText xml:space="preserve"> PAGE   \* MERGEFORMAT </w:instrText>
        </w:r>
        <w:r w:rsidRPr="002059CC">
          <w:rPr>
            <w:rFonts w:ascii="Times New Roman" w:hAnsi="Times New Roman" w:cs="Times New Roman"/>
          </w:rPr>
          <w:fldChar w:fldCharType="separate"/>
        </w:r>
        <w:r w:rsidRPr="002059CC">
          <w:rPr>
            <w:rFonts w:ascii="Times New Roman" w:hAnsi="Times New Roman" w:cs="Times New Roman"/>
            <w:noProof/>
          </w:rPr>
          <w:t>2</w:t>
        </w:r>
        <w:r w:rsidRPr="002059CC">
          <w:rPr>
            <w:rFonts w:ascii="Times New Roman" w:hAnsi="Times New Roman" w:cs="Times New Roman"/>
            <w:noProof/>
          </w:rPr>
          <w:fldChar w:fldCharType="end"/>
        </w:r>
      </w:p>
    </w:sdtContent>
  </w:sdt>
  <w:p w14:paraId="50831D15" w14:textId="77777777" w:rsidR="002059CC" w:rsidRDefault="002059C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27e62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dd7fbf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4" Target="https://doi.org/10.1002/2014GB004941" TargetMode="External" /><Relationship Type="http://schemas.openxmlformats.org/officeDocument/2006/relationships/hyperlink" Id="rId74" Target="https://doi.org/10.1002/2014WR016109" TargetMode="External" /><Relationship Type="http://schemas.openxmlformats.org/officeDocument/2006/relationships/hyperlink" Id="rId66"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76" Target="https://doi.org/10.1002/2017WR021626" TargetMode="External" /><Relationship Type="http://schemas.openxmlformats.org/officeDocument/2006/relationships/hyperlink" Id="rId86" Target="https://doi.org/10.1002/2017WR021735" TargetMode="External" /><Relationship Type="http://schemas.openxmlformats.org/officeDocument/2006/relationships/hyperlink" Id="rId68" Target="https://doi.org/10.1002/esp.2091" TargetMode="External" /><Relationship Type="http://schemas.openxmlformats.org/officeDocument/2006/relationships/hyperlink" Id="rId96" Target="https://doi.org/10.1002/lno.10339" TargetMode="External" /><Relationship Type="http://schemas.openxmlformats.org/officeDocument/2006/relationships/hyperlink" Id="rId75" Target="https://doi.org/10.1002/lom3.10011" TargetMode="External" /><Relationship Type="http://schemas.openxmlformats.org/officeDocument/2006/relationships/hyperlink" Id="rId63" Target="https://doi.org/10.1002/lom3.10030" TargetMode="External" /><Relationship Type="http://schemas.openxmlformats.org/officeDocument/2006/relationships/hyperlink" Id="rId78"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59" Target="https://doi.org/10.1007/BF02907647" TargetMode="External" /><Relationship Type="http://schemas.openxmlformats.org/officeDocument/2006/relationships/hyperlink" Id="rId62" Target="https://doi.org/10.1007/s10021-006-9013-8" TargetMode="External" /><Relationship Type="http://schemas.openxmlformats.org/officeDocument/2006/relationships/hyperlink" Id="rId93" Target="https://doi.org/10.1007/s10021-007-9059-2" TargetMode="External" /><Relationship Type="http://schemas.openxmlformats.org/officeDocument/2006/relationships/hyperlink" Id="rId95" Target="https://doi.org/10.1007/s10533-011-9696-6" TargetMode="External" /><Relationship Type="http://schemas.openxmlformats.org/officeDocument/2006/relationships/hyperlink" Id="rId88" Target="https://doi.org/10.1016/0022-1694(77)90103-2" TargetMode="External" /><Relationship Type="http://schemas.openxmlformats.org/officeDocument/2006/relationships/hyperlink" Id="rId71" Target="https://doi.org/10.1016/j.advwatres.2015.02.007" TargetMode="External" /><Relationship Type="http://schemas.openxmlformats.org/officeDocument/2006/relationships/hyperlink" Id="rId64" Target="https://doi.org/10.1016/j.jhydrol.2006.09.021" TargetMode="External" /><Relationship Type="http://schemas.openxmlformats.org/officeDocument/2006/relationships/hyperlink" Id="rId67" Target="https://doi.org/10.1016/j.jhydrol.2013.12.050" TargetMode="External" /><Relationship Type="http://schemas.openxmlformats.org/officeDocument/2006/relationships/hyperlink" Id="rId65" Target="https://doi.org/10.1016/j.rse.2020.111883" TargetMode="External" /><Relationship Type="http://schemas.openxmlformats.org/officeDocument/2006/relationships/hyperlink" Id="rId102" Target="https://doi.org/10.1029/2006GL028790" TargetMode="External" /><Relationship Type="http://schemas.openxmlformats.org/officeDocument/2006/relationships/hyperlink" Id="rId89" Target="https://doi.org/10.1029/2006JF000549" TargetMode="External" /><Relationship Type="http://schemas.openxmlformats.org/officeDocument/2006/relationships/hyperlink" Id="rId10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92" Target="https://doi.org/10.1029/2012GL051886" TargetMode="External" /><Relationship Type="http://schemas.openxmlformats.org/officeDocument/2006/relationships/hyperlink" Id="rId72" Target="https://doi.org/10.1029/2017EO078085" TargetMode="External" /><Relationship Type="http://schemas.openxmlformats.org/officeDocument/2006/relationships/hyperlink" Id="rId61" Target="https://doi.org/10.1029/2019GL084529" TargetMode="External" /><Relationship Type="http://schemas.openxmlformats.org/officeDocument/2006/relationships/hyperlink" Id="rId85" Target="https://doi.org/10.1029/2019WR025287" TargetMode="External" /><Relationship Type="http://schemas.openxmlformats.org/officeDocument/2006/relationships/hyperlink" Id="rId94"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1"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101" Target="https://doi.org/10.1029/92JC00188" TargetMode="External" /><Relationship Type="http://schemas.openxmlformats.org/officeDocument/2006/relationships/hyperlink" Id="rId97" Target="https://doi.org/10.1029/WR024i008p01317" TargetMode="External" /><Relationship Type="http://schemas.openxmlformats.org/officeDocument/2006/relationships/hyperlink" Id="rId90" Target="https://doi.org/10.1038/nature12760" TargetMode="External" /><Relationship Type="http://schemas.openxmlformats.org/officeDocument/2006/relationships/hyperlink" Id="rId80" Target="https://doi.org/10.1038/s41467-019-12905-z" TargetMode="External" /><Relationship Type="http://schemas.openxmlformats.org/officeDocument/2006/relationships/hyperlink" Id="rId99" Target="https://doi.org/10.1038/s41561-019-0324-8" TargetMode="External" /><Relationship Type="http://schemas.openxmlformats.org/officeDocument/2006/relationships/hyperlink" Id="rId87" Target="https://doi.org/10.1061/(ASCE)EE.1943-7870.0000799" TargetMode="External" /><Relationship Type="http://schemas.openxmlformats.org/officeDocument/2006/relationships/hyperlink" Id="rId83" Target="https://doi.org/10.1080/17415977.2020.1803858" TargetMode="External" /><Relationship Type="http://schemas.openxmlformats.org/officeDocument/2006/relationships/hyperlink" Id="rId69" Target="https://doi.org/10.1177/030913338601000101" TargetMode="External" /><Relationship Type="http://schemas.openxmlformats.org/officeDocument/2006/relationships/hyperlink" Id="rId77" Target="https://doi.org/10.1215/21573689-1572535" TargetMode="External" /><Relationship Type="http://schemas.openxmlformats.org/officeDocument/2006/relationships/hyperlink" Id="rId91" Target="https://doi.org/10.1215/21573689-1597669" TargetMode="External" /><Relationship Type="http://schemas.openxmlformats.org/officeDocument/2006/relationships/hyperlink" Id="rId98" Target="https://doi.org/10.2307/1467960" TargetMode="External" /><Relationship Type="http://schemas.openxmlformats.org/officeDocument/2006/relationships/hyperlink" Id="rId73" Target="https://doi.org/10.3390/rs12071107" TargetMode="External" /><Relationship Type="http://schemas.openxmlformats.org/officeDocument/2006/relationships/hyperlink" Id="rId79" Target="https://doi.org/10.4319/lo.2010.55.3.1047" TargetMode="External" /><Relationship Type="http://schemas.openxmlformats.org/officeDocument/2006/relationships/hyperlink" Id="rId82" Target="https://doi.org/10.5194/hess-23-4323-2019" TargetMode="External" /><Relationship Type="http://schemas.openxmlformats.org/officeDocument/2006/relationships/hyperlink" Id="rId70"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4" Target="https://doi.org/10.1002/2014GB004941" TargetMode="External" /><Relationship Type="http://schemas.openxmlformats.org/officeDocument/2006/relationships/hyperlink" Id="rId74" Target="https://doi.org/10.1002/2014WR016109" TargetMode="External" /><Relationship Type="http://schemas.openxmlformats.org/officeDocument/2006/relationships/hyperlink" Id="rId66"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76" Target="https://doi.org/10.1002/2017WR021626" TargetMode="External" /><Relationship Type="http://schemas.openxmlformats.org/officeDocument/2006/relationships/hyperlink" Id="rId86" Target="https://doi.org/10.1002/2017WR021735" TargetMode="External" /><Relationship Type="http://schemas.openxmlformats.org/officeDocument/2006/relationships/hyperlink" Id="rId68" Target="https://doi.org/10.1002/esp.2091" TargetMode="External" /><Relationship Type="http://schemas.openxmlformats.org/officeDocument/2006/relationships/hyperlink" Id="rId96" Target="https://doi.org/10.1002/lno.10339" TargetMode="External" /><Relationship Type="http://schemas.openxmlformats.org/officeDocument/2006/relationships/hyperlink" Id="rId75" Target="https://doi.org/10.1002/lom3.10011" TargetMode="External" /><Relationship Type="http://schemas.openxmlformats.org/officeDocument/2006/relationships/hyperlink" Id="rId63" Target="https://doi.org/10.1002/lom3.10030" TargetMode="External" /><Relationship Type="http://schemas.openxmlformats.org/officeDocument/2006/relationships/hyperlink" Id="rId78"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59" Target="https://doi.org/10.1007/BF02907647" TargetMode="External" /><Relationship Type="http://schemas.openxmlformats.org/officeDocument/2006/relationships/hyperlink" Id="rId62" Target="https://doi.org/10.1007/s10021-006-9013-8" TargetMode="External" /><Relationship Type="http://schemas.openxmlformats.org/officeDocument/2006/relationships/hyperlink" Id="rId93" Target="https://doi.org/10.1007/s10021-007-9059-2" TargetMode="External" /><Relationship Type="http://schemas.openxmlformats.org/officeDocument/2006/relationships/hyperlink" Id="rId95" Target="https://doi.org/10.1007/s10533-011-9696-6" TargetMode="External" /><Relationship Type="http://schemas.openxmlformats.org/officeDocument/2006/relationships/hyperlink" Id="rId88" Target="https://doi.org/10.1016/0022-1694(77)90103-2" TargetMode="External" /><Relationship Type="http://schemas.openxmlformats.org/officeDocument/2006/relationships/hyperlink" Id="rId71" Target="https://doi.org/10.1016/j.advwatres.2015.02.007" TargetMode="External" /><Relationship Type="http://schemas.openxmlformats.org/officeDocument/2006/relationships/hyperlink" Id="rId64" Target="https://doi.org/10.1016/j.jhydrol.2006.09.021" TargetMode="External" /><Relationship Type="http://schemas.openxmlformats.org/officeDocument/2006/relationships/hyperlink" Id="rId67" Target="https://doi.org/10.1016/j.jhydrol.2013.12.050" TargetMode="External" /><Relationship Type="http://schemas.openxmlformats.org/officeDocument/2006/relationships/hyperlink" Id="rId65" Target="https://doi.org/10.1016/j.rse.2020.111883" TargetMode="External" /><Relationship Type="http://schemas.openxmlformats.org/officeDocument/2006/relationships/hyperlink" Id="rId102" Target="https://doi.org/10.1029/2006GL028790" TargetMode="External" /><Relationship Type="http://schemas.openxmlformats.org/officeDocument/2006/relationships/hyperlink" Id="rId89" Target="https://doi.org/10.1029/2006JF000549" TargetMode="External" /><Relationship Type="http://schemas.openxmlformats.org/officeDocument/2006/relationships/hyperlink" Id="rId10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92" Target="https://doi.org/10.1029/2012GL051886" TargetMode="External" /><Relationship Type="http://schemas.openxmlformats.org/officeDocument/2006/relationships/hyperlink" Id="rId72" Target="https://doi.org/10.1029/2017EO078085" TargetMode="External" /><Relationship Type="http://schemas.openxmlformats.org/officeDocument/2006/relationships/hyperlink" Id="rId61" Target="https://doi.org/10.1029/2019GL084529" TargetMode="External" /><Relationship Type="http://schemas.openxmlformats.org/officeDocument/2006/relationships/hyperlink" Id="rId85" Target="https://doi.org/10.1029/2019WR025287" TargetMode="External" /><Relationship Type="http://schemas.openxmlformats.org/officeDocument/2006/relationships/hyperlink" Id="rId94"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1"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101" Target="https://doi.org/10.1029/92JC00188" TargetMode="External" /><Relationship Type="http://schemas.openxmlformats.org/officeDocument/2006/relationships/hyperlink" Id="rId97" Target="https://doi.org/10.1029/WR024i008p01317" TargetMode="External" /><Relationship Type="http://schemas.openxmlformats.org/officeDocument/2006/relationships/hyperlink" Id="rId90" Target="https://doi.org/10.1038/nature12760" TargetMode="External" /><Relationship Type="http://schemas.openxmlformats.org/officeDocument/2006/relationships/hyperlink" Id="rId80" Target="https://doi.org/10.1038/s41467-019-12905-z" TargetMode="External" /><Relationship Type="http://schemas.openxmlformats.org/officeDocument/2006/relationships/hyperlink" Id="rId99" Target="https://doi.org/10.1038/s41561-019-0324-8" TargetMode="External" /><Relationship Type="http://schemas.openxmlformats.org/officeDocument/2006/relationships/hyperlink" Id="rId87" Target="https://doi.org/10.1061/(ASCE)EE.1943-7870.0000799" TargetMode="External" /><Relationship Type="http://schemas.openxmlformats.org/officeDocument/2006/relationships/hyperlink" Id="rId83" Target="https://doi.org/10.1080/17415977.2020.1803858" TargetMode="External" /><Relationship Type="http://schemas.openxmlformats.org/officeDocument/2006/relationships/hyperlink" Id="rId69" Target="https://doi.org/10.1177/030913338601000101" TargetMode="External" /><Relationship Type="http://schemas.openxmlformats.org/officeDocument/2006/relationships/hyperlink" Id="rId77" Target="https://doi.org/10.1215/21573689-1572535" TargetMode="External" /><Relationship Type="http://schemas.openxmlformats.org/officeDocument/2006/relationships/hyperlink" Id="rId91" Target="https://doi.org/10.1215/21573689-1597669" TargetMode="External" /><Relationship Type="http://schemas.openxmlformats.org/officeDocument/2006/relationships/hyperlink" Id="rId98" Target="https://doi.org/10.2307/1467960" TargetMode="External" /><Relationship Type="http://schemas.openxmlformats.org/officeDocument/2006/relationships/hyperlink" Id="rId73" Target="https://doi.org/10.3390/rs12071107" TargetMode="External" /><Relationship Type="http://schemas.openxmlformats.org/officeDocument/2006/relationships/hyperlink" Id="rId79" Target="https://doi.org/10.4319/lo.2010.55.3.1047" TargetMode="External" /><Relationship Type="http://schemas.openxmlformats.org/officeDocument/2006/relationships/hyperlink" Id="rId82" Target="https://doi.org/10.5194/hess-23-4323-2019" TargetMode="External" /><Relationship Type="http://schemas.openxmlformats.org/officeDocument/2006/relationships/hyperlink" Id="rId70"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carbon efflux using SWOT observations</dc:title>
  <dc:creator>CB Brinkerhoff, CJ Gleason, PA Raymond, MH Harlan</dc:creator>
  <dcterms:created xsi:type="dcterms:W3CDTF">2021-02-17T23:47:42Z</dcterms:created>
  <dcterms:modified xsi:type="dcterms:W3CDTF">2021-02-17T23:47:42Z</dcterms:modified>
</cp:coreProperties>
</file>