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5.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2021-02-19</w:t>
      </w:r>
    </w:p>
    <w:p>
      <w:pPr>
        <w:pStyle w:val="Heading2"/>
      </w:pPr>
      <w:bookmarkStart w:id="21" w:name="key-points-85-characters-each"/>
      <w:bookmarkEnd w:id="21"/>
      <w:r>
        <w:t xml:space="preserve">Key Points (85 characters each)</w:t>
      </w:r>
    </w:p>
    <w:p>
      <w:pPr>
        <w:pStyle w:val="Compact"/>
        <w:numPr>
          <w:numId w:val="1001"/>
          <w:ilvl w:val="0"/>
        </w:numPr>
      </w:pPr>
      <w:r>
        <w:t xml:space="preserve">We introduce the BIKER algorithm to remotely sense riverine gas exchange using the SWOT satellite</w:t>
      </w:r>
    </w:p>
    <w:p>
      <w:pPr>
        <w:pStyle w:val="Compact"/>
        <w:numPr>
          <w:numId w:val="1001"/>
          <w:ilvl w:val="0"/>
        </w:numPr>
      </w:pPr>
      <w:r>
        <w:t xml:space="preserve">BIKER replicates estimates of</w:t>
      </w:r>
      <w:r>
        <w:t xml:space="preserve"> </w:t>
      </w:r>
      <m:oMath>
        <m:r>
          <m:t>C</m:t>
        </m:r>
        <m:sSub>
          <m:e>
            <m:r>
              <m:t>O</m:t>
            </m:r>
          </m:e>
          <m:sub>
            <m:r>
              <m:t>2</m:t>
            </m:r>
          </m:sub>
        </m:sSub>
      </m:oMath>
      <w:r>
        <w:t xml:space="preserve"> </w:t>
      </w:r>
      <w:r>
        <w:t xml:space="preserve">fluxes when coupled with in situ concentration data</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the quality of their estimates of the</w:t>
      </w:r>
      <w:r>
        <w:t xml:space="preserve"> </w:t>
      </w:r>
      <w:r>
        <w:rPr>
          <w:i/>
        </w:rPr>
        <w:t xml:space="preserve">V</w:t>
      </w:r>
      <w:r>
        <w:t xml:space="preserve"> </w:t>
      </w:r>
      <w:r>
        <w:t xml:space="preserve">of the river channel.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e.g. Brakenridge et al., 2007)</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I don't know how if introducing SWOT via RSQ is the best idea. Maybe I should just introduce SWOT on its own?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In this context, we hypothesize that SWOT data will improve our understanding of riverine GHG fluxes in ungauged basins and/or at drainage-network-scales after techniques have been developed to ingest SWOT's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r>
        <w:t xml:space="preserve"> </w:t>
      </w:r>
      <w:r>
        <w:t xml:space="preserve">1) Is ungauged RS of the gas exchange velocity possible using soon-to-be-available SWOT river measurements?</w:t>
      </w:r>
      <w:r>
        <w:t xml:space="preserve"> </w:t>
      </w:r>
      <w:r>
        <w:t xml:space="preserve">2) How might this algorithm influence upscaled estimates of riverine carbon efflux to the atmosphere?</w:t>
      </w:r>
    </w:p>
    <w:p>
      <w:pPr>
        <w:pStyle w:val="BodyText"/>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 implicit in SWOT data.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gauged techniques.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river hydraulics (section 2.1) and then we couple that upscaling model with remote sensing techniques to build BIKER (section 2.2). Following these methods, the validation setup is described (section 2.3), as is the workflow for comparing estimated bulk carbon effluxes from a suite of average flow velocity models (section 2.4). A flowchart detailing the entire study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This extended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b"/>
            </m:rPr>
            <m:t>(</m:t>
          </m:r>
          <m:r>
            <m:rPr>
              <m:sty m:val="b"/>
            </m:rPr>
            <m:t>2</m:t>
          </m:r>
          <m:r>
            <m:rPr>
              <m:sty m:val="b"/>
            </m:rPr>
            <m:t>)</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goal of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RS-based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b"/>
            </m:rPr>
            <m:t>(</m:t>
          </m:r>
          <m:r>
            <m:rPr>
              <m:sty m:val="b"/>
            </m:rPr>
            <m:t>3</m:t>
          </m:r>
          <m:r>
            <m:rPr>
              <m:sty m:val="b"/>
            </m:rPr>
            <m:t>)</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remotely sense</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inference problem, which we largely follow here to conceptualize remote sensing</w:t>
      </w:r>
      <w:r>
        <w:t xml:space="preserve"> </w:t>
      </w:r>
      <m:oMath>
        <m:sSub>
          <m:e>
            <m:r>
              <m:t>k</m:t>
            </m:r>
          </m:e>
          <m:sub>
            <m:r>
              <m:t>600</m:t>
            </m:r>
          </m:sub>
        </m:sSub>
      </m:oMath>
      <w:r>
        <w:t xml:space="preserve"> </w:t>
      </w:r>
      <w:r>
        <w:t xml:space="preserve">as a Bayesian inference problem that can be solved using SWOT data.</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ingesting SWOT data).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w:t>
      </w:r>
      <w:r>
        <w:t xml:space="preserve">and median channel area</w:t>
      </w:r>
      <w:r>
        <w:t xml:space="preserve"> </w:t>
      </w:r>
      <m:oMath>
        <m:sSub>
          <m:e>
            <m:r>
              <m:t>A</m:t>
            </m:r>
          </m:e>
          <m:sub>
            <m:r>
              <m:t>0</m:t>
            </m:r>
          </m:sub>
        </m:sSub>
      </m:oMath>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b"/>
            </m:rPr>
            <m:t>(</m:t>
          </m:r>
          <m:r>
            <m:rPr>
              <m:sty m:val="b"/>
            </m:rPr>
            <m:t>4</m:t>
          </m:r>
          <m:r>
            <m:rPr>
              <m:sty m:val="b"/>
            </m:rPr>
            <m:t>)</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to yield a normal sampling model, however they are written here without a transformation for succinctness. The</w:t>
      </w:r>
      <w:r>
        <w:t xml:space="preserve"> </w:t>
      </w:r>
      <m:oMath>
        <m:sSubSup>
          <m:e>
            <m:r>
              <m:t>σ</m:t>
            </m:r>
          </m:e>
          <m:sub>
            <m:r>
              <m:t>u</m:t>
            </m:r>
            <m:r>
              <m:t>p</m:t>
            </m:r>
            <m:r>
              <m:t>s</m:t>
            </m:r>
            <m:r>
              <m:t>c</m:t>
            </m:r>
            <m:r>
              <m:t>a</m:t>
            </m:r>
            <m:r>
              <m:t>l</m:t>
            </m:r>
            <m:r>
              <m:t>e</m:t>
            </m:r>
          </m:sub>
          <m:sup>
            <m:r>
              <m:t>2</m:t>
            </m:r>
          </m:sup>
        </m:sSubSup>
      </m:oMath>
      <w:r>
        <w:t xml:space="preserve"> </w:t>
      </w:r>
      <w:r>
        <w:t xml:space="preserve">parameter 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p"/>
            </m:rPr>
            <m:t>(5)</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for these physcial quantities,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m:oMath>
        <m:r>
          <m:t>X</m:t>
        </m:r>
        <m:r>
          <m:t>=</m:t>
        </m:r>
        <m:r>
          <m:t>n</m:t>
        </m:r>
      </m:oMath>
      <w:r>
        <w:t xml:space="preserve">,</w:t>
      </w:r>
      <w:r>
        <w:t xml:space="preserve"> </w:t>
      </w:r>
      <m:oMath>
        <m:sSub>
          <m:e>
            <m:r>
              <m:t>A</m:t>
            </m:r>
          </m:e>
          <m:sub>
            <m:r>
              <m:t>0</m:t>
            </m:r>
          </m:sub>
        </m:sSub>
      </m:oMath>
      <w:r>
        <w:t xml:space="preserve">, or</w:t>
      </w:r>
      <w:r>
        <w:t xml:space="preserve"> </w:t>
      </w:r>
      <m:oMath>
        <m:sSub>
          <m:e>
            <m:r>
              <m:t>k</m:t>
            </m:r>
          </m:e>
          <m:sub>
            <m:r>
              <m:t>600</m:t>
            </m:r>
          </m:sub>
        </m:sSub>
      </m:oMath>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which source of error is most influential. Uncertainty in equation 4 can stem from three sources: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w:t>
      </w:r>
      <w:r>
        <w:t xml:space="preserve"> </w:t>
      </w:r>
      <w:r>
        <w:t xml:space="preserve">(Brinkerhoff et al., 2019)</w:t>
      </w:r>
      <w:r>
        <w:t xml:space="preserve"> </w:t>
      </w:r>
      <w:r>
        <w:t xml:space="preserve">under three different uncertainty scenarios.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specifics of the slope-error model that we used are elaborated on in Section 2.3 and rely on a recent analysis of SWOT slope measurement errors</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for each uncertainity scenario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described.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 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SOMETHING HERE. This generally occurs in areas of high topographic variation</w:t>
      </w:r>
      <w:r>
        <w:t xml:space="preserve"> </w:t>
      </w:r>
      <w:r>
        <w:t xml:space="preserve">(Rees, 2013)</w:t>
      </w:r>
      <w:r>
        <w:t xml:space="preserve"> </w:t>
      </w:r>
      <w:r>
        <w:t xml:space="preserve">where the land surface 'obscures' the water surface relative to SWOT's incidence angle. While the SWOT simulator mentioned above is ideal for this error nalysis, it is cumbersome to run on many rivers 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 and water surface slopes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and @ulsethDistinctAirWater2019a)</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r>
        <w:t xml:space="preserve"> </w:t>
      </w:r>
      <w:r>
        <w:rPr>
          <w:b/>
        </w:rPr>
        <w:t xml:space="preserve">PROBABLY NEED TO ACCOUNT FOR SLOPE UNCERTAINITY TOO</w:t>
      </w:r>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our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from the 22 rivers,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both gauged and ungauged methods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error scenarios (section 2.2) for the 5,000 hydraulic measurements. Figures 4a, 4c, and 4e plot histograms of the 5,000 uncertainty terms extracted from those distributions (Figures 4b, 4d, and 4f plot three of the distributions used to build the histograms). Across the 5,000 tests for the fullest error scenario (Figure 4e), we quantified median ln-transformed uncertainty in equation 4 to be 1.28 (~3.6 m/day- dashed blue line in Figure 4a). Uncertainty solely from the upscaling model is also 1.27, confirming that functionally all uncertainity in the equation 4 estimates is due to upscaling and not due to the assumptions made for BIKER (specifically, using Manning’s equation to approximate average flow velocity and SWOT measurement error). Figures 4b, 4d, and 4f are also functionally identical, further confirming this result.</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1.38 m/day across all predictions. Again, this is substantially less than the RMSEs for the upscaling models versus field measurements (Figure 3) and the MC-simulated uncertainties (Figure 4).</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scores for the 22 rivers with and without measurement error- see Table 1 for metric definitions). SWOT measurement uncertainties exert a neglible influence on 3/4 performance metrics and slightly decrease KGE across the 22 rivers (Figure 6a). With SWOT's errors not exerting a significant influence on BIKER,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models (741, 770, and 860 gG-C/yr for ‘Raymond 2012’, ‘Raymond 2013’, and ‘Lauerwald 2015’, respectively). Thus, BIKER reasonably captures the estimated efflux from these rivers purely from RS data, and surprisingly outperforms the gauge-based approaches when assessiung bulk flux properties (Figure 8a).</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BIKER has similar NRMSE and RRMSE performance, which is generally worse than the rating curves. But, BIKER NRMSE is only modestly worse than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remote-sensing-global-spatiotemporal-dynamics-of-k_600"/>
      <w:bookmarkEnd w:id="43"/>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and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 6a) bode well for BIKER's eventual implementation on real SWOT observations. The results presented here suggest that daily estimation of riverine gas exchange globally could be possible once SWOT launches.</w:t>
      </w:r>
    </w:p>
    <w:p>
      <w:pPr>
        <w:pStyle w:val="Heading3"/>
      </w:pPr>
      <w:bookmarkStart w:id="44" w:name="estimating-bulk-carbon-efflux-from-swot"/>
      <w:bookmarkEnd w:id="44"/>
      <w:r>
        <w:t xml:space="preserve">4.2 Estimating bulk carbon efflux from SWOT</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This encouraging result has two main implications for future work. First, we can likely couple BIKER with in situ gas concentration loggers to produce</w:t>
      </w:r>
      <w:r>
        <w:t xml:space="preserve"> </w:t>
      </w:r>
      <m:oMath>
        <m:r>
          <m:t>F</m:t>
        </m:r>
        <m:r>
          <m:t>C</m:t>
        </m:r>
        <m:sSub>
          <m:e>
            <m:r>
              <m:t>O</m:t>
            </m:r>
          </m:e>
          <m:sub>
            <m:r>
              <m:t>2</m:t>
            </m:r>
          </m:sub>
        </m:sSub>
      </m:oMath>
      <w:r>
        <w:t xml:space="preserve"> </w:t>
      </w:r>
      <w:r>
        <w:t xml:space="preserve">estimates at novel temporal resolutions, given that the temporal resolution of</w:t>
      </w:r>
      <w:r>
        <w:t xml:space="preserve"> </w:t>
      </w:r>
      <m:oMath>
        <m:sSub>
          <m:e>
            <m:r>
              <m:t>k</m:t>
            </m:r>
          </m:e>
          <m:sub>
            <m:r>
              <m:t>600</m:t>
            </m:r>
          </m:sub>
        </m:sSub>
      </m:oMath>
      <w:r>
        <w:t xml:space="preserve"> </w:t>
      </w:r>
      <w:r>
        <w:t xml:space="preserve">has arguably lagged behind recent advances in gas concentration data</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HG and modeled discharge, like is the default workflow used in recent upscaling studies</w:t>
      </w:r>
      <w:r>
        <w:t xml:space="preserve"> </w:t>
      </w:r>
      <w:r>
        <w:t xml:space="preserve">(e.g. Lauerwald et al., 2015,</w:t>
      </w:r>
      <w:r>
        <w:t xml:space="preserve"> </w:t>
      </w:r>
      <w:r>
        <w:t xml:space="preserve">Horgby et al. (2019)</w:t>
      </w:r>
      <w:r>
        <w:t xml:space="preserve">)</w:t>
      </w:r>
      <w:r>
        <w:t xml:space="preserve">.</w:t>
      </w:r>
      <w:r>
        <w:t xml:space="preserve"> </w:t>
      </w:r>
      <w:r>
        <w:rPr>
          <w:b/>
        </w:rPr>
        <w:t xml:space="preserve">Iassume Shaoda's paper will still be in review and can't cite here</w:t>
      </w:r>
      <w:r>
        <w:rPr>
          <w:b/>
        </w:rPr>
        <w:t xml:space="preserve"> </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 Ferguson, 2010)</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k_600-estimate-uncertainity-from-physical-processes-verus-from-rs"/>
      <w:bookmarkEnd w:id="45"/>
      <w:r>
        <w:t xml:space="preserve">4.2</w:t>
      </w:r>
      <w:r>
        <w:t xml:space="preserve"> </w:t>
      </w:r>
      <m:oMath>
        <m:sSub>
          <m:e>
            <m:r>
              <m:t>K</m:t>
            </m:r>
          </m:e>
          <m:sub>
            <m:r>
              <m:t>600</m:t>
            </m:r>
          </m:sub>
        </m:sSub>
      </m:oMath>
      <w:r>
        <w:t xml:space="preserve"> </w:t>
      </w:r>
      <w:r>
        <w:t xml:space="preserve">estimate uncertainity from physical processes verus from RS</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Therefore, we argue that BIKER's estimate uncertainity is limited by current process-level knowledge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processes governing gas exchange from SWOT-observable rivers. Validating the BIKER algorithm has provided a unique lense to view</w:t>
      </w:r>
      <w:r>
        <w:t xml:space="preserve"> </w:t>
      </w:r>
      <m:oMath>
        <m:sSub>
          <m:e>
            <m:r>
              <m:t>k</m:t>
            </m:r>
          </m:e>
          <m:sub>
            <m:r>
              <m:t>600</m:t>
            </m:r>
          </m:sub>
        </m:sSub>
      </m:oMath>
      <w:r>
        <w:t xml:space="preserve"> </w:t>
      </w:r>
      <w:r>
        <w:t xml:space="preserve">upscaling through, and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6" w:name="gas-exhange-under-uniform-and-non-uniform-flow-conditions"/>
      <w:bookmarkEnd w:id="46"/>
      <w:r>
        <w:t xml:space="preserve">4.2.1 Gas exhange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explore this question.</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only modestly worse than those made using a streamgauge and the global-scope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 xxxxxxxxxxxxx.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made generously available by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9">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0">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1">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2">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3">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4">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5">
        <w:r>
          <w:rPr>
            <w:rStyle w:val="Hyperlink"/>
          </w:rPr>
          <w:t xml:space="preserve">https://doi.org/10.1007/s10021-006-9013-8</w:t>
        </w:r>
      </w:hyperlink>
    </w:p>
    <w:p>
      <w:pPr>
        <w:pStyle w:val="Bibliography"/>
      </w:pPr>
      <w:r>
        <w:t xml:space="preserve">Demars, B.O.L., Thompson, J., Manson, J.R., 2015. Stream metabolism and the open diel oxygen method: Principles, practice, and perspectives. Limnology and Oceanography: Methods 13, 356–374.</w:t>
      </w:r>
      <w:r>
        <w:t xml:space="preserve"> </w:t>
      </w:r>
      <w:hyperlink r:id="rId66">
        <w:r>
          <w:rPr>
            <w:rStyle w:val="Hyperlink"/>
          </w:rPr>
          <w:t xml:space="preserve">https://doi.org/10.1002/lom3.10030</w:t>
        </w:r>
      </w:hyperlink>
    </w:p>
    <w:p>
      <w:pPr>
        <w:pStyle w:val="Bibliography"/>
      </w:pPr>
      <w:r>
        <w:t xml:space="preserve">Dingman, S.L., 2007. Analytical derivation of at-a-station hydraulicGeometry relations. Journal of Hydrology 334, 17–27.</w:t>
      </w:r>
      <w:r>
        <w:t xml:space="preserve"> </w:t>
      </w:r>
      <w:hyperlink r:id="rId67">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8">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9">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0">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1">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2">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3">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5">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6">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6">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7">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98">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99">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0">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1">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2">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3">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4">
        <w:r>
          <w:rPr>
            <w:rStyle w:val="Hyperlink"/>
          </w:rPr>
          <w:t xml:space="preserve">https://doi.org/10.1029/WR024i008p01317</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5">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6">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07">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08">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09">
        <w:r>
          <w:rPr>
            <w:rStyle w:val="Hyperlink"/>
          </w:rPr>
          <w:t xml:space="preserve">https://doi.org/10.1029/2006GL028790</w:t>
        </w:r>
      </w:hyperlink>
    </w:p>
    <w:sectPr w:rsidR="00F3367E" w:rsidRPr="00F3367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280711"/>
      <w:docPartObj>
        <w:docPartGallery w:val="Page Numbers (Bottom of Page)"/>
        <w:docPartUnique/>
      </w:docPartObj>
    </w:sdtPr>
    <w:sdtEndPr>
      <w:rPr>
        <w:rFonts w:ascii="Times New Roman" w:hAnsi="Times New Roman" w:cs="Times New Roman"/>
        <w:noProof/>
      </w:rPr>
    </w:sdtEndPr>
    <w:sdtContent>
      <w:p w14:paraId="5BE606CD" w14:textId="69E5DD97" w:rsidR="002059CC" w:rsidRPr="002059CC" w:rsidRDefault="002059CC">
        <w:pPr>
          <w:pStyle w:val="Footer"/>
          <w:jc w:val="center"/>
          <w:rPr>
            <w:rFonts w:ascii="Times New Roman" w:hAnsi="Times New Roman" w:cs="Times New Roman"/>
          </w:rPr>
        </w:pPr>
        <w:r w:rsidRPr="002059CC">
          <w:rPr>
            <w:rFonts w:ascii="Times New Roman" w:hAnsi="Times New Roman" w:cs="Times New Roman"/>
          </w:rPr>
          <w:fldChar w:fldCharType="begin"/>
        </w:r>
        <w:r w:rsidRPr="002059CC">
          <w:rPr>
            <w:rFonts w:ascii="Times New Roman" w:hAnsi="Times New Roman" w:cs="Times New Roman"/>
          </w:rPr>
          <w:instrText xml:space="preserve"> PAGE   \* MERGEFORMAT </w:instrText>
        </w:r>
        <w:r w:rsidRPr="002059CC">
          <w:rPr>
            <w:rFonts w:ascii="Times New Roman" w:hAnsi="Times New Roman" w:cs="Times New Roman"/>
          </w:rPr>
          <w:fldChar w:fldCharType="separate"/>
        </w:r>
        <w:r w:rsidRPr="002059CC">
          <w:rPr>
            <w:rFonts w:ascii="Times New Roman" w:hAnsi="Times New Roman" w:cs="Times New Roman"/>
            <w:noProof/>
          </w:rPr>
          <w:t>2</w:t>
        </w:r>
        <w:r w:rsidRPr="002059CC">
          <w:rPr>
            <w:rFonts w:ascii="Times New Roman" w:hAnsi="Times New Roman" w:cs="Times New Roman"/>
            <w:noProof/>
          </w:rPr>
          <w:fldChar w:fldCharType="end"/>
        </w:r>
      </w:p>
    </w:sdtContent>
  </w:sdt>
  <w:p w14:paraId="50831D15" w14:textId="77777777" w:rsidR="002059CC" w:rsidRDefault="002059C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780f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ad3a9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1" Target="https://doi.org/10.1002/hyp.7518" TargetMode="External" /><Relationship Type="http://schemas.openxmlformats.org/officeDocument/2006/relationships/hyperlink" Id="rId103"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0" Target="https://doi.org/10.1007/s10021-007-9059-2" TargetMode="External" /><Relationship Type="http://schemas.openxmlformats.org/officeDocument/2006/relationships/hyperlink" Id="rId102"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68" Target="https://doi.org/10.1016/j.rse.2020.111883" TargetMode="External" /><Relationship Type="http://schemas.openxmlformats.org/officeDocument/2006/relationships/hyperlink" Id="rId109"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107"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8"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1"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08" Target="https://doi.org/10.1029/92JC00188" TargetMode="External" /><Relationship Type="http://schemas.openxmlformats.org/officeDocument/2006/relationships/hyperlink" Id="rId104" Target="https://doi.org/10.1029/WR024i008p01317" TargetMode="External" /><Relationship Type="http://schemas.openxmlformats.org/officeDocument/2006/relationships/hyperlink" Id="rId96"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6"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7" Target="https://doi.org/10.1215/21573689-1597669" TargetMode="External" /><Relationship Type="http://schemas.openxmlformats.org/officeDocument/2006/relationships/hyperlink" Id="rId105" Target="https://doi.org/10.2307/1467960" TargetMode="External" /><Relationship Type="http://schemas.openxmlformats.org/officeDocument/2006/relationships/hyperlink" Id="rId99"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1" Target="https://doi.org/10.1002/hyp.7518" TargetMode="External" /><Relationship Type="http://schemas.openxmlformats.org/officeDocument/2006/relationships/hyperlink" Id="rId103"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0" Target="https://doi.org/10.1007/s10021-007-9059-2" TargetMode="External" /><Relationship Type="http://schemas.openxmlformats.org/officeDocument/2006/relationships/hyperlink" Id="rId102"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68" Target="https://doi.org/10.1016/j.rse.2020.111883" TargetMode="External" /><Relationship Type="http://schemas.openxmlformats.org/officeDocument/2006/relationships/hyperlink" Id="rId109"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107"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8"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1"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08" Target="https://doi.org/10.1029/92JC00188" TargetMode="External" /><Relationship Type="http://schemas.openxmlformats.org/officeDocument/2006/relationships/hyperlink" Id="rId104" Target="https://doi.org/10.1029/WR024i008p01317" TargetMode="External" /><Relationship Type="http://schemas.openxmlformats.org/officeDocument/2006/relationships/hyperlink" Id="rId96"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6"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7" Target="https://doi.org/10.1215/21573689-1597669" TargetMode="External" /><Relationship Type="http://schemas.openxmlformats.org/officeDocument/2006/relationships/hyperlink" Id="rId105" Target="https://doi.org/10.2307/1467960" TargetMode="External" /><Relationship Type="http://schemas.openxmlformats.org/officeDocument/2006/relationships/hyperlink" Id="rId99"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2021-02-19T19:25:01Z</dcterms:created>
  <dcterms:modified xsi:type="dcterms:W3CDTF">2021-02-19T19:25:01Z</dcterms:modified>
</cp:coreProperties>
</file>