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jpg" ContentType="image/jpeg"/>
  <Override PartName="/word/media/rId28.jpg" ContentType="image/jpeg"/>
  <Override PartName="/word/media/rId26.jpg" ContentType="image/jpeg"/>
  <Override PartName="/word/media/rId30.jpg" ContentType="image/jpeg"/>
  <Override PartName="/word/media/rId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influenced</w:t>
      </w:r>
      <w:r>
        <w:t xml:space="preserve"> </w:t>
      </w:r>
      <w:r>
        <w:t xml:space="preserve">by</w:t>
      </w:r>
      <w:r>
        <w:t xml:space="preserve"> </w:t>
      </w:r>
      <w:r>
        <w:t xml:space="preserve">largest</w:t>
      </w:r>
      <w:r>
        <w:t xml:space="preserve"> </w:t>
      </w:r>
      <w:r>
        <w:t xml:space="preserve">turbulent</w:t>
      </w:r>
      <w:r>
        <w:t xml:space="preserve"> </w:t>
      </w:r>
      <w:r>
        <w:t xml:space="preserve">eddies:</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w:t>
      </w:r>
      <w:r>
        <w:br/>
      </w:r>
      <w:r>
        <w:rPr>
          <w:vertAlign w:val="superscript"/>
        </w:rPr>
        <w:t xml:space="preserve">2</w:t>
      </w:r>
      <w:r>
        <w:t xml:space="preserve"> </w:t>
      </w:r>
      <w:r>
        <w:t xml:space="preserve">Lamont-Doherty Earth Observatory, Columbia University</w:t>
      </w:r>
      <w:r>
        <w:br/>
      </w:r>
      <w:r>
        <w:rPr>
          <w:vertAlign w:val="superscript"/>
        </w:rPr>
        <w:t xml:space="preserve">3</w:t>
      </w:r>
      <w:r>
        <w:t xml:space="preserve"> </w:t>
      </w:r>
      <w:r>
        <w:t xml:space="preserve">School of the Environment, Yale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1" w:name="key-points"/>
    <w:p>
      <w:pPr>
        <w:pStyle w:val="Heading2"/>
      </w:pPr>
      <w:r>
        <w:t xml:space="preserve">Key Points</w:t>
      </w:r>
    </w:p>
    <w:p>
      <w:pPr>
        <w:numPr>
          <w:ilvl w:val="0"/>
          <w:numId w:val="1001"/>
        </w:numPr>
        <w:pStyle w:val="Compact"/>
      </w:pPr>
      <w:r>
        <w:t xml:space="preserve">Both large and small scale eddies control gas exchange in hydraulically wide rivers</w:t>
      </w:r>
    </w:p>
    <w:p>
      <w:pPr>
        <w:numPr>
          <w:ilvl w:val="0"/>
          <w:numId w:val="1001"/>
        </w:numPr>
        <w:pStyle w:val="Compact"/>
      </w:pPr>
      <w:r>
        <w:t xml:space="preserve">BIKER algorithm exploits this theory, predicting gas exchange velocity and</w:t>
      </w:r>
      <w:r>
        <w:t xml:space="preserve"> </w:t>
      </w:r>
      <m:oMath>
        <m:r>
          <m:t>C</m:t>
        </m:r>
        <m:sSub>
          <m:e>
            <m:r>
              <m:t>O</m:t>
            </m:r>
          </m:e>
          <m:sub>
            <m:r>
              <m:t>2</m:t>
            </m:r>
          </m:sub>
        </m:sSub>
      </m:oMath>
      <w:r>
        <w:t xml:space="preserve"> </w:t>
      </w:r>
      <w:r>
        <w:t xml:space="preserve">fluxes from simulated SWOT satellite data and in situ</w:t>
      </w:r>
      <w:r>
        <w:t xml:space="preserve"> </w:t>
      </w:r>
      <m:oMath>
        <m:r>
          <m:t>C</m:t>
        </m:r>
        <m:sSub>
          <m:e>
            <m:r>
              <m:t>O</m:t>
            </m:r>
          </m:e>
          <m:sub>
            <m:r>
              <m:t>2</m:t>
            </m:r>
          </m:sub>
        </m:sSub>
      </m:oMath>
      <w:r>
        <w:t xml:space="preserve"> </w:t>
      </w:r>
      <w:r>
        <w:t xml:space="preserve">data</w:t>
      </w:r>
    </w:p>
    <w:p>
      <w:pPr>
        <w:numPr>
          <w:ilvl w:val="0"/>
          <w:numId w:val="1001"/>
        </w:numPr>
        <w:pStyle w:val="Compact"/>
      </w:pPr>
      <w:r>
        <w:t xml:space="preserve">BIKER is also robust to measurement errors internal to the SWOT river measurements</w:t>
      </w:r>
    </w:p>
    <w:bookmarkEnd w:id="21"/>
    <w:bookmarkStart w:id="22" w:name="keywords"/>
    <w:p>
      <w:pPr>
        <w:pStyle w:val="Heading2"/>
      </w:pPr>
      <w:r>
        <w:t xml:space="preserve">Keywords</w:t>
      </w:r>
    </w:p>
    <w:p>
      <w:pPr>
        <w:pStyle w:val="FirstParagraph"/>
      </w:pPr>
      <w:r>
        <w:t xml:space="preserve">gas exchange, fluvial geomorphology, open-channel flow, remote sensing, SWOT, biogeochemistry, ungauged basin</w:t>
      </w:r>
    </w:p>
    <w:bookmarkEnd w:id="22"/>
    <w:bookmarkStart w:id="23" w:name="abstract"/>
    <w:p>
      <w:pPr>
        <w:pStyle w:val="Heading2"/>
      </w:pPr>
      <w:r>
        <w:t xml:space="preserve">Abstract</w:t>
      </w:r>
    </w:p>
    <w:p>
      <w:pPr>
        <w:pStyle w:val="FirstParagraph"/>
      </w:pPr>
      <w:r>
        <w:t xml:space="preserve">UPDATE</w:t>
      </w:r>
    </w:p>
    <w:p>
      <w:pPr>
        <w:pStyle w:val="BodyText"/>
      </w:pPr>
      <w:r>
        <w:t xml:space="preserve">Extensive research over the past two decades has shown that the global river network emits significant amounts of carbon dioxide (</w:t>
      </w:r>
      <m:oMath>
        <m:r>
          <m:t>C</m:t>
        </m:r>
        <m:sSub>
          <m:e>
            <m:r>
              <m:t>O</m:t>
            </m:r>
          </m:e>
          <m:sub>
            <m:r>
              <m:t>2</m:t>
            </m:r>
          </m:sub>
        </m:sSub>
      </m:oMath>
      <w:r>
        <w:t xml:space="preserve">) to the atmosphere via gas evasion, a diffusive flux across the air-water interface. This global flux is still relatively poorly constrained, with much ambiguity coming from mechanistic and predictive uncertainties in the gas exchange velocity (the rate of this diffusion). We propose that the NASA/CNES/USKA/CSA SWOT satellite, set to usher in a new age of river hydrology research at the global scale, will provide similarly transformative insights to fluvial gas exchange modeling. Here, we present work predicting gas exchange velocity using SWOT observations. We exploit the unique geomorphology of SWOT-observable rivers to develop a process-based model that is nearly entirely remotely sensible. We then couple this model with established Bayesian techniques to develop BIKER, or the</w:t>
      </w:r>
      <w:r>
        <w:t xml:space="preserve"> </w:t>
      </w:r>
      <w:r>
        <w:t xml:space="preserve">‘</w:t>
      </w:r>
      <w:r>
        <w:t xml:space="preserve">Bayesian Inference/Inversion of the k600 Exchange Rat</w:t>
      </w:r>
      <w:r>
        <w:t xml:space="preserve">’</w:t>
      </w:r>
      <w:r>
        <w:t xml:space="preserve"> </w:t>
      </w:r>
      <w:r>
        <w:t xml:space="preserve">algorithm. We validate BIKER on 47 SWOT-simulated rivers and over 700 discrete measurements of river gas exchange, yielding 1) a theoretical model that explains 64% of variation in gas exchange in SWOT-observable rivers and 2) an algorithm that predicts this theoretical model solely from SWOT observations with a median normalized RMSE of 0.37. Additionally, by-river performance improves as the amount of available SWOT data increases. BIKER is also robust to measurement errors implicit in the SWOT data, with a median normalize RMSE of 0.32. With SWOT set to launch in 2022, we suggest that BIKER might address the lack of data on gas exchange in large rivers and help to better constrain current and future fluvial gas evasion models at the global scale.</w:t>
      </w:r>
    </w:p>
    <w:bookmarkEnd w:id="23"/>
    <w:bookmarkStart w:id="24" w:name="plain-language-summary"/>
    <w:p>
      <w:pPr>
        <w:pStyle w:val="Heading2"/>
      </w:pPr>
      <w:r>
        <w:t xml:space="preserve">Plain Language Summary</w:t>
      </w:r>
    </w:p>
    <w:p>
      <w:pPr>
        <w:pStyle w:val="FirstParagraph"/>
      </w:pPr>
      <w:r>
        <w:rPr>
          <w:iCs/>
          <w:i/>
        </w:rPr>
        <w:t xml:space="preserve">Necessary for AGU advances (200 words)</w:t>
      </w:r>
    </w:p>
    <w:bookmarkEnd w:id="24"/>
    <w:bookmarkStart w:id="25" w:name="introduction"/>
    <w:p>
      <w:pPr>
        <w:pStyle w:val="Heading2"/>
      </w:pPr>
      <w:r>
        <w:t xml:space="preserve">1 Introduction</w:t>
      </w:r>
    </w:p>
    <w:p>
      <w:pPr>
        <w:pStyle w:val="FirstParagraph"/>
      </w:pPr>
      <w:r>
        <w:t xml:space="preserve">Natural systems play a fundamental role in the budgeting and accounting of the global carbon cycle under climate change. Since the publication of</w:t>
      </w:r>
      <w:r>
        <w:t xml:space="preserve"> </w:t>
      </w:r>
      <w:r>
        <w:t xml:space="preserve">Cole et al. (2007)</w:t>
      </w:r>
      <w:r>
        <w:t xml:space="preserve">, the global river network is recognized to emit substantial amounts of carbon to the atmosphere, in addition to exporting it to the oceans. Current estimates of total carbon dioxide evasion (</w:t>
      </w:r>
      <m:oMath>
        <m:r>
          <m:t>F</m:t>
        </m:r>
        <m:r>
          <m:t>C</m:t>
        </m:r>
        <m:sSub>
          <m:e>
            <m:r>
              <m:t>O</m:t>
            </m:r>
          </m:e>
          <m:sub>
            <m:r>
              <m:t>2</m:t>
            </m:r>
          </m:sub>
        </m:sSub>
      </m:oMath>
      <w:r>
        <w:t xml:space="preserve">) to the atmosphere from the global river network vary from 650-1800 Tg C/yr</w:t>
      </w:r>
      <w:r>
        <w:t xml:space="preserve"> </w:t>
      </w:r>
      <w:r>
        <w:t xml:space="preserve">(Lauerwald et al., 2015; Raymond et al., 2013)</w:t>
      </w:r>
      <w:r>
        <w:t xml:space="preserve"> </w:t>
      </w:r>
      <w:r>
        <w:t xml:space="preserve">(</w:t>
      </w:r>
      <w:r>
        <w:rPr>
          <w:iCs/>
          <w:i/>
        </w:rPr>
        <w:t xml:space="preserve">Liu etal in review</w:t>
      </w:r>
      <w:r>
        <w:t xml:space="preserve">), with 167 Tg-C/yr coming from mountain streams alone</w:t>
      </w:r>
      <w:r>
        <w:t xml:space="preserve"> </w:t>
      </w:r>
      <w:r>
        <w:t xml:space="preserve">(Horgby et al., 2019)</w:t>
      </w:r>
      <w:r>
        <w:t xml:space="preserve">. Despite its incredibly small percentage of the global land surface</w:t>
      </w:r>
      <w:r>
        <w:t xml:space="preserve"> </w:t>
      </w:r>
      <w:r>
        <w:t xml:space="preserve">(0.47%- Raymond et al., 2013)</w:t>
      </w:r>
      <w:r>
        <w:t xml:space="preserve">, this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 It is still relatively poorly constrained but is clearly a critical component of the global carbon cycle. Equation 1 represents this flux given 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w:t>
      </w:r>
      <w:r>
        <w:t xml:space="preserve">and the gas exchange velocity</w:t>
      </w:r>
      <w:r>
        <w:t xml:space="preserve"> </w:t>
      </w:r>
      <w:r>
        <w:rPr>
          <w:iCs/>
          <w:i/>
        </w:rPr>
        <w:t xml:space="preserve">k</w:t>
      </w:r>
      <w:r>
        <w:t xml:space="preserve">. Consult Appendix A for variable nomenclature used in this study.</w:t>
      </w:r>
    </w:p>
    <w:p>
      <w:pPr>
        <w:pStyle w:val="BodyText"/>
      </w:pPr>
      <m:oMathPara>
        <m:oMathParaPr>
          <m:jc m:val="center"/>
        </m:oMathParaPr>
        <m:oMath>
          <m:d>
            <m:dPr>
              <m:begChr m:val="("/>
              <m:endChr m:val=")"/>
              <m:sepChr m:val=""/>
              <m:grow/>
            </m:dPr>
            <m:e>
              <m:r>
                <m:rPr>
                  <m:sty m:val="b"/>
                </m:rPr>
                <m:t>1</m:t>
              </m:r>
            </m:e>
          </m:d>
          <m:r>
            <m:t>F</m:t>
          </m:r>
          <m:r>
            <m:t>C</m:t>
          </m:r>
          <m:sSub>
            <m:e>
              <m:r>
                <m:t>O</m:t>
              </m:r>
            </m:e>
            <m:sub>
              <m:r>
                <m:t>2</m:t>
              </m:r>
            </m:sub>
          </m:sSub>
          <m:r>
            <m:rPr>
              <m:sty m:val="p"/>
            </m:rPr>
            <m:t>=</m:t>
          </m:r>
          <m:r>
            <m:t>k</m:t>
          </m:r>
          <m:d>
            <m:dPr>
              <m:begChr m:val="("/>
              <m:endChr m:val=")"/>
              <m:sepChr m:val=""/>
              <m:grow/>
            </m:dPr>
            <m:e>
              <m:r>
                <m:t>C</m:t>
              </m:r>
              <m:sSub>
                <m:e>
                  <m:r>
                    <m:t>O</m:t>
                  </m:r>
                </m:e>
                <m:sub>
                  <m:sSub>
                    <m:e>
                      <m:r>
                        <m:t>2</m:t>
                      </m:r>
                    </m:e>
                    <m:sub>
                      <m:r>
                        <m:t>w</m:t>
                      </m:r>
                      <m:r>
                        <m:t>a</m:t>
                      </m:r>
                      <m:r>
                        <m:t>t</m:t>
                      </m:r>
                      <m:r>
                        <m:t>e</m:t>
                      </m:r>
                      <m:r>
                        <m:t>r</m:t>
                      </m:r>
                    </m:sub>
                  </m:sSub>
                </m:sub>
              </m:sSub>
              <m:r>
                <m:rPr>
                  <m:sty m:val="p"/>
                </m:rPr>
                <m:t>−</m:t>
              </m:r>
              <m:r>
                <m:t>C</m:t>
              </m:r>
              <m:sSub>
                <m:e>
                  <m:r>
                    <m:t>O</m:t>
                  </m:r>
                </m:e>
                <m:sub>
                  <m:sSub>
                    <m:e>
                      <m:r>
                        <m:t>2</m:t>
                      </m:r>
                    </m:e>
                    <m:sub>
                      <m:r>
                        <m:t>a</m:t>
                      </m:r>
                      <m:r>
                        <m:t>i</m:t>
                      </m:r>
                      <m:r>
                        <m:t>r</m:t>
                      </m:r>
                    </m:sub>
                  </m:sSub>
                </m:sub>
              </m:sSub>
            </m:e>
          </m:d>
        </m:oMath>
      </m:oMathPara>
    </w:p>
    <w:p>
      <w:pPr>
        <w:pStyle w:val="FirstParagraph"/>
      </w:pPr>
      <w:r>
        <w:t xml:space="preserve">The structure of equation 1 necessitates that calculations of this flux are highly sensitive to one’s measurements/estimates of</w:t>
      </w:r>
      <w:r>
        <w:t xml:space="preserve"> </w:t>
      </w:r>
      <w:r>
        <w:rPr>
          <w:iCs/>
          <w:i/>
        </w:rPr>
        <w:t xml:space="preserve">k</w:t>
      </w:r>
      <w:r>
        <w:t xml:space="preserve"> </w:t>
      </w:r>
      <w:r>
        <w:t xml:space="preserve">(Hall and Ulseth, 2020)</w:t>
      </w:r>
      <w:r>
        <w:t xml:space="preserve">. More broadly, fluvial</w:t>
      </w:r>
      <w:r>
        <w:t xml:space="preserve"> </w:t>
      </w:r>
      <w:r>
        <w:rPr>
          <w:iCs/>
          <w:i/>
        </w:rPr>
        <w:t xml:space="preserve">k</w:t>
      </w:r>
      <w:r>
        <w:t xml:space="preserve"> </w:t>
      </w:r>
      <w:r>
        <w:t xml:space="preserve">for various dissolved gases are of significant importance to aquatic ecologists modeling stream metabolism</w:t>
      </w:r>
      <w:r>
        <w:t xml:space="preserve"> </w:t>
      </w:r>
      <w:r>
        <w:t xml:space="preserve">(e.g. Bernhardt et al., 2018)</w:t>
      </w:r>
      <w:r>
        <w:t xml:space="preserve"> </w:t>
      </w:r>
      <w:r>
        <w:t xml:space="preserve">and water quality engineers modeling river responses to pollutant loadings</w:t>
      </w:r>
      <w:r>
        <w:t xml:space="preserve"> </w:t>
      </w:r>
      <w:r>
        <w:t xml:space="preserve">(among other things- Chapra, 2008)</w:t>
      </w:r>
      <w:r>
        <w:t xml:space="preserve">. Because of this far-reaching importance, decades of work have focused on elucidating the physical mechanisms behind</w:t>
      </w:r>
      <w:r>
        <w:t xml:space="preserve"> </w:t>
      </w:r>
      <w:r>
        <w:rPr>
          <w:iCs/>
          <w:i/>
        </w:rPr>
        <w:t xml:space="preserve">k</w:t>
      </w:r>
      <w:r>
        <w:t xml:space="preserve"> </w:t>
      </w:r>
      <w:r>
        <w:t xml:space="preserve">in oceans and lakes</w:t>
      </w:r>
      <w:r>
        <w:t xml:space="preserve"> </w:t>
      </w:r>
      <w:r>
        <w:t xml:space="preserve">(Wanninkhof et al., 2009 for a review)</w:t>
      </w:r>
      <w:r>
        <w:t xml:space="preserve"> </w:t>
      </w:r>
      <w:r>
        <w:t xml:space="preserve">and, to a lesser extent, fluvial gas exchange</w:t>
      </w:r>
      <w:r>
        <w:t xml:space="preserve"> </w:t>
      </w:r>
      <w:r>
        <w:t xml:space="preserve">(Hall and Ulseth, 2020 for a review)</w:t>
      </w:r>
      <w:r>
        <w:t xml:space="preserve">. Given that</w:t>
      </w:r>
      <w:r>
        <w:t xml:space="preserve"> </w:t>
      </w:r>
      <w:r>
        <w:rPr>
          <w:iCs/>
          <w:i/>
        </w:rPr>
        <w:t xml:space="preserve">k</w:t>
      </w:r>
      <w:r>
        <w:t xml:space="preserve"> </w:t>
      </w:r>
      <w:r>
        <w:t xml:space="preserve">should scale with near-surface turbulence in a turbulent flow</w:t>
      </w:r>
      <w:r>
        <w:t xml:space="preserve"> </w:t>
      </w:r>
      <w:r>
        <w:t xml:space="preserve">(Hall and Ulseth, 2020)</w:t>
      </w:r>
      <w:r>
        <w:t xml:space="preserve">, extensive field and labratory experiments have converged on the</w:t>
      </w:r>
      <w:r>
        <w:t xml:space="preserve"> </w:t>
      </w:r>
      <w:r>
        <w:t xml:space="preserve">‘</w:t>
      </w:r>
      <w:r>
        <w:t xml:space="preserve">small-eddy model</w:t>
      </w:r>
      <w:r>
        <w:t xml:space="preserve">’</w:t>
      </w:r>
      <w:r>
        <w:t xml:space="preserve"> </w:t>
      </w:r>
      <w:r>
        <w:t xml:space="preserve">as proposed by</w:t>
      </w:r>
      <w:r>
        <w:t xml:space="preserve"> </w:t>
      </w:r>
      <w:r>
        <w:t xml:space="preserve">Lamont and Scott (1970)</w:t>
      </w:r>
      <w:r>
        <w:t xml:space="preserve">, which scales</w:t>
      </w:r>
      <w:r>
        <w:t xml:space="preserve"> </w:t>
      </w:r>
      <w:r>
        <w:rPr>
          <w:iCs/>
          <w:i/>
        </w:rPr>
        <w:t xml:space="preserve">k</w:t>
      </w:r>
      <w:r>
        <w:t xml:space="preserve"> </w:t>
      </w:r>
      <w:r>
        <w:t xml:space="preserve">via the smallest-scale turbulent eddies</w:t>
      </w:r>
      <w:r>
        <w:t xml:space="preserve"> </w:t>
      </w:r>
      <w:r>
        <w:t xml:space="preserve">(e.g. Lorke and Peeters, 2006; Douglas B. Moog and Jirka, 1999a; Vachon et al., 2010; Zappa et al., 2007, 2003)</w:t>
      </w:r>
      <w:r>
        <w:t xml:space="preserve">. This model is provided as equation 2, where</w:t>
      </w:r>
      <w:r>
        <w:t xml:space="preserve"> </w:t>
      </w:r>
      <m:oMath>
        <m:sSub>
          <m:e>
            <m:r>
              <m:t>ϵ</m:t>
            </m:r>
          </m:e>
          <m:sub>
            <m:r>
              <m:t>S</m:t>
            </m:r>
          </m:sub>
        </m:sSub>
      </m:oMath>
      <w:r>
        <w:t xml:space="preserve"> </w:t>
      </w:r>
      <w:r>
        <w:t xml:space="preserve">is the dissipation rate of near-surface turbulence,</w:t>
      </w:r>
      <w:r>
        <w:t xml:space="preserve"> </w:t>
      </w:r>
      <m:oMath>
        <m:r>
          <m:t>v</m:t>
        </m:r>
      </m:oMath>
      <w:r>
        <w:t xml:space="preserve"> </w:t>
      </w:r>
      <w:r>
        <w:t xml:space="preserve">is the kinematic viscosity,</w:t>
      </w:r>
      <w:r>
        <w:t xml:space="preserve"> </w:t>
      </w:r>
      <w:r>
        <w:rPr>
          <w:iCs/>
          <w:i/>
        </w:rPr>
        <w:t xml:space="preserve">Sc</w:t>
      </w:r>
      <w:r>
        <w:t xml:space="preserve"> </w:t>
      </w:r>
      <w:r>
        <w:t xml:space="preserve">is the Schmidt number. Note that directly measuring</w:t>
      </w:r>
      <w:r>
        <w:t xml:space="preserve"> </w:t>
      </w:r>
      <m:oMath>
        <m:sSub>
          <m:e>
            <m:r>
              <m:t>ϵ</m:t>
            </m:r>
          </m:e>
          <m:sub>
            <m:r>
              <m:t>S</m:t>
            </m:r>
          </m:sub>
        </m:sSub>
      </m:oMath>
      <w:r>
        <w:t xml:space="preserve"> </w:t>
      </w:r>
      <w:r>
        <w:t xml:space="preserve">is non-trivial and a frequent model is to impose the log-law-of-the-wall to scale bottom shear to the surface (Appendix A).</w:t>
      </w:r>
    </w:p>
    <w:p>
      <w:pPr>
        <w:pStyle w:val="BodyText"/>
      </w:pPr>
      <m:oMathPara>
        <m:oMathParaPr>
          <m:jc m:val="center"/>
        </m:oMathParaPr>
        <m:oMath>
          <m:d>
            <m:dPr>
              <m:begChr m:val="("/>
              <m:endChr m:val=")"/>
              <m:sepChr m:val=""/>
              <m:grow/>
            </m:dPr>
            <m:e>
              <m:r>
                <m:rPr>
                  <m:sty m:val="b"/>
                </m:rPr>
                <m:t>2</m:t>
              </m:r>
            </m:e>
          </m:d>
          <m:r>
            <m:t>k</m:t>
          </m:r>
          <m:r>
            <m:rPr>
              <m:sty m:val="p"/>
            </m:rPr>
            <m:t>∼</m:t>
          </m:r>
          <m:r>
            <m:t>S</m:t>
          </m:r>
          <m:sSup>
            <m:e>
              <m:r>
                <m:t>c</m:t>
              </m:r>
            </m:e>
            <m:sup>
              <m:r>
                <m:rPr>
                  <m:sty m:val="p"/>
                </m:rPr>
                <m:t>−</m:t>
              </m:r>
              <m:r>
                <m:t>1</m:t>
              </m:r>
              <m:r>
                <m:rPr>
                  <m:sty m:val="p"/>
                </m:rPr>
                <m:t>/</m:t>
              </m:r>
              <m:r>
                <m:t>2</m:t>
              </m:r>
            </m:sup>
          </m:sSup>
          <m:sSup>
            <m:e>
              <m:d>
                <m:dPr>
                  <m:begChr m:val="("/>
                  <m:endChr m:val=")"/>
                  <m:sepChr m:val=""/>
                  <m:grow/>
                </m:dPr>
                <m:e>
                  <m:r>
                    <m:t>v</m:t>
                  </m:r>
                  <m:sSub>
                    <m:e>
                      <m:r>
                        <m:t>ϵ</m:t>
                      </m:r>
                    </m:e>
                    <m:sub>
                      <m:r>
                        <m:t>S</m:t>
                      </m:r>
                    </m:sub>
                  </m:sSub>
                </m:e>
              </m:d>
            </m:e>
            <m:sup>
              <m:r>
                <m:t>1</m:t>
              </m:r>
              <m:r>
                <m:rPr>
                  <m:sty m:val="p"/>
                </m:rPr>
                <m:t>/</m:t>
              </m:r>
              <m:r>
                <m:t>4</m:t>
              </m:r>
            </m:sup>
          </m:sSup>
        </m:oMath>
      </m:oMathPara>
    </w:p>
    <w:p>
      <w:pPr>
        <w:pStyle w:val="FirstParagraph"/>
      </w:pPr>
      <w:r>
        <w:t xml:space="preserve">While this model works reasonably well in non-fluvial environments where turbulence production is mostly limited to bottom shear or wind shear</w:t>
      </w:r>
      <w:r>
        <w:t xml:space="preserve"> </w:t>
      </w:r>
      <w:r>
        <w:t xml:space="preserve">(e.g. Lorke and Peeters, 2006; Zappa et al., 2007)</w:t>
      </w:r>
      <w:r>
        <w:t xml:space="preserve">, there is considerable uncertainity in how it applies to fluvial systems. First,</w:t>
      </w:r>
      <w:r>
        <w:t xml:space="preserve"> </w:t>
      </w:r>
      <w:r>
        <w:t xml:space="preserve">‘</w:t>
      </w:r>
      <w:r>
        <w:t xml:space="preserve">bubble-mediated gas exchange</w:t>
      </w:r>
      <w:r>
        <w:t xml:space="preserve">’</w:t>
      </w:r>
      <w:r>
        <w:t xml:space="preserve"> </w:t>
      </w:r>
      <w:r>
        <w:t xml:space="preserve">in whitewater might lead to substantially higher</w:t>
      </w:r>
      <w:r>
        <w:t xml:space="preserve"> </w:t>
      </w:r>
      <w:r>
        <w:rPr>
          <w:iCs/>
          <w:i/>
        </w:rPr>
        <w:t xml:space="preserve">k</w:t>
      </w:r>
      <w:r>
        <w:t xml:space="preserve"> </w:t>
      </w:r>
      <w:r>
        <w:t xml:space="preserve">in small mountain streams with very large bedload</w:t>
      </w:r>
      <w:r>
        <w:t xml:space="preserve"> </w:t>
      </w:r>
      <w:r>
        <w:t xml:space="preserve">(Hall et al., 2012; Ulseth et al., 2019)</w:t>
      </w:r>
      <w:r>
        <w:t xml:space="preserve">. Another approach is to model</w:t>
      </w:r>
      <w:r>
        <w:t xml:space="preserve"> </w:t>
      </w:r>
      <w:r>
        <w:rPr>
          <w:iCs/>
          <w:i/>
        </w:rPr>
        <w:t xml:space="preserve">k</w:t>
      </w:r>
      <w:r>
        <w:t xml:space="preserve"> </w:t>
      </w:r>
      <w:r>
        <w:t xml:space="preserve">via</w:t>
      </w:r>
      <w:r>
        <w:t xml:space="preserve"> </w:t>
      </w:r>
      <w:r>
        <w:t xml:space="preserve">‘</w:t>
      </w:r>
      <w:r>
        <w:t xml:space="preserve">form-drag shear</w:t>
      </w:r>
      <w:r>
        <w:t xml:space="preserve">’</w:t>
      </w:r>
      <w:r>
        <w:t xml:space="preserve"> </w:t>
      </w:r>
      <w:r>
        <w:t xml:space="preserve">(i.e. total stream power per unit mass water) that captures frictional resistance via river channel banks, meanders, bars, etc.</w:t>
      </w:r>
      <w:r>
        <w:t xml:space="preserve"> </w:t>
      </w:r>
      <w:r>
        <w:t xml:space="preserve">(Douglas B. Moog and Jirka, 1999a)</w:t>
      </w:r>
      <w:r>
        <w:t xml:space="preserve">. Authors have since shown that this model reasonably predicts</w:t>
      </w:r>
      <w:r>
        <w:t xml:space="preserve"> </w:t>
      </w:r>
      <w:r>
        <w:rPr>
          <w:iCs/>
          <w:i/>
        </w:rPr>
        <w:t xml:space="preserve">k</w:t>
      </w:r>
      <w:r>
        <w:t xml:space="preserve"> </w:t>
      </w:r>
      <w:r>
        <w:t xml:space="preserve">in rivers</w:t>
      </w:r>
      <w:r>
        <w:t xml:space="preserve"> </w:t>
      </w:r>
      <w:r>
        <w:t xml:space="preserve">(Raymond et al., 2012; Ulseth et al., 2019)</w:t>
      </w:r>
      <w:r>
        <w:t xml:space="preserve">, though it requires good estimates of the average flow velocity. Compared to small streams, relatively little attention has been paid to gas exchange in very large rivers. Large rivers are often conceptualized as a hybrid condition of both fluvial and non-fluvial</w:t>
      </w:r>
      <w:r>
        <w:t xml:space="preserve"> </w:t>
      </w:r>
      <w:r>
        <w:rPr>
          <w:iCs/>
          <w:i/>
        </w:rPr>
        <w:t xml:space="preserve">k</w:t>
      </w:r>
      <w:r>
        <w:t xml:space="preserve"> </w:t>
      </w:r>
      <w:r>
        <w:t xml:space="preserve">dynamics. The handful of existing field studies of large-river</w:t>
      </w:r>
      <w:r>
        <w:t xml:space="preserve"> </w:t>
      </w:r>
      <w:r>
        <w:rPr>
          <w:iCs/>
          <w:i/>
        </w:rPr>
        <w:t xml:space="preserve">k</w:t>
      </w:r>
      <w:r>
        <w:t xml:space="preserve"> </w:t>
      </w:r>
      <w:r>
        <w:t xml:space="preserve">suggest that</w:t>
      </w:r>
      <w:r>
        <w:t xml:space="preserve"> </w:t>
      </w:r>
      <w:r>
        <w:rPr>
          <w:iCs/>
          <w:i/>
        </w:rPr>
        <w:t xml:space="preserve">k</w:t>
      </w:r>
      <w:r>
        <w:t xml:space="preserve"> </w:t>
      </w:r>
      <w:r>
        <w:t xml:space="preserve">begins to be influenced by wind shear once the water surface is less protected, though little else is well-established</w:t>
      </w:r>
      <w:r>
        <w:t xml:space="preserve"> </w:t>
      </w:r>
      <w:r>
        <w:t xml:space="preserve">(Alin et al., 2011; Beaulieu et al., 2012; Wang et al., 2021)</w:t>
      </w:r>
      <w:r>
        <w:t xml:space="preserve">. These mechanistic uncertainties are additionally limited by a dearth of field-measured fluvial</w:t>
      </w:r>
      <w:r>
        <w:t xml:space="preserve"> </w:t>
      </w:r>
      <w:r>
        <w:rPr>
          <w:iCs/>
          <w:i/>
        </w:rPr>
        <w:t xml:space="preserve">k</w:t>
      </w:r>
      <w:r>
        <w:t xml:space="preserve">.</w:t>
      </w:r>
      <w:r>
        <w:t xml:space="preserve"> </w:t>
      </w:r>
      <w:r>
        <w:t xml:space="preserve">Wang et al. (2021)</w:t>
      </w:r>
      <w:r>
        <w:t xml:space="preserve"> </w:t>
      </w:r>
      <w:r>
        <w:t xml:space="preserve">attempted to address this by simulating</w:t>
      </w:r>
      <w:r>
        <w:t xml:space="preserve"> </w:t>
      </w:r>
      <w:r>
        <w:rPr>
          <w:iCs/>
          <w:i/>
        </w:rPr>
        <w:t xml:space="preserve">k</w:t>
      </w:r>
      <w:r>
        <w:t xml:space="preserve"> </w:t>
      </w:r>
      <w:r>
        <w:t xml:space="preserve">in 35 rivers using a stream metabolism model</w:t>
      </w:r>
      <w:r>
        <w:t xml:space="preserve"> </w:t>
      </w:r>
      <w:r>
        <w:t xml:space="preserve">(Appling et al., 2018)</w:t>
      </w:r>
      <w:r>
        <w:t xml:space="preserve"> </w:t>
      </w:r>
      <w:r>
        <w:t xml:space="preserve">and in situ dissolved oxygen (DO) datasets to implicitly solve for</w:t>
      </w:r>
      <w:r>
        <w:t xml:space="preserve"> </w:t>
      </w:r>
      <w:r>
        <w:rPr>
          <w:iCs/>
          <w:i/>
        </w:rPr>
        <w:t xml:space="preserve">k</w:t>
      </w:r>
      <w:r>
        <w:t xml:space="preserve">. They found that equation 2, coupled with</w:t>
      </w:r>
      <w:r>
        <w:t xml:space="preserve"> </w:t>
      </w:r>
      <m:oMath>
        <m:r>
          <m:t>ϵ</m:t>
        </m:r>
      </m:oMath>
      <w:r>
        <w:t xml:space="preserve"> </w:t>
      </w:r>
      <w:r>
        <w:t xml:space="preserve">modeled via the log-law-of-the-wall, is valid in their simulated rivers and that</w:t>
      </w:r>
      <w:r>
        <w:t xml:space="preserve"> </w:t>
      </w:r>
      <w:r>
        <w:rPr>
          <w:iCs/>
          <w:i/>
        </w:rPr>
        <w:t xml:space="preserve">k</w:t>
      </w:r>
      <w:r>
        <w:t xml:space="preserve">~streamflow relationships break down in large rivers. However, their simulated rivers were limited by a lack of hydraulic measurements and had to rely on hydraulic geomtery models to estimate river depth and velocity. Further, they did not assess model fit in very steep systems</w:t>
      </w:r>
      <w:r>
        <w:t xml:space="preserve"> </w:t>
      </w:r>
      <w:r>
        <w:t xml:space="preserve">(Ulseth et al., 2019)</w:t>
      </w:r>
      <w:r>
        <w:t xml:space="preserve"> </w:t>
      </w:r>
      <w:r>
        <w:t xml:space="preserve">and stopped short of parsing out hydraulic explanations for their results.</w:t>
      </w:r>
    </w:p>
    <w:p>
      <w:pPr>
        <w:pStyle w:val="BodyText"/>
      </w:pPr>
      <w:r>
        <w:t xml:space="preserve">These mechanistic uncertainties are then propogated through upscaling workflows when biogeochemists predict</w:t>
      </w:r>
      <w:r>
        <w:t xml:space="preserve"> </w:t>
      </w:r>
      <w:r>
        <w:rPr>
          <w:iCs/>
          <w:i/>
        </w:rPr>
        <w:t xml:space="preserve">k</w:t>
      </w:r>
      <w:r>
        <w:t xml:space="preserve"> </w:t>
      </w:r>
      <w:r>
        <w:t xml:space="preserve">across thousands of rivers</w:t>
      </w:r>
      <w:r>
        <w:t xml:space="preserve"> </w:t>
      </w:r>
      <w:r>
        <w:t xml:space="preserve">(e.g Borges et al., 2015; Horgby et al., 2019; Lauerwald et al., 2015; Raymond et al., 2013)</w:t>
      </w:r>
      <w:r>
        <w:t xml:space="preserve"> </w:t>
      </w:r>
      <w:r>
        <w:t xml:space="preserve">via equation 1 coupled with hydraulic geometry</w:t>
      </w:r>
      <w:r>
        <w:t xml:space="preserve"> </w:t>
      </w:r>
      <w:r>
        <w:t xml:space="preserve">(HG: the scaling relationships between streamflow and river channel hydraulics- Leopold and Maddock, 1953)</w:t>
      </w:r>
      <w:r>
        <w:t xml:space="preserve">. It is currently not well understood how sensitive global estimates of fluvial gas evasion are to the specific HG model that is employed by the worker. Further, these approaches rely on either in situ discharge records or modeled streamflow which introduces additional uncertainities. This is all exacerbated in ungauged basins that cover large areas, especially in the carbon-rich Arctic inland waters, where little in situ information is available and fieldwork is impractical</w:t>
      </w:r>
      <w:r>
        <w:t xml:space="preserve"> </w:t>
      </w:r>
      <w:r>
        <w:t xml:space="preserve">(Gleason and Durand, 2019)</w:t>
      </w:r>
      <w:r>
        <w:t xml:space="preserve">.</w:t>
      </w:r>
    </w:p>
    <w:p>
      <w:pPr>
        <w:pStyle w:val="BodyText"/>
      </w:pPr>
      <w:r>
        <w:t xml:space="preserve">A potential alternative to this upscaling approach is to directly estimate a river’s hydraulic properties from remote sensing (RS) data. Remote sensing of river hydraulics is a burgeoning subfield within remote sensing of hydrology, often in service of remote sensing of river discharge</w:t>
      </w:r>
      <w:r>
        <w:t xml:space="preserve"> </w:t>
      </w:r>
      <w:r>
        <w:t xml:space="preserve">(RSQ- Gleason and Durand, 2019)</w:t>
      </w:r>
      <w:r>
        <w:t xml:space="preserve">. This is accomplished via two general approaches:</w:t>
      </w:r>
      <w:r>
        <w:t xml:space="preserve"> </w:t>
      </w:r>
      <w:r>
        <w:t xml:space="preserve">‘</w:t>
      </w:r>
      <w:r>
        <w:t xml:space="preserve">gauged</w:t>
      </w:r>
      <w:r>
        <w:t xml:space="preserve">’</w:t>
      </w:r>
      <w:r>
        <w:t xml:space="preserve"> </w:t>
      </w:r>
      <w:r>
        <w:t xml:space="preserve">methods which rely on in situ river data to calibrate one’s method to the river(s) at hand and</w:t>
      </w:r>
      <w:r>
        <w:t xml:space="preserve"> </w:t>
      </w:r>
      <w:r>
        <w:t xml:space="preserve">‘</w:t>
      </w:r>
      <w:r>
        <w:t xml:space="preserve">ungauged</w:t>
      </w:r>
      <w:r>
        <w:t xml:space="preserve">’</w:t>
      </w:r>
      <w:r>
        <w:t xml:space="preserve"> </w:t>
      </w:r>
      <w:r>
        <w:t xml:space="preserve">techniques which focus on hydraulic generalizability in the service of merely improving existing knowledge in data-poor domains</w:t>
      </w:r>
      <w:r>
        <w:t xml:space="preserve"> </w:t>
      </w:r>
      <w:r>
        <w:t xml:space="preserve">(Gleason and Durand, 2019)</w:t>
      </w:r>
      <w:r>
        <w:t xml:space="preserve">. Many, but not all, of these ungauged approaches are developed in the context of the upcoming NASA/CNES/UKSA/CSA Surface Water and Ocean Topography (SWOT) satellite mission. SWOT is expected to launch in 2022 and provide the world’s first global measurements of water surface extent and elevation at novel temporal resolutions. SWOT is a wide swath radar interferometer and will sample rivers every 1 to 7 days per 21 day repeat cycle and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et al., 2020; Garambois and Monnier, 2015; Gleason et al., 2014; Hagemann et al., 2017; Larnier et al., 2020; Oubanas et al., 2018)</w:t>
      </w:r>
      <w:r>
        <w:t xml:space="preserve">.</w:t>
      </w:r>
    </w:p>
    <w:p>
      <w:pPr>
        <w:pStyle w:val="BodyText"/>
      </w:pPr>
      <w:r>
        <w:t xml:space="preserve">In this context, here we borrow tools from fluvial geomorphology and revist the fundamental mechanisms behind gas exchange in large rivers to answer the following question: does the small-eddy model work in large rivers like those that SWOT will observe? We exploit the findings from this analysis to develop a novel methodology that predicts</w:t>
      </w:r>
      <w:r>
        <w:t xml:space="preserve"> </w:t>
      </w:r>
      <m:oMath>
        <m:sSub>
          <m:e>
            <m:r>
              <m:t>k</m:t>
            </m:r>
          </m:e>
          <m:sub>
            <m:r>
              <m:t>600</m:t>
            </m:r>
          </m:sub>
        </m:sSub>
      </m:oMath>
      <w:r>
        <w:t xml:space="preserve"> </w:t>
      </w:r>
      <w:r>
        <w:t xml:space="preserve">(</w:t>
      </w:r>
      <w:r>
        <w:rPr>
          <w:iCs/>
          <w:i/>
        </w:rPr>
        <w:t xml:space="preserve">k</w:t>
      </w:r>
      <w:r>
        <w:t xml:space="preserve"> </w:t>
      </w:r>
      <w:r>
        <w:t xml:space="preserve">normalized to a Schmidt number of 600) and its explicit uncertainity solely using SWOT observations. The method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w:t>
      </w:r>
      <w:r>
        <w:t xml:space="preserve"> </w:t>
      </w:r>
      <w:r>
        <w:t xml:space="preserve">‘</w:t>
      </w:r>
      <w:r>
        <w:t xml:space="preserve">Bayesian Inference/Inversion of the</w:t>
      </w:r>
      <w:r>
        <w:t xml:space="preserve"> </w:t>
      </w:r>
      <m:oMath>
        <m:sSub>
          <m:e>
            <m:r>
              <m:t>k</m:t>
            </m:r>
          </m:e>
          <m:sub>
            <m:r>
              <m:t>600</m:t>
            </m:r>
          </m:sub>
        </m:sSub>
      </m:oMath>
      <w:r>
        <w:t xml:space="preserve"> </w:t>
      </w:r>
      <w:r>
        <w:t xml:space="preserve">Evasion Rate</w:t>
      </w:r>
      <w:r>
        <w:t xml:space="preserve">’</w:t>
      </w:r>
      <w:r>
        <w:t xml:space="preserve"> </w:t>
      </w:r>
      <w:r>
        <w:t xml:space="preserve">and validate it for 47 SWOT-observable rivers from around the world using hydraulic models to produce SWOT-like data (as SWOT has not yet launched).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w:t>
      </w:r>
      <w:r>
        <w:t xml:space="preserve">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hypothetical in situ</w:t>
      </w:r>
      <w:r>
        <w:t xml:space="preserve"> </w:t>
      </w:r>
      <m:oMath>
        <m:r>
          <m:t>C</m:t>
        </m:r>
        <m:sSub>
          <m:e>
            <m:r>
              <m:t>O</m:t>
            </m:r>
          </m:e>
          <m:sub>
            <m:r>
              <m:t>2</m:t>
            </m:r>
          </m:sub>
        </m:sSub>
      </m:oMath>
      <w:r>
        <w:t xml:space="preserve"> </w:t>
      </w:r>
      <w:r>
        <w:t xml:space="preserve">sensor and compare the bulk carbon efflux from the 47 rivers as calculated using BIKER and previously published in situ techniques for predicting</w:t>
      </w:r>
      <w:r>
        <w:t xml:space="preserve"> </w:t>
      </w:r>
      <m:oMath>
        <m:sSub>
          <m:e>
            <m:r>
              <m:t>k</m:t>
            </m:r>
          </m:e>
          <m:sub>
            <m:r>
              <m:t>600</m:t>
            </m:r>
          </m:sub>
        </m:sSub>
      </m:oMath>
      <w:r>
        <w:t xml:space="preserve">.</w:t>
      </w:r>
    </w:p>
    <w:bookmarkEnd w:id="25"/>
    <w:bookmarkStart w:id="27" w:name="data"/>
    <w:p>
      <w:pPr>
        <w:pStyle w:val="Heading2"/>
      </w:pPr>
      <w:r>
        <w:t xml:space="preserve">2 Data</w:t>
      </w:r>
    </w:p>
    <w:p>
      <w:pPr>
        <w:pStyle w:val="FirstParagraph"/>
      </w:pPr>
      <w:r>
        <w:t xml:space="preserve">Numerous datasets were used in this study. Please see Figure 1 for a map of the approximate locations for the data used in this study. We also provide a flowchart detailing the entire study as Figure S1.</w:t>
      </w:r>
    </w:p>
    <w:p>
      <w:pPr>
        <w:pStyle w:val="CaptionedFigure"/>
      </w:pPr>
      <w:r>
        <w:drawing>
          <wp:inline>
            <wp:extent cx="5943600" cy="2435191"/>
            <wp:effectExtent b="0" l="0" r="0" t="0"/>
            <wp:docPr descr="Figure 1: Map of the 47 hydraulic models and 1 timeseries of CO2 samples used in this study. Note that hydraulic model locations are approximate as some of the models are not geo-referenced. Not mapped here are over 170,000 discrete measurements of river channel hydraulics from across the continetal United States (Brinkerhoff et al. 2019) and 763 gas exchange velocity measurements (Ulseth et al. 2019; Raymond et al. 2012; Churchill et al. 1964; Owens et al. 1964)." title="" id="1" name="Picture"/>
            <a:graphic>
              <a:graphicData uri="http://schemas.openxmlformats.org/drawingml/2006/picture">
                <pic:pic>
                  <pic:nvPicPr>
                    <pic:cNvPr descr="cache/maps/map_fin.jpg" id="0" name="Picture"/>
                    <pic:cNvPicPr>
                      <a:picLocks noChangeArrowheads="1" noChangeAspect="1"/>
                    </pic:cNvPicPr>
                  </pic:nvPicPr>
                  <pic:blipFill>
                    <a:blip r:embed="rId26"/>
                    <a:stretch>
                      <a:fillRect/>
                    </a:stretch>
                  </pic:blipFill>
                  <pic:spPr bwMode="auto">
                    <a:xfrm>
                      <a:off x="0" y="0"/>
                      <a:ext cx="5943600" cy="2435191"/>
                    </a:xfrm>
                    <a:prstGeom prst="rect">
                      <a:avLst/>
                    </a:prstGeom>
                    <a:noFill/>
                    <a:ln w="9525">
                      <a:noFill/>
                      <a:headEnd/>
                      <a:tailEnd/>
                    </a:ln>
                  </pic:spPr>
                </pic:pic>
              </a:graphicData>
            </a:graphic>
          </wp:inline>
        </w:drawing>
      </w:r>
    </w:p>
    <w:p>
      <w:pPr>
        <w:pStyle w:val="ImageCaption"/>
      </w:pPr>
      <w:r>
        <w:t xml:space="preserve">Figure 1: Map of the 47 hydraulic models and 1 timeseries of CO2 samples used in this study. Note that hydraulic model locations are approximate as some of the models are not geo-referenced. Not mapped here are over 170,000 discrete measurements of river channel hydraulics from across the continetal United States (Brinkerhoff et al. 2019) and 763 gas exchange velocity measurements (Ulseth et al. 2019; Raymond et al. 2012; Churchill et al. 1964; Owens et al. 1964).</w:t>
      </w:r>
    </w:p>
    <w:p>
      <w:pPr>
        <w:pStyle w:val="BodyText"/>
      </w:pPr>
      <w:r>
        <w:t xml:space="preserve">Gas exchange theory (section 3) is explored using multiple datasets which measured and/or collected from the literature 763 measurements of stream hydraulics and</w:t>
      </w:r>
      <w:r>
        <w:t xml:space="preserve"> </w:t>
      </w:r>
      <m:oMath>
        <m:sSub>
          <m:e>
            <m:r>
              <m:t>k</m:t>
            </m:r>
          </m:e>
          <m:sub>
            <m:r>
              <m:t>600</m:t>
            </m:r>
          </m:sub>
        </m:sSub>
      </m:oMath>
      <w:r>
        <w:t xml:space="preserve">. This is, to our knowledge, the largest collection of field-measured river and stream</w:t>
      </w:r>
      <w:r>
        <w:t xml:space="preserve"> </w:t>
      </w:r>
      <m:oMath>
        <m:sSub>
          <m:e>
            <m:r>
              <m:t>k</m:t>
            </m:r>
          </m:e>
          <m:sub>
            <m:r>
              <m:t>600</m:t>
            </m:r>
          </m:sub>
        </m:sSub>
      </m:oMath>
      <w:r>
        <w:t xml:space="preserve">. 701 of these measurements were previously collected from other studies by</w:t>
      </w:r>
      <w:r>
        <w:t xml:space="preserve"> </w:t>
      </w:r>
      <w:r>
        <w:t xml:space="preserve">Raymond et al. (2012)</w:t>
      </w:r>
      <w:r>
        <w:t xml:space="preserve"> </w:t>
      </w:r>
      <w:r>
        <w:t xml:space="preserve">and</w:t>
      </w:r>
      <w:r>
        <w:t xml:space="preserve"> </w:t>
      </w:r>
      <w:r>
        <w:t xml:space="preserve">Ulseth et al. (2019)</w:t>
      </w:r>
      <w:r>
        <w:t xml:space="preserve">. The remaining measurements were added by us but measured by</w:t>
      </w:r>
      <w:r>
        <w:t xml:space="preserve"> </w:t>
      </w:r>
      <w:r>
        <w:t xml:space="preserve">Churchill et al. (1964)</w:t>
      </w:r>
      <w:r>
        <w:t xml:space="preserve"> </w:t>
      </w:r>
      <w:r>
        <w:t xml:space="preserve">and</w:t>
      </w:r>
      <w:r>
        <w:t xml:space="preserve"> </w:t>
      </w:r>
      <w:r>
        <w:t xml:space="preserve">Owens et al. (1964)</w:t>
      </w:r>
      <w:r>
        <w:t xml:space="preserve">. See Table S1 for a complete list of the studies that collected these measurements. To assess general hydraulic conditions in rivers across geographic contexts, we additionally use a previously published compilation of field hydraulics measurements</w:t>
      </w:r>
      <w:r>
        <w:t xml:space="preserve"> </w:t>
      </w:r>
      <w:r>
        <w:t xml:space="preserve">(Brinkerhoff et al., 2019)</w:t>
      </w:r>
      <w:r>
        <w:t xml:space="preserve">. These were originally made to calibrate United States Geological Survey (USGS) streamgauge rating curves. That dataset contains over 530,000 unique measurements of river channel velocity, width, and discharge from across the continental United States. This is to our knowledge the largest collection of field measurements of river channel hydraulics. Ultimately, this dataset was filtered down to 171,553 discrete measurements for this study (see Text S1 for our filtering protocol).</w:t>
      </w:r>
    </w:p>
    <w:p>
      <w:pPr>
        <w:pStyle w:val="BodyText"/>
      </w:pPr>
      <w:r>
        <w:t xml:space="preserve">BIKER validation (section 4) was performed on 47 SWOT-simulated rivers. Because SWOT has yet to launch, it is standard practice to benchmark SWOT-related algorithms on</w:t>
      </w:r>
      <w:r>
        <w:t xml:space="preserve"> </w:t>
      </w:r>
      <w:r>
        <w:t xml:space="preserve">“</w:t>
      </w:r>
      <w:r>
        <w:t xml:space="preserve">SWOT-like</w:t>
      </w:r>
      <w:r>
        <w:t xml:space="preserve">”</w:t>
      </w:r>
      <w:r>
        <w:t xml:space="preserve"> </w:t>
      </w:r>
      <w:r>
        <w:t xml:space="preserve">data. These simulated rivers are simply river-reach-averaged hydraulic model outputs where the water surface heights and widths are labelled as RS observations and are used as the sole inputs to BIKER. Here, we use 47/51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47 rivers are spread across the United States, France, Italy, the United Kingdom, and Bangladesh. We omit three models from</w:t>
      </w:r>
      <w:r>
        <w:t xml:space="preserve"> </w:t>
      </w:r>
      <w:r>
        <w:t xml:space="preserve">Durand et al. (2016)</w:t>
      </w:r>
      <w:r>
        <w:t xml:space="preserve"> </w:t>
      </w:r>
      <w:r>
        <w:t xml:space="preserve">because they lack enough hydraulic information to calculate the shear velocity</w:t>
      </w:r>
      <w:r>
        <w:t xml:space="preserve"> </w:t>
      </w:r>
      <m:oMath>
        <m:sSub>
          <m:e>
            <m:r>
              <m:t>U</m:t>
            </m:r>
          </m:e>
          <m:sub>
            <m:r>
              <m:rPr>
                <m:sty m:val="p"/>
              </m:rPr>
              <m:t>⋆</m:t>
            </m:r>
          </m:sub>
        </m:sSub>
      </m:oMath>
      <w:r>
        <w:t xml:space="preserve">, which is necessary for algorithm validation and is explained in section 4. These are two models for the Saint Lawrence River and one for the Tanana River.</w:t>
      </w:r>
    </w:p>
    <w:p>
      <w:pPr>
        <w:pStyle w:val="BodyText"/>
      </w:pPr>
      <w:r>
        <w:t xml:space="preserve">To assess the influence of measurement error on BIKER’s performance (section 4), we use the error model developed by</w:t>
      </w:r>
      <w:r>
        <w:t xml:space="preserve"> </w:t>
      </w:r>
      <w:r>
        <w:t xml:space="preserve">Durand et al. (2020)</w:t>
      </w:r>
      <w:r>
        <w:t xml:space="preserve"> </w:t>
      </w:r>
      <w:r>
        <w:t xml:space="preserve">and implemented on 17/47 of the rivers by</w:t>
      </w:r>
      <w:r>
        <w:t xml:space="preserve"> </w:t>
      </w:r>
      <w:r>
        <w:t xml:space="preserve">Frasson et al. (2021)</w:t>
      </w:r>
      <w:r>
        <w:t xml:space="preserve">. Error in SWOT measurements will come from both the error tolerances intrinsic in the satellite data product as well as radar layover error. Layover error is the phenomenon when radar returns from different places arrive at the sensor at the same time, leading to taller landscape features appearing closer to the sensor than shorter landscape features that are the same horizontal distance from the sensor</w:t>
      </w:r>
      <w:r>
        <w:t xml:space="preserve"> </w:t>
      </w:r>
      <w:r>
        <w:t xml:space="preserve">(Durand et al., 2020)</w:t>
      </w:r>
      <w:r>
        <w:t xml:space="preserve">. Width errors due to poor water classification are ignored as they were in</w:t>
      </w:r>
      <w:r>
        <w:t xml:space="preserve"> </w:t>
      </w:r>
      <w:r>
        <w:t xml:space="preserve">Frasson et al. (2021)</w:t>
      </w:r>
      <w:r>
        <w:t xml:space="preserve">.</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5),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47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for this validation exercise.</w:t>
      </w:r>
    </w:p>
    <w:bookmarkEnd w:id="27"/>
    <w:bookmarkStart w:id="29" w:name="Xacbfce13de175665f7e0069ea8bc657fb603c01"/>
    <w:p>
      <w:pPr>
        <w:pStyle w:val="Heading2"/>
      </w:pPr>
      <w:r>
        <w:t xml:space="preserve">3 Hydraulic geometry in large rivers and implications for scaling fluvial gas exchange velocity</w:t>
      </w:r>
    </w:p>
    <w:p>
      <w:pPr>
        <w:pStyle w:val="FirstParagraph"/>
      </w:pPr>
      <w:r>
        <w:t xml:space="preserve">Rivers and streams change predictably along their longitudinal profile from headwater to ocean. In general, as river size increases, channels become more rectangular, their shapes elongate (becoming wider quicker than they become deeper) and their hydraulic radii begin to approximate their mean flow depth (i.e. </w:t>
      </w:r>
      <m:oMath>
        <m:sSub>
          <m:e>
            <m:r>
              <m:t>R</m:t>
            </m:r>
          </m:e>
          <m:sub>
            <m:r>
              <m:t>h</m:t>
            </m:r>
          </m:sub>
        </m:sSub>
        <m:r>
          <m:rPr>
            <m:sty m:val="p"/>
          </m:rPr>
          <m:t>≈</m:t>
        </m:r>
        <m:r>
          <m:t>H</m:t>
        </m:r>
      </m:oMath>
      <w:r>
        <w:t xml:space="preserve">). This is a common assumption in hydraulic and geomorphic modeling of large rivers, and occurs in 89% of our SWOT-observable river measurements but only 65% of all 172316 river measurements (see Text S1 for how we arrived at these numbers). These channels are often referred to as</w:t>
      </w:r>
      <w:r>
        <w:t xml:space="preserve"> </w:t>
      </w:r>
      <w:r>
        <w:t xml:space="preserve">‘</w:t>
      </w:r>
      <w:r>
        <w:t xml:space="preserve">hydraulically wide</w:t>
      </w:r>
      <w:r>
        <w:t xml:space="preserve">’</w:t>
      </w:r>
      <w:r>
        <w:t xml:space="preserve">.</w:t>
      </w:r>
    </w:p>
    <w:p>
      <w:pPr>
        <w:pStyle w:val="BodyText"/>
      </w:pPr>
      <w:r>
        <w:t xml:space="preserve">To model gas exchange velocity in hydraulically wide channels, we make some simplifying assumptions to equation 2. First, we impose the log-law-of-the-wall model for</w:t>
      </w:r>
      <w:r>
        <w:t xml:space="preserve"> </w:t>
      </w:r>
      <m:oMath>
        <m:sSub>
          <m:e>
            <m:r>
              <m:t>ϵ</m:t>
            </m:r>
          </m:e>
          <m:sub>
            <m:r>
              <m:t>S</m:t>
            </m:r>
          </m:sub>
        </m:sSub>
      </m:oMath>
      <w:r>
        <w:t xml:space="preserve"> </w:t>
      </w:r>
      <w:r>
        <w:t xml:space="preserve">(Appendix A) on to the small-eddy model (equation 2) and simplify</w:t>
      </w:r>
      <w:r>
        <w:t xml:space="preserve"> </w:t>
      </w:r>
      <m:oMath>
        <m:sSub>
          <m:e>
            <m:r>
              <m:t>R</m:t>
            </m:r>
          </m:e>
          <m:sub>
            <m:r>
              <m:t>H</m:t>
            </m:r>
          </m:sub>
        </m:sSub>
        <m:r>
          <m:rPr>
            <m:sty m:val="p"/>
          </m:rPr>
          <m:t>=</m:t>
        </m:r>
        <m:r>
          <m:t>H</m:t>
        </m:r>
      </m:oMath>
      <w:r>
        <w:t xml:space="preserve">, arriving at equation 3. Equation 4 further simplifies this for</w:t>
      </w:r>
      <w:r>
        <w:t xml:space="preserve"> </w:t>
      </w:r>
      <w:r>
        <w:rPr>
          <w:iCs/>
          <w:i/>
        </w:rPr>
        <w:t xml:space="preserve">k</w:t>
      </w:r>
      <w:r>
        <w:t xml:space="preserve"> </w:t>
      </w:r>
      <w:r>
        <w:t xml:space="preserve">normalized to a Schmidt number of 600, and with statistical parameter</w:t>
      </w:r>
      <w:r>
        <w:t xml:space="preserve"> </w:t>
      </w:r>
      <m:oMath>
        <m:r>
          <m:t>α</m:t>
        </m:r>
      </m:oMath>
      <w:r>
        <w:t xml:space="preserve"> </w:t>
      </w:r>
      <w:r>
        <w:t xml:space="preserve">reflecting both the scaling as well as the constant Schmidt number and viscosity</w:t>
      </w:r>
      <w:r>
        <w:t xml:space="preserve"> </w:t>
      </w:r>
      <w:r>
        <w:t xml:space="preserve">(Wang et al., 2021)</w:t>
      </w:r>
      <w:r>
        <w:t xml:space="preserve">. Equation 4 thus defines gas exchange velocity solely as a function of water surface slope and average flow depth without a reliance on shear velocity, mean flow velocity, or</w:t>
      </w:r>
      <w:r>
        <w:t xml:space="preserve"> </w:t>
      </w:r>
      <m:oMath>
        <m:sSub>
          <m:e>
            <m:r>
              <m:t>ϵ</m:t>
            </m:r>
          </m:e>
          <m:sub>
            <m:r>
              <m:t>S</m:t>
            </m:r>
          </m:sub>
        </m:sSub>
      </m:oMath>
      <w:r>
        <w:t xml:space="preserve"> </w:t>
      </w:r>
      <w:r>
        <w:t xml:space="preserve">at all. Again, this is hypothetically only valid in a wide channel.</w:t>
      </w:r>
    </w:p>
    <w:p>
      <w:pPr>
        <w:pStyle w:val="BodyText"/>
      </w:pPr>
      <m:oMathPara>
        <m:oMathParaPr>
          <m:jc m:val="center"/>
        </m:oMathParaPr>
        <m:oMath>
          <m:d>
            <m:dPr>
              <m:begChr m:val="("/>
              <m:endChr m:val=")"/>
              <m:sepChr m:val=""/>
              <m:grow/>
            </m:dPr>
            <m:e>
              <m:r>
                <m:rPr>
                  <m:sty m:val="b"/>
                </m:rPr>
                <m:t>3</m:t>
              </m:r>
            </m:e>
          </m:d>
          <m:r>
            <m:t>k</m:t>
          </m:r>
          <m:r>
            <m:rPr>
              <m:sty m:val="p"/>
            </m:rPr>
            <m:t>∼</m:t>
          </m:r>
          <m:r>
            <m:t>S</m:t>
          </m:r>
          <m:sSup>
            <m:e>
              <m:r>
                <m:t>c</m:t>
              </m:r>
            </m:e>
            <m:sup>
              <m:r>
                <m:rPr>
                  <m:sty m:val="p"/>
                </m:rPr>
                <m:t>−</m:t>
              </m:r>
              <m:r>
                <m:t>1</m:t>
              </m:r>
              <m:r>
                <m:rPr>
                  <m:sty m:val="p"/>
                </m:rPr>
                <m:t>/</m:t>
              </m:r>
              <m:r>
                <m:t>2</m:t>
              </m:r>
            </m:sup>
          </m:sSup>
          <m:sSup>
            <m:e>
              <m:r>
                <m:t>v</m:t>
              </m:r>
            </m:e>
            <m:sup>
              <m:r>
                <m:t>1</m:t>
              </m:r>
              <m:r>
                <m:rPr>
                  <m:sty m:val="p"/>
                </m:rPr>
                <m:t>/</m:t>
              </m:r>
              <m:r>
                <m:t>4</m:t>
              </m:r>
            </m:sup>
          </m:sSup>
          <m:sSup>
            <m:e>
              <m:d>
                <m:dPr>
                  <m:begChr m:val="("/>
                  <m:endChr m:val=")"/>
                  <m:sepChr m:val=""/>
                  <m:grow/>
                </m:dPr>
                <m:e>
                  <m:r>
                    <m:t>g</m:t>
                  </m:r>
                  <m:r>
                    <m:t>S</m:t>
                  </m:r>
                </m:e>
              </m:d>
            </m:e>
            <m:sup>
              <m:r>
                <m:t>3</m:t>
              </m:r>
              <m:r>
                <m:rPr>
                  <m:sty m:val="p"/>
                </m:rPr>
                <m:t>/</m:t>
              </m:r>
              <m:r>
                <m:t>8</m:t>
              </m:r>
            </m:sup>
          </m:sSup>
          <m:sSup>
            <m:e>
              <m:r>
                <m:t>H</m:t>
              </m:r>
            </m:e>
            <m:sup>
              <m:r>
                <m:t>1</m:t>
              </m:r>
              <m:r>
                <m:rPr>
                  <m:sty m:val="p"/>
                </m:rPr>
                <m:t>/</m:t>
              </m:r>
              <m:r>
                <m:t>8</m:t>
              </m:r>
            </m:sup>
          </m:sSup>
        </m:oMath>
      </m:oMathPara>
    </w:p>
    <w:p>
      <w:pPr>
        <w:pStyle w:val="FirstParagraph"/>
      </w:pPr>
      <m:oMathPara>
        <m:oMathParaPr>
          <m:jc m:val="center"/>
        </m:oMathParaPr>
        <m:oMath>
          <m:d>
            <m:dPr>
              <m:begChr m:val="("/>
              <m:endChr m:val=")"/>
              <m:sepChr m:val=""/>
              <m:grow/>
            </m:dPr>
            <m:e>
              <m:r>
                <m:rPr>
                  <m:sty m:val="b"/>
                </m:rPr>
                <m:t>4</m:t>
              </m:r>
            </m:e>
          </m:d>
          <m:sSub>
            <m:e>
              <m:r>
                <m:t>k</m:t>
              </m:r>
            </m:e>
            <m:sub>
              <m:r>
                <m:t>600</m:t>
              </m:r>
            </m:sub>
          </m:sSub>
          <m:r>
            <m:rPr>
              <m:sty m:val="p"/>
            </m:rPr>
            <m:t>=</m:t>
          </m:r>
          <m:r>
            <m:t>α</m:t>
          </m:r>
          <m:sSup>
            <m:e>
              <m:d>
                <m:dPr>
                  <m:begChr m:val="("/>
                  <m:endChr m:val=")"/>
                  <m:sepChr m:val=""/>
                  <m:grow/>
                </m:dPr>
                <m:e>
                  <m:r>
                    <m:t>g</m:t>
                  </m:r>
                  <m:r>
                    <m:t>S</m:t>
                  </m:r>
                </m:e>
              </m:d>
            </m:e>
            <m:sup>
              <m:r>
                <m:t>3</m:t>
              </m:r>
              <m:r>
                <m:rPr>
                  <m:sty m:val="p"/>
                </m:rPr>
                <m:t>/</m:t>
              </m:r>
              <m:r>
                <m:t>8</m:t>
              </m:r>
            </m:sup>
          </m:sSup>
          <m:sSup>
            <m:e>
              <m:r>
                <m:t>H</m:t>
              </m:r>
            </m:e>
            <m:sup>
              <m:r>
                <m:t>1</m:t>
              </m:r>
              <m:r>
                <m:rPr>
                  <m:sty m:val="p"/>
                </m:rPr>
                <m:t>/</m:t>
              </m:r>
              <m:r>
                <m:t>8</m:t>
              </m:r>
            </m:sup>
          </m:sSup>
        </m:oMath>
      </m:oMathPara>
    </w:p>
    <w:p>
      <w:pPr>
        <w:pStyle w:val="FirstParagraph"/>
      </w:pPr>
      <w:r>
        <w:t xml:space="preserve">Alternatively,</w:t>
      </w:r>
      <w:r>
        <w:t xml:space="preserve"> </w:t>
      </w:r>
      <w:r>
        <w:t xml:space="preserve">Douglas B. Moog and Jirka (1999b)</w:t>
      </w:r>
      <w:r>
        <w:t xml:space="preserve"> </w:t>
      </w:r>
      <w:r>
        <w:t xml:space="preserve">noted that low-turbulence uniform channel flows often do not exhibit homogenous surface dissipation at their air-water interface. They proposed a conceptual</w:t>
      </w:r>
      <w:r>
        <w:t xml:space="preserve"> </w:t>
      </w:r>
      <w:r>
        <w:t xml:space="preserve">‘</w:t>
      </w:r>
      <w:r>
        <w:t xml:space="preserve">chainsaw model</w:t>
      </w:r>
      <w:r>
        <w:t xml:space="preserve">’</w:t>
      </w:r>
      <w:r>
        <w:t xml:space="preserve"> </w:t>
      </w:r>
      <w:r>
        <w:t xml:space="preserve">that relies on both small-scale eddies and large, depth-scale ones. It limits surface dissipation to only</w:t>
      </w:r>
      <w:r>
        <w:t xml:space="preserve"> </w:t>
      </w:r>
      <w:r>
        <w:t xml:space="preserve">‘</w:t>
      </w:r>
      <w:r>
        <w:t xml:space="preserve">active zones</w:t>
      </w:r>
      <w:r>
        <w:t xml:space="preserve">’</w:t>
      </w:r>
      <w:r>
        <w:t xml:space="preserve"> </w:t>
      </w:r>
      <w:r>
        <w:t xml:space="preserve">within which a homogenous dissipation rate occurs and the small-eddy model is valid. But, the fraction of the interface that are active zones is proportional to the larger, depth-scale eddies. This means that if the entire interface is treated as an active zone, the model would simply reduce to the small-eddy model. We chose to also test this model given that SWOT-observable rivers are generally large and low-turbulence (here, low-turbulence is realitive to the highly-turbulent water surfaces of small, steep streams with significant whitewater). Further, to our knowledge the chainsaw model has never been empirically tested, and so we explore it here. To do this, we impose a hydraulically wide channel on the chainsaw model just like we did to the small-eddy model and arrive at equation 5 (with statistical coefficient</w:t>
      </w:r>
      <w:r>
        <w:t xml:space="preserve"> </w:t>
      </w:r>
      <m:oMath>
        <m:r>
          <m:t>β</m:t>
        </m:r>
      </m:oMath>
      <w:r>
        <w:t xml:space="preserve">). The result is identical to the hydraulically-wide small-eddy model (equation 4), except for the exponents, which are both steeper.</w:t>
      </w:r>
    </w:p>
    <w:p>
      <w:pPr>
        <w:pStyle w:val="BodyText"/>
      </w:pPr>
      <m:oMathPara>
        <m:oMathParaPr>
          <m:jc m:val="center"/>
        </m:oMathParaPr>
        <m:oMath>
          <m:d>
            <m:dPr>
              <m:begChr m:val="("/>
              <m:endChr m:val=")"/>
              <m:sepChr m:val=""/>
              <m:grow/>
            </m:dPr>
            <m:e>
              <m:r>
                <m:rPr>
                  <m:sty m:val="b"/>
                </m:rPr>
                <m:t>5</m:t>
              </m:r>
            </m:e>
          </m:d>
          <m:sSub>
            <m:e>
              <m:r>
                <m:t>k</m:t>
              </m:r>
            </m:e>
            <m:sub>
              <m:r>
                <m:t>600</m:t>
              </m:r>
            </m:sub>
          </m:sSub>
          <m:r>
            <m:rPr>
              <m:sty m:val="p"/>
            </m:rPr>
            <m:t>=</m:t>
          </m:r>
          <m:r>
            <m:t>β</m:t>
          </m:r>
          <m:sSup>
            <m:e>
              <m:d>
                <m:dPr>
                  <m:begChr m:val="("/>
                  <m:endChr m:val=")"/>
                  <m:sepChr m:val=""/>
                  <m:grow/>
                </m:dPr>
                <m:e>
                  <m:r>
                    <m:t>g</m:t>
                  </m:r>
                  <m:r>
                    <m:t>S</m:t>
                  </m:r>
                </m:e>
              </m:d>
            </m:e>
            <m:sup>
              <m:r>
                <m:t>9</m:t>
              </m:r>
              <m:r>
                <m:rPr>
                  <m:sty m:val="p"/>
                </m:rPr>
                <m:t>/</m:t>
              </m:r>
              <m:r>
                <m:t>16</m:t>
              </m:r>
            </m:sup>
          </m:sSup>
          <m:sSup>
            <m:e>
              <m:r>
                <m:t>H</m:t>
              </m:r>
            </m:e>
            <m:sup>
              <m:r>
                <m:t>11</m:t>
              </m:r>
              <m:r>
                <m:rPr>
                  <m:sty m:val="p"/>
                </m:rPr>
                <m:t>/</m:t>
              </m:r>
              <m:r>
                <m:t>16</m:t>
              </m:r>
            </m:sup>
          </m:sSup>
        </m:oMath>
      </m:oMathPara>
    </w:p>
    <w:p>
      <w:pPr>
        <w:pStyle w:val="FirstParagraph"/>
      </w:pPr>
      <w:r>
        <w:t xml:space="preserve">We test the performances of equations 4 and 5 on our dataset of field-measured</w:t>
      </w:r>
      <w:r>
        <w:t xml:space="preserve"> </w:t>
      </w:r>
      <m:oMath>
        <m:sSub>
          <m:e>
            <m:r>
              <m:t>k</m:t>
            </m:r>
          </m:e>
          <m:sub>
            <m:r>
              <m:t>600</m:t>
            </m:r>
          </m:sub>
        </m:sSub>
      </m:oMath>
      <w:r>
        <w:t xml:space="preserve"> </w:t>
      </w:r>
      <w:r>
        <w:t xml:space="preserve">in Figure 3. Figure 3a fits the hydraulically-wide small-eddy model (equation 4) to hydraulically-wide measurements: only the data where</w:t>
      </w:r>
      <w:r>
        <w:t xml:space="preserve"> </w:t>
      </w:r>
      <m:oMath>
        <m:sSub>
          <m:e>
            <m:r>
              <m:t>R</m:t>
            </m:r>
          </m:e>
          <m:sub>
            <m:r>
              <m:t>h</m:t>
            </m:r>
          </m:sub>
        </m:sSub>
      </m:oMath>
      <w:r>
        <w:t xml:space="preserve"> </w:t>
      </w:r>
      <w:r>
        <w:t xml:space="preserve">is within 1% percent of</w:t>
      </w:r>
      <w:r>
        <w:t xml:space="preserve"> </w:t>
      </w:r>
      <m:oMath>
        <m:r>
          <m:t>H</m:t>
        </m:r>
      </m:oMath>
      <w:r>
        <w:t xml:space="preserve">. Figure 3b fits the hydraulically wide chainsaw model (equation 5) to the same subset of data.</w:t>
      </w:r>
    </w:p>
    <w:p>
      <w:pPr>
        <w:pStyle w:val="CaptionedFigure"/>
      </w:pPr>
      <w:r>
        <w:drawing>
          <wp:inline>
            <wp:extent cx="5943600" cy="5349240"/>
            <wp:effectExtent b="0" l="0" r="0" t="0"/>
            <wp:docPr descr="Figure 3: Model development for predicting gas exchange velocity from SWOT-observable variables. (a) Empirical confirmation of the hydraulically wide small-eddy model. (b) Empirical confirmation of the hydraulically-wide chainsaw model. (c) Cummulative density function (CDF) of the hydraulic radius/mean flow depth ratios for all SWOT-observable measurements. Nearly all of these measurements would be considered hydraulically wide."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28"/>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3: Model development for predicting gas exchange velocity from SWOT-observable variables. (a) Empirical confirmation of the hydraulically wide small-eddy model. (b) Empirical confirmation of the hydraulically-wide chainsaw model. (c) Cummulative density function (CDF) of the hydraulic radius/mean flow depth ratios for all SWOT-observable measurements. Nearly all of these measurements would be considered hydraulically wide.</w:t>
      </w:r>
    </w:p>
    <w:p>
      <w:pPr>
        <w:pStyle w:val="BodyText"/>
      </w:pPr>
      <w:r>
        <w:t xml:space="preserve">The small-eddy model in Figure 3a produces clearly biased estimates, systematically underestimating low gas exchange velocities and overestimating higher ones. However, when this model is expanded to account for a differential dissipation rate at the interface via the chainsaw model</w:t>
      </w:r>
      <w:r>
        <w:t xml:space="preserve"> </w:t>
      </w:r>
      <w:r>
        <w:t xml:space="preserve">(Douglas B. Moog and Jirka, 1999b)</w:t>
      </w:r>
      <w:r>
        <w:t xml:space="preserve">, the dynamics are accurately captured (Figure 3b). The coefficients of variation are similar (0.61 and 0.66, respectively), however the small-eddy model is clearly misrepresenting the scaling dynamics of gas exchange velocity in hydraulically-wide rivers. Given the algebraic structure of these two models, the discrepancy is in the exponents applied to the river hydraulic terms. More intuitively, this means that in hydraulically wide rivers where turbulence is generally relatively low, large-scale eddies exert a significant influence on surface dissipation rates: ultimately under the chainsaw model, gas exchange velocities are more sensitive to slope and mean depth than under the small-eddy model (Figure 3b). Figure 3c plots the cummulative density function (CDF) of all SWOT-observable measurements in our hydraulics dataset (Section 2), confirming that nearly all SWOT-observable measurements are hydraulically-wide. As stated previously, 89% of SWOT-observable measurements are within 5% of being perfectly hydraulically wide. Finally, this is to our knowledge the first empirical confirmation that the chainsaw model is valid in rivers (at least hydraulically-wide ones).</w:t>
      </w:r>
    </w:p>
    <w:p>
      <w:pPr>
        <w:pStyle w:val="BodyText"/>
      </w:pPr>
      <w:r>
        <w:t xml:space="preserve">The success of the chainsaw model in hydraulically wide channels means that we can reasonably predict gas exchange velocities in hydraulically wide channels using just water surface slope and mean flow depth. These easily obtainable hydraulics parameters can also be directly measured or estimated from satellite remote sensing platforms, effectively opening the door for remotely sensing gas exhange via equation 5. This is explored next.</w:t>
      </w:r>
    </w:p>
    <w:bookmarkEnd w:id="29"/>
    <w:bookmarkStart w:id="32" w:name="X76db7f47224f96d050460b316d2aa858a64b396"/>
    <w:p>
      <w:pPr>
        <w:pStyle w:val="Heading2"/>
      </w:pPr>
      <w:r>
        <w:t xml:space="preserve">4 Exploiting the hydraulically wide channels to remotely sense gas exchange velocity</w:t>
      </w:r>
    </w:p>
    <w:p>
      <w:pPr>
        <w:pStyle w:val="FirstParagraph"/>
      </w:pPr>
      <w:r>
        <w:t xml:space="preserve">We have shown that scaling</w:t>
      </w:r>
      <w:r>
        <w:t xml:space="preserve"> </w:t>
      </w:r>
      <m:oMath>
        <m:sSub>
          <m:e>
            <m:r>
              <m:t>k</m:t>
            </m:r>
          </m:e>
          <m:sub>
            <m:r>
              <m:t>600</m:t>
            </m:r>
          </m:sub>
        </m:sSub>
      </m:oMath>
      <w:r>
        <w:t xml:space="preserve"> </w:t>
      </w:r>
      <w:r>
        <w:t xml:space="preserve">via equation 5 explains 0.66% of the variation in</w:t>
      </w:r>
      <w:r>
        <w:t xml:space="preserve"> </w:t>
      </w:r>
      <m:oMath>
        <m:sSub>
          <m:e>
            <m:r>
              <m:t>k</m:t>
            </m:r>
          </m:e>
          <m:sub>
            <m:r>
              <m:t>600</m:t>
            </m:r>
          </m:sub>
        </m:sSub>
      </m:oMath>
      <w:r>
        <w:t xml:space="preserve"> </w:t>
      </w:r>
      <w:r>
        <w:t xml:space="preserve">in hydraulically wide rivers, which includes nearly all SWOT-observable rivers. This is incredibly convenient for remote sensing because there are only two non-remotely-sensible terms:</w:t>
      </w:r>
      <w:r>
        <w:t xml:space="preserve"> </w:t>
      </w:r>
      <m:oMath>
        <m:sSub>
          <m:e>
            <m:r>
              <m:t>k</m:t>
            </m:r>
          </m:e>
          <m:sub>
            <m:r>
              <m:t>600</m:t>
            </m:r>
          </m:sub>
        </m:sSub>
      </m:oMath>
      <w:r>
        <w:t xml:space="preserve"> </w:t>
      </w:r>
      <w:r>
        <w:t xml:space="preserve">and mean flow depth. By scaling</w:t>
      </w:r>
      <w:r>
        <w:t xml:space="preserve"> </w:t>
      </w:r>
      <w:r>
        <w:rPr>
          <w:iCs/>
          <w:i/>
        </w:rPr>
        <w:t xml:space="preserve">k</w:t>
      </w:r>
      <w:r>
        <w:t xml:space="preserve"> </w:t>
      </w:r>
      <w:r>
        <w:t xml:space="preserve">this way, we significantly reduce the equifinality issues that plague the more complicated SWOT discharge algorithms. Equifinality refers to an under-constrained mathematical system that has essentially infinite parameter combinations that can produce the same result: there are more unknowns than equations</w:t>
      </w:r>
      <w:r>
        <w:t xml:space="preserve"> </w:t>
      </w:r>
      <w:r>
        <w:t xml:space="preserve">(Garambois and Monnier, 2015)</w:t>
      </w:r>
      <w:r>
        <w:t xml:space="preserve">. This is also a problem for the in situ tools that concurrently solve for</w:t>
      </w:r>
      <w:r>
        <w:t xml:space="preserve"> </w:t>
      </w:r>
      <w:r>
        <w:rPr>
          <w:iCs/>
          <w:i/>
        </w:rPr>
        <w:t xml:space="preserve">k</w:t>
      </w:r>
      <w:r>
        <w:t xml:space="preserve"> </w:t>
      </w:r>
      <w:r>
        <w:t xml:space="preserve">and stream metabolism</w:t>
      </w:r>
      <w:r>
        <w:t xml:space="preserve"> </w:t>
      </w:r>
      <w:r>
        <w:t xml:space="preserve">(Appling et al., 2018; Grace et al., 2015; Holtgrieve et al., 2010)</w:t>
      </w:r>
      <w:r>
        <w:t xml:space="preserve">. In both of these domains, the other unknown parameters are often difficult to estimate (bed roughness and stream metabolism, respectively) while for BIKER, mean flow depth is relatively easy to approximate from the SWOT-observable river width</w:t>
      </w:r>
      <w:r>
        <w:t xml:space="preserve"> </w:t>
      </w:r>
      <w:r>
        <w:t xml:space="preserve">(Brinkerhoff et al., 2020)</w:t>
      </w:r>
      <w:r>
        <w:t xml:space="preserve">. This is explained in detail later.</w:t>
      </w:r>
    </w:p>
    <w:p>
      <w:pPr>
        <w:pStyle w:val="BodyText"/>
      </w:pPr>
      <w:r>
        <w:t xml:space="preserve">Taking all of this together, we develop the BIKER algorithm to remotely sense gas exchange velocities from the SWOT satellite. BIKER is informed by the</w:t>
      </w:r>
      <w:r>
        <w:t xml:space="preserve"> </w:t>
      </w:r>
      <w:r>
        <w:t xml:space="preserve">Hagemann et al. (2017)</w:t>
      </w:r>
      <w:r>
        <w:t xml:space="preserve"> </w:t>
      </w:r>
      <w:r>
        <w:t xml:space="preserve">algorithm for ungauged RSQ and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 BIKER, and Bayesian inference in general, starts from Bayes rule (equation 5),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Cs/>
          <w:i/>
        </w:rPr>
        <w:t xml:space="preserve">x</w:t>
      </w:r>
      <w:r>
        <w:t xml:space="preserve"> </w:t>
      </w:r>
      <w:r>
        <w:t xml:space="preserve">is the observed data,</w:t>
      </w:r>
      <w:r>
        <w:t xml:space="preserve"> </w:t>
      </w:r>
      <m:oMath>
        <m:r>
          <m:t>f</m:t>
        </m:r>
        <m:d>
          <m:dPr>
            <m:begChr m:val="("/>
            <m:endChr m:val=")"/>
            <m:sepChr m:val=""/>
            <m:grow/>
          </m:dPr>
          <m:e>
            <m:r>
              <m:t>x</m:t>
            </m:r>
            <m:r>
              <m:rPr>
                <m:sty m:val="p"/>
              </m:rPr>
              <m:t>|</m:t>
            </m:r>
            <m:r>
              <m:t>Θ</m:t>
            </m:r>
          </m:e>
        </m:d>
      </m:oMath>
      <w:r>
        <w:t xml:space="preserve"> </w:t>
      </w:r>
      <w:r>
        <w:t xml:space="preserve">is the sampling model where data are conditional on the parameters, and</w:t>
      </w:r>
      <w:r>
        <w:t xml:space="preserve"> </w:t>
      </w:r>
      <m:oMath>
        <m:r>
          <m:t>p</m:t>
        </m:r>
        <m:d>
          <m:dPr>
            <m:begChr m:val="("/>
            <m:endChr m:val=")"/>
            <m:sepChr m:val=""/>
            <m:grow/>
          </m:dPr>
          <m:e>
            <m:r>
              <m:t>Θ</m:t>
            </m:r>
          </m:e>
        </m:d>
      </m:oMath>
      <w:r>
        <w:t xml:space="preserve"> </w:t>
      </w:r>
      <w:r>
        <w:t xml:space="preserve">is the joint prior distribution of the parameters. Therefore, we are interested in solving for</w:t>
      </w:r>
      <w:r>
        <w:t xml:space="preserve"> </w:t>
      </w:r>
      <m:oMath>
        <m:r>
          <m:t>p</m:t>
        </m:r>
        <m:d>
          <m:dPr>
            <m:begChr m:val="("/>
            <m:endChr m:val=")"/>
            <m:sepChr m:val=""/>
            <m:grow/>
          </m:dPr>
          <m:e>
            <m:r>
              <m:t>Θ</m:t>
            </m:r>
            <m:r>
              <m:rPr>
                <m:sty m:val="p"/>
              </m:rPr>
              <m:t>|</m:t>
            </m:r>
            <m:r>
              <m:t>x</m:t>
            </m:r>
          </m:e>
        </m:d>
      </m:oMath>
      <w:r>
        <w:t xml:space="preserve">, or the</w:t>
      </w:r>
      <w:r>
        <w:t xml:space="preserve"> </w:t>
      </w:r>
      <w:r>
        <w:t xml:space="preserve">‘</w:t>
      </w:r>
      <w:r>
        <w:t xml:space="preserve">posterior</w:t>
      </w:r>
      <w:r>
        <w:t xml:space="preserve">’</w:t>
      </w:r>
      <w:r>
        <w:t xml:space="preserve"> </w:t>
      </w:r>
      <w:r>
        <w:t xml:space="preserve">distribution. For BIKER,</w:t>
      </w:r>
      <w:r>
        <w:t xml:space="preserve"> </w:t>
      </w:r>
      <w:r>
        <w:rPr>
          <w:iCs/>
          <w:i/>
        </w:rPr>
        <w:t xml:space="preserve">x</w:t>
      </w:r>
      <w:r>
        <w:t xml:space="preserve"> </w:t>
      </w:r>
      <w:r>
        <w:t xml:space="preserve">is the SWOT-observables: river width</w:t>
      </w:r>
      <w:r>
        <w:t xml:space="preserve"> </w:t>
      </w:r>
      <w:r>
        <w:rPr>
          <w:iCs/>
          <w:i/>
        </w:rPr>
        <w:t xml:space="preserve">W</w:t>
      </w:r>
      <w:r>
        <w:t xml:space="preserve"> </w:t>
      </w:r>
      <w:r>
        <w:t xml:space="preserve">and water surface elevation</w:t>
      </w:r>
      <w:r>
        <w:t xml:space="preserve"> </w:t>
      </w:r>
      <m:oMath>
        <m:sSub>
          <m:e>
            <m:r>
              <m:t>H</m:t>
            </m:r>
          </m:e>
          <m:sub>
            <m:r>
              <m:t>e</m:t>
            </m:r>
          </m:sub>
        </m:sSub>
      </m:oMath>
      <w:r>
        <w:t xml:space="preserve"> </w:t>
      </w:r>
      <w:r>
        <w:t xml:space="preserve">(which is used to calculate the water surface slope</w:t>
      </w:r>
      <w:r>
        <w:t xml:space="preserve"> </w:t>
      </w:r>
      <m:oMath>
        <m:sSub>
          <m:e>
            <m:r>
              <m:t>S</m:t>
            </m:r>
          </m:e>
          <m:sub>
            <m:r>
              <m:t>h</m:t>
            </m:r>
          </m:sub>
        </m:sSub>
      </m:oMath>
      <w:r>
        <w:t xml:space="preserve">). Note that</w:t>
      </w:r>
      <w:r>
        <w:t xml:space="preserve"> </w:t>
      </w:r>
      <m:oMath>
        <m:r>
          <m:t>p</m:t>
        </m:r>
        <m:d>
          <m:dPr>
            <m:begChr m:val="("/>
            <m:endChr m:val=")"/>
            <m:sepChr m:val=""/>
            <m:grow/>
          </m:dPr>
          <m:e>
            <m:r>
              <m:t>x</m:t>
            </m:r>
          </m:e>
        </m:d>
      </m:oMath>
      <w:r>
        <w:t xml:space="preserve"> </w:t>
      </w:r>
      <w:r>
        <w:t xml:space="preserve">is usually computationally intractable to integrate, so Bayesian inference tools require only the proportionality to be specified:</w:t>
      </w:r>
      <w:r>
        <w:t xml:space="preserve">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Sampling algorithms are then used to approximate the posterior distribution, as is done in BIKER.</w:t>
      </w:r>
    </w:p>
    <w:p>
      <w:pPr>
        <w:pStyle w:val="BodyText"/>
      </w:pPr>
      <m:oMathPara>
        <m:oMathParaPr>
          <m:jc m:val="center"/>
        </m:oMathParaPr>
        <m:oMath>
          <m:d>
            <m:dPr>
              <m:begChr m:val="("/>
              <m:endChr m:val=")"/>
              <m:sepChr m:val=""/>
              <m:grow/>
            </m:dPr>
            <m:e>
              <m:r>
                <m:rPr>
                  <m:sty m:val="b"/>
                </m:rPr>
                <m:t>5</m:t>
              </m:r>
            </m:e>
          </m:d>
          <m:r>
            <m:t>p</m:t>
          </m:r>
          <m:d>
            <m:dPr>
              <m:begChr m:val="("/>
              <m:endChr m:val=")"/>
              <m:sepChr m:val=""/>
              <m:grow/>
            </m:dPr>
            <m:e>
              <m:r>
                <m:t>Θ</m:t>
              </m:r>
              <m:r>
                <m:rPr>
                  <m:sty m:val="p"/>
                </m:rPr>
                <m:t>|</m:t>
              </m:r>
              <m:r>
                <m:t>x</m:t>
              </m:r>
            </m:e>
          </m:d>
          <m:r>
            <m:rPr>
              <m:sty m:val="p"/>
            </m:rPr>
            <m:t>=</m:t>
          </m:r>
          <m:f>
            <m:fPr>
              <m:type m:val="bar"/>
            </m:fPr>
            <m:num>
              <m:r>
                <m:t>f</m:t>
              </m:r>
              <m:d>
                <m:dPr>
                  <m:begChr m:val="("/>
                  <m:endChr m:val=")"/>
                  <m:sepChr m:val=""/>
                  <m:grow/>
                </m:dPr>
                <m:e>
                  <m:r>
                    <m:t>x</m:t>
                  </m:r>
                  <m:r>
                    <m:rPr>
                      <m:sty m:val="p"/>
                    </m:rPr>
                    <m:t>|</m:t>
                  </m:r>
                  <m:r>
                    <m:t>Θ</m:t>
                  </m:r>
                </m:e>
              </m:d>
              <m:r>
                <m:t>p</m:t>
              </m:r>
              <m:d>
                <m:dPr>
                  <m:begChr m:val="("/>
                  <m:endChr m:val=")"/>
                  <m:sepChr m:val=""/>
                  <m:grow/>
                </m:dPr>
                <m:e>
                  <m:r>
                    <m:t>Θ</m:t>
                  </m:r>
                </m:e>
              </m:d>
            </m:num>
            <m:den>
              <m:r>
                <m:t>p</m:t>
              </m:r>
              <m:d>
                <m:dPr>
                  <m:begChr m:val="("/>
                  <m:endChr m:val=")"/>
                  <m:sepChr m:val=""/>
                  <m:grow/>
                </m:dPr>
                <m:e>
                  <m:r>
                    <m:t>x</m:t>
                  </m:r>
                </m:e>
              </m:d>
            </m:den>
          </m:f>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as a Bayesian sampling model that is conditional only on the data that SWOT will provide. To do this,</w:t>
      </w:r>
      <w:r>
        <w:t xml:space="preserve"> </w:t>
      </w:r>
      <m:oMath>
        <m:sSub>
          <m:e>
            <m:r>
              <m:t>k</m:t>
            </m:r>
          </m:e>
          <m:sub>
            <m:r>
              <m:t>600</m:t>
            </m:r>
          </m:sub>
        </m:sSub>
      </m:oMath>
      <w:r>
        <w:t xml:space="preserve"> </w:t>
      </w:r>
      <w:r>
        <w:t xml:space="preserve">is first written as a function of SWOT-observables</w:t>
      </w:r>
      <w:r>
        <w:t xml:space="preserve"> </w:t>
      </w:r>
      <w:r>
        <w:rPr>
          <w:iCs/>
          <w:i/>
        </w:rPr>
        <w:t xml:space="preserve">W</w:t>
      </w:r>
      <w:r>
        <w:t xml:space="preserve"> </w:t>
      </w:r>
      <w:r>
        <w:t xml:space="preserve">and</w:t>
      </w:r>
      <w:r>
        <w:t xml:space="preserve"> </w:t>
      </w:r>
      <m:oMath>
        <m:sSub>
          <m:e>
            <m:r>
              <m:t>S</m:t>
            </m:r>
          </m:e>
          <m:sub>
            <m:r>
              <m:t>h</m:t>
            </m:r>
          </m:sub>
        </m:sSub>
      </m:oMath>
      <w:r>
        <w:t xml:space="preserve">. This algebra is carried out using equation 4 and the model parameter from Figure 3a (76.4) and yields equation 6, assuming the channel is hydraulically wide (</w:t>
      </w:r>
      <m:oMath>
        <m:sSub>
          <m:e>
            <m:r>
              <m:t>R</m:t>
            </m:r>
          </m:e>
          <m:sub>
            <m:r>
              <m:t>h</m:t>
            </m:r>
          </m:sub>
        </m:sSub>
        <m:r>
          <m:rPr>
            <m:sty m:val="p"/>
          </m:rPr>
          <m:t>=</m:t>
        </m:r>
        <m:r>
          <m:t>H</m:t>
        </m:r>
        <m:r>
          <m:rPr>
            <m:sty m:val="p"/>
          </m:rPr>
          <m:t>=</m:t>
        </m:r>
        <m:f>
          <m:fPr>
            <m:type m:val="bar"/>
          </m:fPr>
          <m:num>
            <m:r>
              <m:t>A</m:t>
            </m:r>
          </m:num>
          <m:den>
            <m:r>
              <m:t>W</m:t>
            </m:r>
          </m:den>
        </m:f>
      </m:oMath>
      <w:r>
        <w:t xml:space="preserve">). Here,</w:t>
      </w:r>
      <w:r>
        <w:t xml:space="preserve"> </w:t>
      </w:r>
      <w:r>
        <w:rPr>
          <w:iCs/>
          <w:i/>
        </w:rPr>
        <w:t xml:space="preserve">A</w:t>
      </w:r>
      <w:r>
        <w:t xml:space="preserve"> </w:t>
      </w:r>
      <w:r>
        <w:t xml:space="preserve">is wetted channel area.</w:t>
      </w:r>
      <w:r>
        <w:t xml:space="preserve"> </w:t>
      </w:r>
      <w:r>
        <w:rPr>
          <w:iCs/>
          <w:i/>
        </w:rPr>
        <w:t xml:space="preserve">A</w:t>
      </w:r>
      <w:r>
        <w:t xml:space="preserve"> </w:t>
      </w:r>
      <w:r>
        <w:t xml:space="preserve">is further split into the SWOT-observable portion</w:t>
      </w:r>
      <w:r>
        <w:t xml:space="preserve"> </w:t>
      </w:r>
      <w:r>
        <w:rPr>
          <w:iCs/>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Cs/>
          <w:i/>
        </w:rPr>
        <w:t xml:space="preserve">dA</w:t>
      </w:r>
      <w:r>
        <w:t xml:space="preserve"> </w:t>
      </w:r>
      <w:r>
        <w:t xml:space="preserve">is estimated assuming a rectangular river channel so that</w:t>
      </w:r>
      <w:r>
        <w:t xml:space="preserve"> </w:t>
      </w:r>
      <m:oMath>
        <m:r>
          <m:t>d</m:t>
        </m:r>
        <m:r>
          <m:t>A</m:t>
        </m:r>
        <m:r>
          <m:rPr>
            <m:sty m:val="p"/>
          </m:rPr>
          <m:t>≈</m:t>
        </m:r>
        <m:r>
          <m:t>δ</m:t>
        </m:r>
        <m:sSub>
          <m:e>
            <m:r>
              <m:t>H</m:t>
            </m:r>
          </m:e>
          <m:sub>
            <m:r>
              <m:t>e</m:t>
            </m:r>
          </m:sub>
        </m:sSub>
        <m:r>
          <m:rPr>
            <m:sty m:val="p"/>
          </m:rPr>
          <m:t>*</m:t>
        </m:r>
        <m:r>
          <m:t>W</m:t>
        </m:r>
      </m:oMath>
      <w:r>
        <w:t xml:space="preserve">. Thus, there is no reliance on bed roughness, flow velocity, or any other terms that are more difficult to infer from river width.</w:t>
      </w:r>
    </w:p>
    <w:p>
      <w:pPr>
        <w:pStyle w:val="BodyText"/>
      </w:pPr>
      <w:r>
        <w:rPr>
          <w:bCs/>
          <w:b/>
        </w:rPr>
        <w:t xml:space="preserve">UPDATE</w:t>
      </w:r>
    </w:p>
    <w:p>
      <w:pPr>
        <w:pStyle w:val="BodyText"/>
      </w:pPr>
      <m:oMathPara>
        <m:oMathParaPr>
          <m:jc m:val="center"/>
        </m:oMathParaPr>
        <m:oMath>
          <m:d>
            <m:dPr>
              <m:begChr m:val="("/>
              <m:endChr m:val=")"/>
              <m:sepChr m:val=""/>
              <m:grow/>
            </m:dPr>
            <m:e>
              <m:r>
                <m:rPr>
                  <m:sty m:val="b"/>
                </m:rPr>
                <m:t>6</m:t>
              </m:r>
            </m:e>
          </m:d>
          <m:m>
            <m:mPr>
              <m:baseJc m:val="center"/>
              <m:plcHide m:val="1"/>
              <m:mcs>
                <m:mc>
                  <m:mcPr>
                    <m:mcJc m:val="right"/>
                    <m:count m:val="1"/>
                  </m:mcPr>
                </m:mc>
              </m:mcs>
            </m:mPr>
            <m:mr>
              <m:e>
                <m:sSub>
                  <m:e>
                    <m:r>
                      <m:t>k</m:t>
                    </m:r>
                  </m:e>
                  <m:sub>
                    <m:r>
                      <m:t>600</m:t>
                    </m:r>
                  </m:sub>
                </m:sSub>
                <m:r>
                  <m:rPr>
                    <m:sty m:val="p"/>
                  </m:rPr>
                  <m:t>=</m:t>
                </m:r>
                <m:r>
                  <m:rPr>
                    <m:sty m:val="p"/>
                  </m:rPr>
                  <m:t>(</m:t>
                </m:r>
                <m:r>
                  <m:t>56.0294</m:t>
                </m:r>
                <m:sSub>
                  <m:e>
                    <m:r>
                      <m:t>S</m:t>
                    </m:r>
                  </m:e>
                  <m:sub>
                    <m:r>
                      <m:t>h</m:t>
                    </m:r>
                  </m:sub>
                </m:sSub>
                <m:d>
                  <m:dPr>
                    <m:begChr m:val="("/>
                    <m:endChr m:val=")"/>
                    <m:sepChr m:val=""/>
                    <m:grow/>
                  </m:dPr>
                  <m:e>
                    <m:f>
                      <m:fPr>
                        <m:type m:val="bar"/>
                      </m:fPr>
                      <m:num>
                        <m:sSub>
                          <m:e>
                            <m:r>
                              <m:t>A</m:t>
                            </m:r>
                          </m:e>
                          <m:sub>
                            <m:r>
                              <m:t>0</m:t>
                            </m:r>
                          </m:sub>
                        </m:sSub>
                        <m:r>
                          <m:rPr>
                            <m:sty m:val="p"/>
                          </m:rPr>
                          <m:t>+</m:t>
                        </m:r>
                        <m:r>
                          <m:t>d</m:t>
                        </m:r>
                        <m:r>
                          <m:t>A</m:t>
                        </m:r>
                      </m:num>
                      <m:den>
                        <m:r>
                          <m:t>W</m:t>
                        </m:r>
                      </m:den>
                    </m:f>
                  </m:e>
                </m:d>
                <m:sSup>
                  <m:e>
                    <m:r>
                      <m:rPr>
                        <m:sty m:val="p"/>
                      </m:rPr>
                      <m:t>)</m:t>
                    </m:r>
                  </m:e>
                  <m:sup>
                    <m:r>
                      <m:t>1</m:t>
                    </m:r>
                    <m:r>
                      <m:rPr>
                        <m:sty m:val="p"/>
                      </m:rPr>
                      <m:t>/</m:t>
                    </m:r>
                    <m:r>
                      <m:t>2</m:t>
                    </m:r>
                  </m:sup>
                </m:sSup>
              </m:e>
            </m:mr>
          </m:m>
        </m:oMath>
      </m:oMathPara>
    </w:p>
    <w:p>
      <w:pPr>
        <w:pStyle w:val="FirstParagraph"/>
      </w:pPr>
      <w:r>
        <w:t xml:space="preserve">Next, equation 6 is written as a Bayesian sampling model, in which all of the SWOT observations are sampled from the unknown model parameters (</w:t>
      </w:r>
      <m:oMath>
        <m:sSub>
          <m:e>
            <m:r>
              <m:t>A</m:t>
            </m:r>
          </m:e>
          <m:sub>
            <m:r>
              <m:t>0</m:t>
            </m:r>
          </m:sub>
        </m:sSub>
      </m:oMath>
      <w:r>
        <w:t xml:space="preserve"> </w:t>
      </w:r>
      <w:r>
        <w:t xml:space="preserve">and</w:t>
      </w:r>
      <w:r>
        <w:t xml:space="preserve"> </w:t>
      </w:r>
      <m:oMath>
        <m:sSub>
          <m:e>
            <m:r>
              <m:t>k</m:t>
            </m:r>
          </m:e>
          <m:sub>
            <m:r>
              <m:t>600</m:t>
            </m:r>
          </m:sub>
        </m:sSub>
      </m:oMath>
      <w:r>
        <w:t xml:space="preserve">). This is equation 7 after describing them as log-normal distributions.</w:t>
      </w:r>
      <w:r>
        <w:t xml:space="preserve"> </w:t>
      </w:r>
      <m:oMath>
        <m:sSubSup>
          <m:e>
            <m:r>
              <m:t>σ</m:t>
            </m:r>
          </m:e>
          <m:sub>
            <m:sSub>
              <m:e>
                <m:r>
                  <m:t>k</m:t>
                </m:r>
              </m:e>
              <m:sub>
                <m:r>
                  <m:t>600</m:t>
                </m:r>
              </m:sub>
            </m:sSub>
          </m:sub>
          <m:sup>
            <m:r>
              <m:t>2</m:t>
            </m:r>
          </m:sup>
        </m:sSubSup>
      </m:oMath>
      <w:r>
        <w:t xml:space="preserve"> </w:t>
      </w:r>
      <w:r>
        <w:t xml:space="preserve">refers to the uncertainty inherent in equation 6’s estimates. Equation 7 also necessitate that we specify prior distributions for the parameters</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Prior distributions, defined by their hyperparameters, formalize the a priori estimates (and uncertainties) for the non-remotely-sensed terms. More intuitively, BIKER priors represent our</w:t>
      </w:r>
      <w:r>
        <w:t xml:space="preserve"> </w:t>
      </w:r>
      <w:r>
        <w:t xml:space="preserve">‘</w:t>
      </w:r>
      <w:r>
        <w:t xml:space="preserve">prior river knowledge</w:t>
      </w:r>
      <w:r>
        <w:t xml:space="preserve">’</w:t>
      </w:r>
      <w:r>
        <w:t xml:space="preserve"> </w:t>
      </w:r>
      <w:r>
        <w:t xml:space="preserve">of what</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probably are for some river since they cannot be remotely sensed. Hyperparameter specifications are detailed in Text S2, however the goal was to rely on absolutely no in situ information such that we could run this method on any river on Earth solely using SWOT observations. Priors could in theory be improved if there is available a priori information about the river. We could also assign a prior to</w:t>
      </w:r>
      <w:r>
        <w:t xml:space="preserve"> </w:t>
      </w:r>
      <m:oMath>
        <m:r>
          <m:t>β</m:t>
        </m:r>
      </m:oMath>
      <w:r>
        <w:t xml:space="preserve"> </w:t>
      </w:r>
      <w:r>
        <w:t xml:space="preserve">in equations 4 and 6 because there is an inherent uncertainty associated with it. For the sake of the validation presented here (and elaborated on below), we assumed</w:t>
      </w:r>
      <w:r>
        <w:t xml:space="preserve"> </w:t>
      </w:r>
      <m:oMath>
        <m:r>
          <m:t>β</m:t>
        </m:r>
      </m:oMath>
      <w:r>
        <w:t xml:space="preserve"> </w:t>
      </w:r>
      <w:r>
        <w:t xml:space="preserve">is known a priori and did not treat it as a parameter.</w:t>
      </w:r>
    </w:p>
    <w:p>
      <w:pPr>
        <w:pStyle w:val="BodyText"/>
      </w:pPr>
      <m:oMathPara>
        <m:oMathParaPr>
          <m:jc m:val="center"/>
        </m:oMathParaPr>
        <m:oMath>
          <m:d>
            <m:dPr>
              <m:begChr m:val="("/>
              <m:endChr m:val=")"/>
              <m:sepChr m:val=""/>
              <m:grow/>
            </m:dPr>
            <m:e>
              <m:r>
                <m:rPr>
                  <m:sty m:val="b"/>
                </m:rPr>
                <m:t>7</m:t>
              </m:r>
            </m:e>
          </m:d>
          <m:d>
            <m:dPr>
              <m:begChr m:val="["/>
              <m:endChr m:val="]"/>
              <m:sepChr m:val=""/>
              <m:grow/>
            </m:dPr>
            <m:e>
              <m:r>
                <m:t>l</m:t>
              </m:r>
              <m:r>
                <m:t>o</m:t>
              </m:r>
              <m:r>
                <m:t>g</m:t>
              </m:r>
              <m:d>
                <m:dPr>
                  <m:begChr m:val="("/>
                  <m:endChr m:val=")"/>
                  <m:sepChr m:val=""/>
                  <m:grow/>
                </m:dPr>
                <m:e>
                  <m:r>
                    <m:t>56.0294</m:t>
                  </m:r>
                </m:e>
              </m:d>
              <m:r>
                <m:rPr>
                  <m:sty m:val="p"/>
                </m:rPr>
                <m:t>+</m:t>
              </m:r>
              <m:f>
                <m:fPr>
                  <m:type m:val="bar"/>
                </m:fPr>
                <m:num>
                  <m:r>
                    <m:t>1</m:t>
                  </m:r>
                </m:num>
                <m:den>
                  <m:r>
                    <m:t>2</m:t>
                  </m:r>
                </m:den>
              </m:f>
              <m:r>
                <m:t>l</m:t>
              </m:r>
              <m:r>
                <m:t>o</m:t>
              </m:r>
              <m:r>
                <m:t>g</m:t>
              </m:r>
              <m:d>
                <m:dPr>
                  <m:begChr m:val="("/>
                  <m:endChr m:val=")"/>
                  <m:sepChr m:val=""/>
                  <m:grow/>
                </m:dPr>
                <m:e>
                  <m:r>
                    <m:t>g</m:t>
                  </m:r>
                </m:e>
              </m:d>
              <m:r>
                <m:rPr>
                  <m:sty m:val="p"/>
                </m:rPr>
                <m:t>+</m:t>
              </m:r>
              <m:f>
                <m:fPr>
                  <m:type m:val="bar"/>
                </m:fPr>
                <m:num>
                  <m:r>
                    <m:t>1</m:t>
                  </m:r>
                </m:num>
                <m:den>
                  <m:r>
                    <m:t>2</m:t>
                  </m:r>
                </m:den>
              </m:f>
              <m:r>
                <m:t>l</m:t>
              </m:r>
              <m:r>
                <m:t>o</m:t>
              </m:r>
              <m:r>
                <m:t>g</m:t>
              </m:r>
              <m:d>
                <m:dPr>
                  <m:begChr m:val="("/>
                  <m:endChr m:val=")"/>
                  <m:sepChr m:val=""/>
                  <m:grow/>
                </m:dPr>
                <m:e>
                  <m:sSub>
                    <m:e>
                      <m:r>
                        <m:t>S</m:t>
                      </m:r>
                    </m:e>
                    <m:sub>
                      <m:r>
                        <m:t>h</m:t>
                      </m:r>
                    </m:sub>
                  </m:sSub>
                </m:e>
              </m:d>
              <m:r>
                <m:rPr>
                  <m:sty m:val="p"/>
                </m:rPr>
                <m:t>−</m:t>
              </m:r>
              <m:f>
                <m:fPr>
                  <m:type m:val="bar"/>
                </m:fPr>
                <m:num>
                  <m:r>
                    <m:t>1</m:t>
                  </m:r>
                </m:num>
                <m:den>
                  <m:r>
                    <m:t>2</m:t>
                  </m:r>
                </m:den>
              </m:f>
              <m:r>
                <m:t>l</m:t>
              </m:r>
              <m:r>
                <m:t>o</m:t>
              </m:r>
              <m:r>
                <m:t>g</m:t>
              </m:r>
              <m:d>
                <m:dPr>
                  <m:begChr m:val="("/>
                  <m:endChr m:val=")"/>
                  <m:sepChr m:val=""/>
                  <m:grow/>
                </m:dPr>
                <m:e>
                  <m:r>
                    <m:t>W</m:t>
                  </m:r>
                </m:e>
              </m:d>
            </m:e>
          </m:d>
          <m:r>
            <m:rPr>
              <m:sty m:val="p"/>
            </m:rPr>
            <m:t>∼</m:t>
          </m:r>
          <m:r>
            <m:t>n</m:t>
          </m:r>
          <m:r>
            <m:t>o</m:t>
          </m:r>
          <m:r>
            <m:t>r</m:t>
          </m:r>
          <m:r>
            <m:t>m</m:t>
          </m:r>
          <m:r>
            <m:t>a</m:t>
          </m:r>
          <m:r>
            <m:t>l</m:t>
          </m:r>
          <m:d>
            <m:dPr>
              <m:begChr m:val="("/>
              <m:endChr m:val=")"/>
              <m:sepChr m:val=""/>
              <m:grow/>
            </m:dPr>
            <m:e>
              <m:d>
                <m:dPr>
                  <m:begChr m:val="["/>
                  <m:endChr m:val="]"/>
                  <m:sepChr m:val=""/>
                  <m:grow/>
                </m:dPr>
                <m:e>
                  <m:r>
                    <m:t>l</m:t>
                  </m:r>
                  <m:r>
                    <m:t>o</m:t>
                  </m:r>
                  <m:r>
                    <m:t>g</m:t>
                  </m:r>
                  <m:d>
                    <m:dPr>
                      <m:begChr m:val="("/>
                      <m:endChr m:val=")"/>
                      <m:sepChr m:val=""/>
                      <m:grow/>
                    </m:dPr>
                    <m:e>
                      <m:sSub>
                        <m:e>
                          <m:r>
                            <m:t>k</m:t>
                          </m:r>
                        </m:e>
                        <m:sub>
                          <m:r>
                            <m:t>600</m:t>
                          </m:r>
                        </m:sub>
                      </m:sSub>
                    </m:e>
                  </m:d>
                  <m:r>
                    <m:rPr>
                      <m:sty m:val="p"/>
                    </m:rPr>
                    <m:t>−</m:t>
                  </m:r>
                  <m:f>
                    <m:fPr>
                      <m:type m:val="bar"/>
                    </m:fPr>
                    <m:num>
                      <m:r>
                        <m:t>1</m:t>
                      </m:r>
                    </m:num>
                    <m:den>
                      <m:r>
                        <m:t>2</m:t>
                      </m:r>
                    </m:den>
                  </m:f>
                  <m:r>
                    <m:t>l</m:t>
                  </m:r>
                  <m:r>
                    <m:t>o</m:t>
                  </m:r>
                  <m:r>
                    <m:t>g</m:t>
                  </m:r>
                  <m:d>
                    <m:dPr>
                      <m:begChr m:val="("/>
                      <m:endChr m:val=")"/>
                      <m:sepChr m:val=""/>
                      <m:grow/>
                    </m:dPr>
                    <m:e>
                      <m:sSub>
                        <m:e>
                          <m:r>
                            <m:t>A</m:t>
                          </m:r>
                        </m:e>
                        <m:sub>
                          <m:r>
                            <m:t>0</m:t>
                          </m:r>
                        </m:sub>
                      </m:sSub>
                      <m:r>
                        <m:rPr>
                          <m:sty m:val="p"/>
                        </m:rPr>
                        <m:t>+</m:t>
                      </m:r>
                      <m:r>
                        <m:t>d</m:t>
                      </m:r>
                      <m:r>
                        <m:t>A</m:t>
                      </m:r>
                    </m:e>
                  </m:d>
                </m:e>
              </m:d>
              <m:r>
                <m:rPr>
                  <m:sty m:val="p"/>
                </m:rPr>
                <m:t>,</m:t>
              </m:r>
              <m:sSubSup>
                <m:e>
                  <m:r>
                    <m:t>σ</m:t>
                  </m:r>
                </m:e>
                <m:sub>
                  <m:sSub>
                    <m:e>
                      <m:r>
                        <m:t>k</m:t>
                      </m:r>
                    </m:e>
                    <m:sub>
                      <m:r>
                        <m:t>600</m:t>
                      </m:r>
                    </m:sub>
                  </m:sSub>
                </m:sub>
                <m:sup>
                  <m:r>
                    <m:t>2</m:t>
                  </m:r>
                </m:sup>
              </m:sSubSup>
            </m:e>
          </m:d>
        </m:oMath>
      </m:oMathPara>
    </w:p>
    <w:p>
      <w:pPr>
        <w:pStyle w:val="FirstParagraph"/>
      </w:pPr>
      <w:r>
        <w:t xml:space="preserve">With the sampling model (equation 7) and hyperparameters described (Text S2), a joint posterior distribution conditional on the SWOT observations is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p>
      <w:pPr>
        <w:pStyle w:val="BodyText"/>
      </w:pPr>
      <w:r>
        <w:t xml:space="preserve">We validate BIKER on 47 SWOT-simulated rivers using daily observed hydraulics and the metrics described in Table S2. We also re-validate BIKER on the 17 rivers with the SWOT error model which corrupts the river width and slope. Regardless of the validation setup,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equation 4 and Figure 3 and use that to calculate the observed</w:t>
      </w:r>
      <w:r>
        <w:t xml:space="preserve"> </w:t>
      </w:r>
      <m:oMath>
        <m:sSub>
          <m:e>
            <m:r>
              <m:t>k</m:t>
            </m:r>
          </m:e>
          <m:sub>
            <m:r>
              <m:t>600</m:t>
            </m:r>
          </m:sub>
        </m:sSub>
      </m:oMath>
      <w:r>
        <w:t xml:space="preserve"> </w:t>
      </w:r>
      <w:r>
        <w:t xml:space="preserve">that BIKER is validated against. This is why equation 3’s</w:t>
      </w:r>
      <w:r>
        <w:t xml:space="preserve"> </w:t>
      </w:r>
      <m:oMath>
        <m:r>
          <m:t>β</m:t>
        </m:r>
      </m:oMath>
      <w:r>
        <w:t xml:space="preserve"> </w:t>
      </w:r>
      <w:r>
        <w:t xml:space="preserve">is trated as known and not a parameter. With this setup, we are directly exploring BIKER’s ability to infer observed</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from</w:t>
      </w:r>
      <w:r>
        <w:t xml:space="preserve"> </w:t>
      </w:r>
      <w:r>
        <w:rPr>
          <w:iCs/>
          <w:i/>
        </w:rPr>
        <w:t xml:space="preserve">W</w:t>
      </w:r>
      <w:r>
        <w:t xml:space="preserve"> </w:t>
      </w:r>
      <w:r>
        <w:t xml:space="preserve">and</w:t>
      </w:r>
      <w:r>
        <w:t xml:space="preserve"> </w:t>
      </w:r>
      <w:r>
        <w:rPr>
          <w:iCs/>
          <w:i/>
        </w:rPr>
        <w:t xml:space="preserve">H</w:t>
      </w:r>
      <w:r>
        <w:t xml:space="preserve"> </w:t>
      </w:r>
      <w:r>
        <w:t xml:space="preserve">alone, as the</w:t>
      </w:r>
      <w:r>
        <w:t xml:space="preserve"> </w:t>
      </w:r>
      <w:r>
        <w:rPr>
          <w:iCs/>
          <w:i/>
        </w:rPr>
        <w:t xml:space="preserve">k</w:t>
      </w:r>
      <w:r>
        <w:t xml:space="preserve"> </w:t>
      </w:r>
      <w:r>
        <w:t xml:space="preserve">scaling model has already been sucessfully validated (Figure 3). This workflow is elaborated on in Text S3.</w:t>
      </w:r>
    </w:p>
    <w:p>
      <w:pPr>
        <w:pStyle w:val="BodyText"/>
      </w:pPr>
      <w:r>
        <w:t xml:space="preserve">Figure 4a plots the validation results for</w:t>
      </w:r>
      <w:r>
        <w:t xml:space="preserve"> </w:t>
      </w:r>
      <m:oMath>
        <m:sSub>
          <m:e>
            <m:r>
              <m:t>k</m:t>
            </m:r>
          </m:e>
          <m:sub>
            <m:r>
              <m:t>600</m:t>
            </m:r>
          </m:sub>
        </m:sSub>
      </m:oMath>
      <w:r>
        <w:t xml:space="preserve"> </w:t>
      </w:r>
      <w:r>
        <w:t xml:space="preserve">(with no SWOT measurement error) across all rivers and all timesteps.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 BIKER-predicted</w:t>
      </w:r>
      <w:r>
        <w:t xml:space="preserve"> </w:t>
      </w:r>
      <m:oMath>
        <m:sSub>
          <m:e>
            <m:r>
              <m:t>k</m:t>
            </m:r>
          </m:e>
          <m:sub>
            <m:r>
              <m:t>600</m:t>
            </m:r>
          </m:sub>
        </m:sSub>
      </m:oMath>
      <w:r>
        <w:t xml:space="preserve"> </w:t>
      </w:r>
      <w:r>
        <w:t xml:space="preserve">(</w:t>
      </w:r>
      <m:oMath>
        <m:sSup>
          <m:e>
            <m:r>
              <m:t>r</m:t>
            </m:r>
          </m:e>
          <m:sup>
            <m:r>
              <m:t>2</m:t>
            </m:r>
          </m:sup>
        </m:sSup>
      </m:oMath>
      <w:r>
        <w:t xml:space="preserve"> </w:t>
      </w:r>
      <w:r>
        <w:t xml:space="preserve">of 0.87). Using absolutely no in situ information, BIKER captures the magnitude of the predictions and most points fall on or near the 1:1 line. The regression of the estimates (solid grey line) nearly recovers the 1:1 line (dashed black), but there is an over/underestimation bias in the largest/smallest</w:t>
      </w:r>
      <w:r>
        <w:t xml:space="preserve"> </w:t>
      </w:r>
      <m:oMath>
        <m:sSub>
          <m:e>
            <m:r>
              <m:t>k</m:t>
            </m:r>
          </m:e>
          <m:sub>
            <m:r>
              <m:t>600</m:t>
            </m:r>
          </m:sub>
        </m:sSub>
      </m:oMath>
      <w:r>
        <w:t xml:space="preserve"> </w:t>
      </w:r>
      <w:r>
        <w:t xml:space="preserve">values. The RMSE for the BIKER predictions is 2.57 m/day) across all observations.</w:t>
      </w:r>
    </w:p>
    <w:p>
      <w:pPr>
        <w:pStyle w:val="CaptionedFigure"/>
      </w:pPr>
      <w:r>
        <w:drawing>
          <wp:inline>
            <wp:extent cx="5943600" cy="3396342"/>
            <wp:effectExtent b="0" l="0" r="0" t="0"/>
            <wp:docPr descr="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3 for all other rivers. Model results include the posterior means and 95%."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S3 for all other rivers. Model results include the posterior means and 95%.</w:t>
      </w:r>
    </w:p>
    <w:p>
      <w:pPr>
        <w:pStyle w:val="BodyText"/>
      </w:pPr>
      <w:r>
        <w:t xml:space="preserve">Figure 4b-d are representative timeseries plots of predicted and observed</w:t>
      </w:r>
      <w:r>
        <w:t xml:space="preserve"> </w:t>
      </w:r>
      <m:oMath>
        <m:sSub>
          <m:e>
            <m:r>
              <m:t>k</m:t>
            </m:r>
          </m:e>
          <m:sub>
            <m:r>
              <m:t>600</m:t>
            </m:r>
          </m:sub>
        </m:sSub>
      </m:oMath>
      <w:r>
        <w:t xml:space="preserve"> </w:t>
      </w:r>
      <w:r>
        <w:t xml:space="preserve">for three rivers chosen randomly from those with</w:t>
      </w:r>
      <w:r>
        <w:t xml:space="preserve"> </w:t>
      </w:r>
      <w:r>
        <w:t xml:space="preserve">‘</w:t>
      </w:r>
      <w:r>
        <w:t xml:space="preserve">good</w:t>
      </w:r>
      <w:r>
        <w:t xml:space="preserve">’</w:t>
      </w:r>
      <w:r>
        <w:t xml:space="preserve"> </w:t>
      </w:r>
      <w:r>
        <w:t xml:space="preserve">NRMSE scores (b),</w:t>
      </w:r>
      <w:r>
        <w:t xml:space="preserve"> </w:t>
      </w:r>
      <w:r>
        <w:t xml:space="preserve">‘</w:t>
      </w:r>
      <w:r>
        <w:t xml:space="preserve">okay</w:t>
      </w:r>
      <w:r>
        <w:t xml:space="preserve">’</w:t>
      </w:r>
      <w:r>
        <w:t xml:space="preserve"> </w:t>
      </w:r>
      <w:r>
        <w:t xml:space="preserve">NRMSE scores (c), and</w:t>
      </w:r>
      <w:r>
        <w:t xml:space="preserve"> </w:t>
      </w:r>
      <w:r>
        <w:t xml:space="preserve">‘</w:t>
      </w:r>
      <w:r>
        <w:t xml:space="preserve">bad</w:t>
      </w:r>
      <w:r>
        <w:t xml:space="preserve">’</w:t>
      </w:r>
      <w:r>
        <w:t xml:space="preserve"> </w:t>
      </w:r>
      <w:r>
        <w:t xml:space="preserve">NRMSE scores (d). See Table S2 for the definition of NRMSE, the Figure 4 caption for how this was determined, and Figure S3 for the other river timeseries plots. For the Missouri Midsection River, the entire timeseries of</w:t>
      </w:r>
      <w:r>
        <w:t xml:space="preserve"> </w:t>
      </w:r>
      <m:oMath>
        <m:sSub>
          <m:e>
            <m:r>
              <m:t>k</m:t>
            </m:r>
          </m:e>
          <m:sub>
            <m:r>
              <m:t>600</m:t>
            </m:r>
          </m:sub>
        </m:sSub>
      </m:oMath>
      <w:r>
        <w:t xml:space="preserve"> </w:t>
      </w:r>
      <w:r>
        <w:t xml:space="preserve">is nearly perfectly predicted, while in the Seine River the dynamics (peaks and valleys) are reasonably captured but they are magnified to be far larger than the observed dynamics. Generally, though, mean</w:t>
      </w:r>
      <w:r>
        <w:t xml:space="preserve"> </w:t>
      </w:r>
      <m:oMath>
        <m:sSub>
          <m:e>
            <m:r>
              <m:t>k</m:t>
            </m:r>
          </m:e>
          <m:sub>
            <m:r>
              <m:t>600</m:t>
            </m:r>
          </m:sub>
        </m:sSub>
      </m:oMath>
      <w:r>
        <w:t xml:space="preserve"> </w:t>
      </w:r>
      <w:r>
        <w:t xml:space="preserve">is reasonably recovered for the Seine, as confirmed visually. In the Fresno River, there is significant positive bias in the estimates but also massive uncertainty (per the 95% CIs) in those estimates, indicating that BIKER is highly uncertain about its output (and rightfully so). Correct temporal dynamics are also largely missing from BIKER’s Fresno River predicitions.</w:t>
      </w:r>
    </w:p>
    <w:p>
      <w:pPr>
        <w:pStyle w:val="BodyText"/>
      </w:pPr>
      <w:r>
        <w:t xml:space="preserve">Figure 5a plots validation metrics calculated for each river with and without SWOT measurement error (green and purple, respectively). The points making up these boxplots (47 and 17, respectively) are overlain atop the boxplots. See Table S2 for metric definitions. SWOT measurement errors neglibly influence BIKER’s performance across all four error metrics (Figure 5a), though caution should be used in over-interepting boxplots with a sample size of only 17. Given Figure 5a, we deem that SWOT measurement error does not exert a significant influence on BIKER and so the results presented for the rest of the manuscript assume no measurement error in order to use all 47 rivers.</w:t>
      </w:r>
    </w:p>
    <w:p>
      <w:pPr>
        <w:pStyle w:val="CaptionedFigure"/>
      </w:pPr>
      <w:r>
        <w:drawing>
          <wp:inline>
            <wp:extent cx="5943600" cy="3200400"/>
            <wp:effectExtent b="0" l="0" r="0" t="0"/>
            <wp:docPr descr="Figure 5. a: Performance metrics by river. See Table S2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1"/>
                    <a:stretch>
                      <a:fillRect/>
                    </a:stretch>
                  </pic:blipFill>
                  <pic:spPr bwMode="auto">
                    <a:xfrm>
                      <a:off x="0" y="0"/>
                      <a:ext cx="5943600" cy="3200400"/>
                    </a:xfrm>
                    <a:prstGeom prst="rect">
                      <a:avLst/>
                    </a:prstGeom>
                    <a:noFill/>
                    <a:ln w="9525">
                      <a:noFill/>
                      <a:headEnd/>
                      <a:tailEnd/>
                    </a:ln>
                  </pic:spPr>
                </pic:pic>
              </a:graphicData>
            </a:graphic>
          </wp:inline>
        </w:drawing>
      </w:r>
    </w:p>
    <w:p>
      <w:pPr>
        <w:pStyle w:val="ImageCaption"/>
      </w:pPr>
      <w:r>
        <w:t xml:space="preserve">Figure 5. a: Performance metrics by river. See Table S2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w:t>
      </w:r>
    </w:p>
    <w:p>
      <w:pPr>
        <w:pStyle w:val="BodyText"/>
      </w:pPr>
      <w:r>
        <w:t xml:space="preserve">Median river-specific</w:t>
      </w:r>
      <w:r>
        <w:t xml:space="preserve"> </w:t>
      </w:r>
      <m:oMath>
        <m:sSup>
          <m:e>
            <m:r>
              <m:t>r</m:t>
            </m:r>
          </m:e>
          <m:sup>
            <m:r>
              <m:t>2</m:t>
            </m:r>
          </m:sup>
        </m:sSup>
      </m:oMath>
      <w:r>
        <w:t xml:space="preserve"> </w:t>
      </w:r>
      <w:r>
        <w:t xml:space="preserve">is 0.83, which is excellent given that absolutely no in situ information is being used to predict</w:t>
      </w:r>
      <w:r>
        <w:t xml:space="preserve"> </w:t>
      </w:r>
      <m:oMath>
        <m:sSub>
          <m:e>
            <m:r>
              <m:t>k</m:t>
            </m:r>
          </m:e>
          <m:sub>
            <m:r>
              <m:t>600</m:t>
            </m:r>
          </m:sub>
        </m:sSub>
      </m:oMath>
      <w:r>
        <w:t xml:space="preserve">. NRMSE and RRMSE have median scores of 0.37 and 0.35, respectively, which are again good for a completely ungauged method. These are comparable to the best NRMSE scores achieved by the SWOT RSQ algorithms</w:t>
      </w:r>
      <w:r>
        <w:t xml:space="preserve"> </w:t>
      </w:r>
      <w:r>
        <w:t xml:space="preserve">(Frasson et al., 2021)</w:t>
      </w:r>
      <w:r>
        <w:t xml:space="preserve">. Median rBIAS is 0.28, highlighting a positive bias in most rivers’ predictions. This further supports the visual evidence in Figure 4 that sometimes BIKER is overestimating the magnitude of</w:t>
      </w:r>
      <w:r>
        <w:t xml:space="preserve"> </w:t>
      </w:r>
      <m:oMath>
        <m:sSub>
          <m:e>
            <m:r>
              <m:t>k</m:t>
            </m:r>
          </m:e>
          <m:sub>
            <m:r>
              <m:t>600</m:t>
            </m:r>
          </m:sub>
        </m:sSub>
      </m:oMath>
      <w:r>
        <w:t xml:space="preserve"> </w:t>
      </w:r>
      <w:r>
        <w:t xml:space="preserve">and that this might be river-specific. While median</w:t>
      </w:r>
      <w:r>
        <w:t xml:space="preserve"> </w:t>
      </w:r>
      <m:oMath>
        <m:sSup>
          <m:e>
            <m:r>
              <m:t>r</m:t>
            </m:r>
          </m:e>
          <m:sup>
            <m:r>
              <m:t>2</m:t>
            </m:r>
          </m:sup>
        </m:sSup>
      </m:oMath>
      <w:r>
        <w:t xml:space="preserve"> </w:t>
      </w:r>
      <w:r>
        <w:t xml:space="preserve">and rBIAS scores were strong, the ranges of these scores were somewhat large (standard deviation for</w:t>
      </w:r>
      <w:r>
        <w:t xml:space="preserve"> </w:t>
      </w:r>
      <m:oMath>
        <m:sSup>
          <m:e>
            <m:r>
              <m:t>r</m:t>
            </m:r>
          </m:e>
          <m:sup>
            <m:r>
              <m:t>2</m:t>
            </m:r>
          </m:sup>
        </m:sSup>
      </m:oMath>
      <w:r>
        <w:t xml:space="preserve"> </w:t>
      </w:r>
      <w:r>
        <w:t xml:space="preserve">of 0.3 and for rBIAS of 0.56).</w:t>
      </w:r>
    </w:p>
    <w:p>
      <w:pPr>
        <w:pStyle w:val="BodyText"/>
      </w:pPr>
      <w:r>
        <w:t xml:space="preserve">Figure 5b highlights one benefit of using Bayesian inference to estimate</w:t>
      </w:r>
      <w:r>
        <w:t xml:space="preserve"> </w:t>
      </w:r>
      <m:oMath>
        <m:sSub>
          <m:e>
            <m:r>
              <m:t>k</m:t>
            </m:r>
          </m:e>
          <m:sub>
            <m:r>
              <m:t>600</m:t>
            </m:r>
          </m:sub>
        </m:sSub>
      </m:oMath>
      <w:r>
        <w:t xml:space="preserve">: because the posterior is conditional on the SWOT observations, performance should improve with more data. Figure 5b plots by-river NRMSE scores versus the number of SWOT observations. While performance varies considerably when observations are up to ~400, the three rivers with nearly 600 observations universally show excellent BIKER performance, and the worst BIKER performance is universally in rivers with only 12 observations.</w:t>
      </w:r>
    </w:p>
    <w:bookmarkEnd w:id="32"/>
    <w:bookmarkStart w:id="34" w:name="X2312222c7ce781c34f8453c51b3ea518e686078"/>
    <w:p>
      <w:pPr>
        <w:pStyle w:val="Heading2"/>
      </w:pPr>
      <w:r>
        <w:t xml:space="preserve">5 Remotely sensing carbon emissions from rivers</w:t>
      </w:r>
    </w:p>
    <w:p>
      <w:pPr>
        <w:pStyle w:val="FirstParagraph"/>
      </w:pPr>
      <w:r>
        <w:t xml:space="preserve">It is one thing to accurately predict</w:t>
      </w:r>
      <w:r>
        <w:t xml:space="preserve"> </w:t>
      </w:r>
      <w:r>
        <w:rPr>
          <w:iCs/>
          <w:i/>
        </w:rPr>
        <w:t xml:space="preserve">k</w:t>
      </w:r>
      <w:r>
        <w:t xml:space="preserve">, but researchers are often most interested in the actual gas fluxes from rivers and ultimately the carbon emitted from river to atmosphere. Therefore, we also explore 1) BIKER’s ability to reproduce</w:t>
      </w:r>
      <w:r>
        <w:t xml:space="preserve"> </w:t>
      </w:r>
      <m:oMath>
        <m:r>
          <m:t>F</m:t>
        </m:r>
        <m:r>
          <m:t>C</m:t>
        </m:r>
        <m:sSub>
          <m:e>
            <m:r>
              <m:t>O</m:t>
            </m:r>
          </m:e>
          <m:sub>
            <m:r>
              <m:t>2</m:t>
            </m:r>
          </m:sub>
        </m:sSub>
      </m:oMath>
      <w:r>
        <w:t xml:space="preserve"> </w:t>
      </w:r>
      <m:oMath>
        <m:d>
          <m:dPr>
            <m:begChr m:val="["/>
            <m:endChr m:val="]"/>
            <m:sepChr m:val=""/>
            <m:grow/>
          </m:dPr>
          <m:e>
            <m:r>
              <m:t>M</m:t>
            </m:r>
            <m:r>
              <m:rPr>
                <m:sty m:val="p"/>
              </m:rPr>
              <m:t>/</m:t>
            </m:r>
            <m:sSup>
              <m:e>
                <m:r>
                  <m:t>L</m:t>
                </m:r>
              </m:e>
              <m:sup>
                <m:r>
                  <m:t>2</m:t>
                </m:r>
              </m:sup>
            </m:sSup>
            <m:r>
              <m:t>T</m:t>
            </m:r>
          </m:e>
        </m:d>
      </m:oMath>
      <w:r>
        <w:t xml:space="preserve"> </w:t>
      </w:r>
      <w:r>
        <w:t xml:space="preserve">(equation 1) from these 47 rivers, and 2) a comparison of the representative carbon efflux</w:t>
      </w:r>
      <w:r>
        <w:t xml:space="preserve"> </w:t>
      </w:r>
      <m:oMath>
        <m:d>
          <m:dPr>
            <m:begChr m:val="["/>
            <m:endChr m:val="]"/>
            <m:sepChr m:val=""/>
            <m:grow/>
          </m:dPr>
          <m:e>
            <m:r>
              <m:t>M</m:t>
            </m:r>
            <m:r>
              <m:rPr>
                <m:sty m:val="p"/>
              </m:rPr>
              <m:t>/</m:t>
            </m:r>
            <m:r>
              <m:t>T</m:t>
            </m:r>
          </m:e>
        </m:d>
      </m:oMath>
      <w:r>
        <w:t xml:space="preserve"> </w:t>
      </w:r>
      <w:r>
        <w:t xml:space="preserve">from BIKER with established in situ methods. The details of this workflow are in Text S4, but broadly we pair the 26 biweekly</w:t>
      </w:r>
      <w:r>
        <w:t xml:space="preserve"> </w:t>
      </w:r>
      <m:oMath>
        <m:r>
          <m:t>C</m:t>
        </m:r>
        <m:sSub>
          <m:e>
            <m:r>
              <m:t>O</m:t>
            </m:r>
          </m:e>
          <m:sub>
            <m:r>
              <m:t>2</m:t>
            </m:r>
          </m:sub>
        </m:sSub>
      </m:oMath>
      <w:r>
        <w:t xml:space="preserve"> </w:t>
      </w:r>
      <w:r>
        <w:t xml:space="preserve">and water temperature samples (section 2, figure S2) from</w:t>
      </w:r>
      <w:r>
        <w:t xml:space="preserve"> </w:t>
      </w:r>
      <w:r>
        <w:t xml:space="preserve">Beaulieu et al. (2012)</w:t>
      </w:r>
      <w:r>
        <w:t xml:space="preserve"> </w:t>
      </w:r>
      <w:r>
        <w:t xml:space="preserve">with a subset of SWOT observations (as the data are not daily). We then calculate</w:t>
      </w:r>
      <w:r>
        <w:t xml:space="preserve"> </w:t>
      </w:r>
      <m:oMath>
        <m:r>
          <m:t>F</m:t>
        </m:r>
        <m:r>
          <m:t>C</m:t>
        </m:r>
        <m:sSub>
          <m:e>
            <m:r>
              <m:t>O</m:t>
            </m:r>
          </m:e>
          <m:sub>
            <m:r>
              <m:t>2</m:t>
            </m:r>
          </m:sub>
        </m:sSub>
      </m:oMath>
      <w:r>
        <w:t xml:space="preserve"> </w:t>
      </w:r>
      <w:r>
        <w:t xml:space="preserve">using equation 1 and assuming atmospheric</w:t>
      </w:r>
      <w:r>
        <w:t xml:space="preserve"> </w:t>
      </w:r>
      <m:oMath>
        <m:r>
          <m:t>C</m:t>
        </m:r>
        <m:sSub>
          <m:e>
            <m:r>
              <m:t>O</m:t>
            </m:r>
          </m:e>
          <m:sub>
            <m:sSub>
              <m:e>
                <m:r>
                  <m:t>2</m:t>
                </m:r>
              </m:e>
              <m:sub>
                <m:r>
                  <m:t>a</m:t>
                </m:r>
                <m:r>
                  <m:t>i</m:t>
                </m:r>
                <m:r>
                  <m:t>r</m:t>
                </m:r>
              </m:sub>
            </m:sSub>
          </m:sub>
        </m:sSub>
      </m:oMath>
      <w:r>
        <w:t xml:space="preserve"> </w:t>
      </w:r>
      <w:r>
        <w:t xml:space="preserve">is 390 uatm. Finally, we estimate a median bulk carbon efflux using BIKER’s posterior means and three other in situ models for average channel depth (used to calculate</w:t>
      </w:r>
      <w:r>
        <w:t xml:space="preserve"> </w:t>
      </w:r>
      <m:oMath>
        <m:sSub>
          <m:e>
            <m:r>
              <m:t>U</m:t>
            </m:r>
          </m:e>
          <m:sub>
            <m:r>
              <m:rPr>
                <m:sty m:val="p"/>
              </m:rPr>
              <m:t>⋆</m:t>
            </m:r>
          </m:sub>
        </m:sSub>
      </m:oMath>
      <w:r>
        <w:t xml:space="preserve">) used for upscaling: one trained on the</w:t>
      </w:r>
      <w:r>
        <w:t xml:space="preserve"> </w:t>
      </w:r>
      <w:r>
        <w:t xml:space="preserve">Brinkerhoff et al. (2019)</w:t>
      </w:r>
      <w:r>
        <w:t xml:space="preserve"> </w:t>
      </w:r>
      <w:r>
        <w:t xml:space="preserve">dataset, and two previously published models</w:t>
      </w:r>
      <w:r>
        <w:t xml:space="preserve"> </w:t>
      </w:r>
      <w:r>
        <w:t xml:space="preserve">(Raymond et al., 2013; Raymond et al., 2012)</w:t>
      </w:r>
      <w:r>
        <w:t xml:space="preserve">. See Table S3 for their definitions. This allows us to assess whether BIKER’s estimates (wholly ungauged) are comparable to gauged methods (all four HG models).</w:t>
      </w:r>
    </w:p>
    <w:p>
      <w:pPr>
        <w:pStyle w:val="BodyText"/>
      </w:pPr>
      <w:r>
        <w:t xml:space="preserve">In Figure 6a, there is a very strong fit to the observed</w:t>
      </w:r>
      <w:r>
        <w:t xml:space="preserve"> </w:t>
      </w:r>
      <m:oMath>
        <m:r>
          <m:t>F</m:t>
        </m:r>
        <m:r>
          <m:t>C</m:t>
        </m:r>
        <m:sSub>
          <m:e>
            <m:r>
              <m:t>O</m:t>
            </m:r>
          </m:e>
          <m:sub>
            <m:r>
              <m:t>2</m:t>
            </m:r>
          </m:sub>
        </m:sSub>
      </m:oMath>
      <w:r>
        <w:t xml:space="preserve"> </w:t>
      </w:r>
      <w:r>
        <w:t xml:space="preserve">data, with an RMSE of 1.16</w:t>
      </w:r>
      <w:r>
        <w:t xml:space="preserve"> </w:t>
      </w:r>
      <m:oMath>
        <m:r>
          <m:t>g</m:t>
        </m:r>
        <m:r>
          <m:rPr>
            <m:sty m:val="p"/>
          </m:rPr>
          <m:t>/</m:t>
        </m:r>
        <m:sSup>
          <m:e>
            <m:r>
              <m:t>m</m:t>
            </m:r>
          </m:e>
          <m:sup>
            <m:r>
              <m:t>2</m:t>
            </m:r>
          </m:sup>
        </m:sSup>
        <m:r>
          <m:t>d</m:t>
        </m:r>
        <m:r>
          <m:t>y</m:t>
        </m:r>
      </m:oMath>
      <w:r>
        <w:t xml:space="preserve">. The performance is notably better than for</w:t>
      </w:r>
      <w:r>
        <w:t xml:space="preserve"> </w:t>
      </w:r>
      <m:oMath>
        <m:sSub>
          <m:e>
            <m:r>
              <m:t>k</m:t>
            </m:r>
          </m:e>
          <m:sub>
            <m:r>
              <m:t>600</m:t>
            </m:r>
          </m:sub>
        </m:sSub>
      </m:oMath>
      <w:r>
        <w:t xml:space="preserve"> </w:t>
      </w:r>
      <w:r>
        <w:t xml:space="preserve">alone (Figure 4a) and there is no systematic bias in the predictions across all 47 rivers.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Cs/>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slightly narrower than those presented in Figure 4a as well.</w:t>
      </w:r>
    </w:p>
    <w:p>
      <w:pPr>
        <w:pStyle w:val="CaptionedFigure"/>
      </w:pPr>
      <w:r>
        <w:drawing>
          <wp:inline>
            <wp:extent cx="5943600" cy="3962400"/>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models.jpg" id="0" name="Picture"/>
                    <pic:cNvPicPr>
                      <a:picLocks noChangeArrowheads="1" noChangeAspect="1"/>
                    </pic:cNvPicPr>
                  </pic:nvPicPr>
                  <pic:blipFill>
                    <a:blip r:embed="rId3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Figure 6b compares the bulk carbon efflux (via</w:t>
      </w:r>
      <w:r>
        <w:t xml:space="preserve"> </w:t>
      </w:r>
      <m:oMath>
        <m:sSub>
          <m:e>
            <m:r>
              <m:t>F</m:t>
            </m:r>
          </m:e>
          <m:sub>
            <m:r>
              <m:t>C</m:t>
            </m:r>
            <m:sSub>
              <m:e>
                <m:r>
                  <m:t>O</m:t>
                </m:r>
              </m:e>
              <m:sub>
                <m:r>
                  <m:t>2</m:t>
                </m:r>
              </m:sub>
            </m:sSub>
          </m:sub>
        </m:sSub>
      </m:oMath>
      <w:r>
        <w:t xml:space="preserve">) from the 47 rivers using BIKER posterior means and four streamgauge-based HG models. The results are largely equivalent for both the mean and median carbon efflux. Both the BIKER estimate (2.01 gG-C/yr) and the</w:t>
      </w:r>
      <w:r>
        <w:t xml:space="preserve"> </w:t>
      </w:r>
      <w:r>
        <w:t xml:space="preserve">‘</w:t>
      </w:r>
      <w:r>
        <w:t xml:space="preserve">Raymond 2013</w:t>
      </w:r>
      <w:r>
        <w:t xml:space="preserve">’</w:t>
      </w:r>
      <w:r>
        <w:t xml:space="preserve"> </w:t>
      </w:r>
      <w:r>
        <w:t xml:space="preserve">estimate (2.15) are somewhat overestimated relative to the observed flux (1.85). The</w:t>
      </w:r>
      <w:r>
        <w:t xml:space="preserve"> </w:t>
      </w:r>
      <w:r>
        <w:t xml:space="preserve">‘</w:t>
      </w:r>
      <w:r>
        <w:t xml:space="preserve">Brinkerhoff 2019</w:t>
      </w:r>
      <w:r>
        <w:t xml:space="preserve">’</w:t>
      </w:r>
      <w:r>
        <w:t xml:space="preserve"> </w:t>
      </w:r>
      <w:r>
        <w:t xml:space="preserve">model nearly perfectly recovers the observed value (1.81). Finally, the</w:t>
      </w:r>
      <w:r>
        <w:t xml:space="preserve"> </w:t>
      </w:r>
      <w:r>
        <w:t xml:space="preserve">‘</w:t>
      </w:r>
      <w:r>
        <w:t xml:space="preserve">Raymond 2012</w:t>
      </w:r>
      <w:r>
        <w:t xml:space="preserve">’</w:t>
      </w:r>
      <w:r>
        <w:t xml:space="preserve"> </w:t>
      </w:r>
      <w:r>
        <w:t xml:space="preserve">model slightly underestimates this bulk efflux (1.61). Thus, despite BIKER using absolutely no streamgauge or other in situ data like the other 3 methods do, it provides a reasonable estimate of the carbon efflux (Figure 6b).</w:t>
      </w:r>
    </w:p>
    <w:bookmarkEnd w:id="34"/>
    <w:bookmarkStart w:id="38" w:name="discussion"/>
    <w:p>
      <w:pPr>
        <w:pStyle w:val="Heading2"/>
      </w:pPr>
      <w:r>
        <w:t xml:space="preserve">6 Discussion</w:t>
      </w:r>
    </w:p>
    <w:bookmarkStart w:id="35" w:name="X60a08cd6d30732f18132291fa809b270bc23635"/>
    <w:p>
      <w:pPr>
        <w:pStyle w:val="Heading3"/>
      </w:pPr>
      <w:r>
        <w:t xml:space="preserve">6.1 Gas exchange along the stream-to-ocean continumn</w:t>
      </w:r>
    </w:p>
    <w:p>
      <w:pPr>
        <w:pStyle w:val="FirstParagraph"/>
      </w:pPr>
      <w:r>
        <w:t xml:space="preserve">Field studies of gas exchange in wide rivers have suggested that their</w:t>
      </w:r>
      <w:r>
        <w:t xml:space="preserve"> </w:t>
      </w:r>
      <w:r>
        <w:rPr>
          <w:iCs/>
          <w:i/>
        </w:rPr>
        <w:t xml:space="preserve">k</w:t>
      </w:r>
      <w:r>
        <w:t xml:space="preserve"> </w:t>
      </w:r>
      <w:r>
        <w:t xml:space="preserve">properties behave differently than in steeper and smaller rivers</w:t>
      </w:r>
      <w:r>
        <w:t xml:space="preserve"> </w:t>
      </w:r>
      <w:r>
        <w:t xml:space="preserve">(Alin et al., 2011; Beaulieu et al., 2012; Ulseth et al., 2019; Wang et al., 2021)</w:t>
      </w:r>
      <w:r>
        <w:t xml:space="preserve">. While it has been shown that the small-eddy model is reasonably valid across most rivers</w:t>
      </w:r>
      <w:r>
        <w:t xml:space="preserve"> </w:t>
      </w:r>
      <w:r>
        <w:t xml:space="preserve">(Wang et al., 2021)</w:t>
      </w:r>
      <w:r>
        <w:t xml:space="preserve">, it has yet to be seen why and when form-drag dissipation is similar to near-surface dissipation in the context of</w:t>
      </w:r>
      <w:r>
        <w:t xml:space="preserve"> </w:t>
      </w:r>
      <w:r>
        <w:rPr>
          <w:iCs/>
          <w:i/>
        </w:rPr>
        <w:t xml:space="preserve">k</w:t>
      </w:r>
      <w:r>
        <w:t xml:space="preserve">. In section 3 we show that the geomorphic concept of channel efficiency can explain when this is the case or not (Figure 3a). In extremely inefficient channels, the</w:t>
      </w:r>
      <w:r>
        <w:t xml:space="preserve"> </w:t>
      </w:r>
      <w:r>
        <w:t xml:space="preserve">‘</w:t>
      </w:r>
      <w:r>
        <w:t xml:space="preserve">small-eddy</w:t>
      </w:r>
      <w:r>
        <w:t xml:space="preserve">’</w:t>
      </w:r>
      <w:r>
        <w:t xml:space="preserve"> </w:t>
      </w:r>
      <w:r>
        <w:t xml:space="preserve">model is physically valid in flowing water environments as confirmed in Figures 3b and 3c. This has significant implications for how we understand shear and turbulence in rivers and their influence on</w:t>
      </w:r>
      <w:r>
        <w:t xml:space="preserve"> </w:t>
      </w:r>
      <w:r>
        <w:rPr>
          <w:iCs/>
          <w:i/>
        </w:rPr>
        <w:t xml:space="preserve">k</w:t>
      </w:r>
      <w:r>
        <w:t xml:space="preserve">, as compared to environments where bottom-shear dominates (like lakes or oceans).</w:t>
      </w:r>
    </w:p>
    <w:p>
      <w:pPr>
        <w:pStyle w:val="BodyText"/>
      </w:pPr>
      <w:r>
        <w:t xml:space="preserve">Wang et al. (2021)</w:t>
      </w:r>
      <w:r>
        <w:t xml:space="preserve"> </w:t>
      </w:r>
      <w:r>
        <w:t xml:space="preserve">proposed a conceptual model for fluvial</w:t>
      </w:r>
      <w:r>
        <w:t xml:space="preserve"> </w:t>
      </w:r>
      <w:r>
        <w:rPr>
          <w:iCs/>
          <w:i/>
        </w:rPr>
        <w:t xml:space="preserve">k</w:t>
      </w:r>
      <w:r>
        <w:t xml:space="preserve"> </w:t>
      </w:r>
      <w:r>
        <w:t xml:space="preserve">where</w:t>
      </w:r>
      <w:r>
        <w:t xml:space="preserve"> </w:t>
      </w:r>
      <w:r>
        <w:rPr>
          <w:iCs/>
          <w:i/>
        </w:rPr>
        <w:t xml:space="preserve">k</w:t>
      </w:r>
      <w:r>
        <w:t xml:space="preserve"> </w:t>
      </w:r>
      <w:r>
        <w:t xml:space="preserve">is dominated by bottom shear in small streams while in large rivers</w:t>
      </w:r>
      <w:r>
        <w:t xml:space="preserve"> </w:t>
      </w:r>
      <w:r>
        <w:rPr>
          <w:iCs/>
          <w:i/>
        </w:rPr>
        <w:t xml:space="preserve">k</w:t>
      </w:r>
      <w:r>
        <w:t xml:space="preserve"> </w:t>
      </w:r>
      <w:r>
        <w:t xml:space="preserve">is also affected by wind, biota, etc. This builds on the</w:t>
      </w:r>
      <w:r>
        <w:t xml:space="preserve"> </w:t>
      </w:r>
      <w:r>
        <w:t xml:space="preserve">(Ulseth et al., 2019)</w:t>
      </w:r>
      <w:r>
        <w:t xml:space="preserve"> </w:t>
      </w:r>
      <w:r>
        <w:t xml:space="preserve">finding that steep,</w:t>
      </w:r>
      <w:r>
        <w:t xml:space="preserve"> </w:t>
      </w:r>
      <w:r>
        <w:t xml:space="preserve">‘</w:t>
      </w:r>
      <w:r>
        <w:t xml:space="preserve">high-energy</w:t>
      </w:r>
      <w:r>
        <w:t xml:space="preserve">’</w:t>
      </w:r>
      <w:r>
        <w:t xml:space="preserve"> </w:t>
      </w:r>
      <w:r>
        <w:t xml:space="preserve">streams have a fundamentally different</w:t>
      </w:r>
      <w:r>
        <w:t xml:space="preserve"> </w:t>
      </w:r>
      <m:oMath>
        <m:sSub>
          <m:e>
            <m:r>
              <m:t>k</m:t>
            </m:r>
          </m:e>
          <m:sub>
            <m:r>
              <m:t>600</m:t>
            </m:r>
          </m:sub>
        </m:sSub>
        <m:r>
          <m:rPr>
            <m:sty m:val="p"/>
          </m:rPr>
          <m:t>∼</m:t>
        </m:r>
        <m:sSub>
          <m:e>
            <m:r>
              <m:t>ϵ</m:t>
            </m:r>
          </m:e>
          <m:sub>
            <m:r>
              <m:t>D</m:t>
            </m:r>
          </m:sub>
        </m:sSub>
      </m:oMath>
      <w:r>
        <w:t xml:space="preserve"> </w:t>
      </w:r>
      <w:r>
        <w:t xml:space="preserve">relationship than less steep rivers and this may be due to the presence of bubble-mediated gas exchange and massive roughness elements in small mountain streams. Taking both of these models, along with our results, in aggregate, we suggest a combined conceptual model that follows the geomorphic concept of the</w:t>
      </w:r>
      <w:r>
        <w:t xml:space="preserve"> </w:t>
      </w:r>
      <w:r>
        <w:t xml:space="preserve">‘</w:t>
      </w:r>
      <w:r>
        <w:t xml:space="preserve">river longitudinal profile</w:t>
      </w:r>
      <w:r>
        <w:t xml:space="preserve">’</w:t>
      </w:r>
      <w:r>
        <w:t xml:space="preserve"> </w:t>
      </w:r>
      <w:r>
        <w:t xml:space="preserve">and is outlined in Figure 7. Small streams are steep, rough, and highly efficient channels that evacuate all but the largest sediment leaving a very rough riverbed. These small streams likely have strong</w:t>
      </w:r>
      <w:r>
        <w:t xml:space="preserve"> </w:t>
      </w:r>
      <w:r>
        <w:rPr>
          <w:iCs/>
          <w:i/>
        </w:rPr>
        <w:t xml:space="preserve">k</w:t>
      </w:r>
      <w:r>
        <w:t xml:space="preserve">~hydraulics relationships and surface turbulence is dominated by their huge bed roughness. However, as one moves down the stream-to-ocean continumn, river channels get wider, flatter, relatively more frictional, and far less efficient at evacuating sediment. This means there is a concurrent fining of the riverbed and an increase in form-drag. In these largest rivers, form-drag starts dominating the</w:t>
      </w:r>
      <w:r>
        <w:t xml:space="preserve"> </w:t>
      </w:r>
      <w:r>
        <w:rPr>
          <w:iCs/>
          <w:i/>
        </w:rPr>
        <w:t xml:space="preserve">k</w:t>
      </w:r>
      <w:r>
        <w:t xml:space="preserve">~hydraulics relationship rather than bed roughness. While wind certainly also plays a role in</w:t>
      </w:r>
      <w:r>
        <w:t xml:space="preserve"> </w:t>
      </w:r>
      <w:r>
        <w:rPr>
          <w:iCs/>
          <w:i/>
        </w:rPr>
        <w:t xml:space="preserve">k</w:t>
      </w:r>
      <w:r>
        <w:t xml:space="preserve"> </w:t>
      </w:r>
      <w:r>
        <w:t xml:space="preserve">in these large rivers</w:t>
      </w:r>
      <w:r>
        <w:t xml:space="preserve"> </w:t>
      </w:r>
      <w:r>
        <w:t xml:space="preserve">(particuarly at higher winds- Beaulieu et al., 2012)</w:t>
      </w:r>
      <w:r>
        <w:t xml:space="preserve">, we show here that for maximally inefficient river channels form-drag alone can reasonably predict</w:t>
      </w:r>
      <w:r>
        <w:t xml:space="preserve"> </w:t>
      </w:r>
      <m:oMath>
        <m:sSub>
          <m:e>
            <m:r>
              <m:t>k</m:t>
            </m:r>
          </m:e>
          <m:sub>
            <m:r>
              <m:t>600</m:t>
            </m:r>
          </m:sub>
        </m:sSub>
      </m:oMath>
      <w:r>
        <w:t xml:space="preserve">. The relationship between form-drag dissipation and wind is left to future work.</w:t>
      </w:r>
    </w:p>
    <w:p>
      <w:pPr>
        <w:pStyle w:val="BodyText"/>
      </w:pPr>
      <w:r>
        <w:t xml:space="preserve">Finally, this is to our knowledge the first empirical confirmation that the chainsaw model is valid in rivers (at least hydraulically-wide ones). Future tests should be performed to explore it’s feasibility in smaller streams and/or other aquatic environments where turbulence is generally lower. We are not accounting for dissipation generated via wind shear, as none of these hydraulics-driven gas exchange models do. We suspect that this model will be less representative in less-sheletered rivers where wind becomes a driving factor of gas exchange rates, however this model setup is a good start towards coupling hydraulics-driven gas exchange with wind-driven gas exchange. Such a model would likely take a form similar to the conceptual model proposed by</w:t>
      </w:r>
      <w:r>
        <w:t xml:space="preserve"> </w:t>
      </w:r>
      <w:r>
        <w:t xml:space="preserve">Wang et al. (2021)</w:t>
      </w:r>
      <w:r>
        <w:t xml:space="preserve">.</w:t>
      </w:r>
    </w:p>
    <w:bookmarkEnd w:id="35"/>
    <w:bookmarkStart w:id="36" w:name="Xd2410a5e0ba373a02ac9e9af617a65f67102686"/>
    <w:p>
      <w:pPr>
        <w:pStyle w:val="Heading3"/>
      </w:pPr>
      <w:r>
        <w:t xml:space="preserve">6.2 Towards remote sensing of global spatiotemporal dynamics of</w:t>
      </w:r>
      <w:r>
        <w:t xml:space="preserve"> </w:t>
      </w:r>
      <w:r>
        <w:rPr>
          <w:iCs/>
          <w:i/>
        </w:rPr>
        <w:t xml:space="preserve">k</w:t>
      </w:r>
      <w:r>
        <w:t xml:space="preserve"> </w:t>
      </w:r>
      <w:r>
        <w:t xml:space="preserve">in large rivers</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Cs/>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w:t>
      </w:r>
    </w:p>
    <w:p>
      <w:pPr>
        <w:pStyle w:val="BodyText"/>
      </w:pPr>
      <w:r>
        <w:t xml:space="preserve">Therefore, estimating</w:t>
      </w:r>
      <w:r>
        <w:t xml:space="preserve"> </w:t>
      </w:r>
      <w:r>
        <w:rPr>
          <w:iCs/>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4 and 5) and 2) being robust to measurement errors internal to the SWOT data (Figure 5) bode well for BIKER’s eventual implementation on real SWOT observations. Further, BIKER’s improved performance with longer datasets (Figure 5b) bodes well for future SWOT implementation, as the three-year campaign will provide well north of 600 observations for many rivers, suggesting even better BIKER inversions than those presented here. All of this suggests that daily estimation of riverine gas exchange globally could be possible once SWOT launches.</w:t>
      </w:r>
    </w:p>
    <w:bookmarkEnd w:id="36"/>
    <w:bookmarkStart w:id="37" w:name="Xf75520f388a635bd3e085c281e018b0321b74c5"/>
    <w:p>
      <w:pPr>
        <w:pStyle w:val="Heading3"/>
      </w:pPr>
      <w:r>
        <w:t xml:space="preserve">6.3 Towards remotely sensing riverine carbon emissions using SWOT</w:t>
      </w:r>
    </w:p>
    <w:p>
      <w:pPr>
        <w:pStyle w:val="FirstParagraph"/>
      </w:pPr>
      <w:r>
        <w:t xml:space="preserve">Figure 6 confirms that BIKER is quite successful, without any in situ information aside from a</w:t>
      </w:r>
      <w:r>
        <w:t xml:space="preserve"> </w:t>
      </w:r>
      <m:oMath>
        <m:r>
          <m:t>C</m:t>
        </m:r>
        <m:sSub>
          <m:e>
            <m:r>
              <m:t>O</m:t>
            </m:r>
          </m:e>
          <m:sub>
            <m:r>
              <m:t>2</m:t>
            </m:r>
          </m:sub>
        </m:sSub>
      </m:oMath>
      <w:r>
        <w:t xml:space="preserve"> </w:t>
      </w:r>
      <w:r>
        <w:t xml:space="preserve">logger, at predicting both</w:t>
      </w:r>
      <w:r>
        <w:t xml:space="preserve"> </w:t>
      </w:r>
      <m:oMath>
        <m:r>
          <m:t>F</m:t>
        </m:r>
        <m:r>
          <m:t>C</m:t>
        </m:r>
        <m:sSub>
          <m:e>
            <m:r>
              <m:t>O</m:t>
            </m:r>
          </m:e>
          <m:sub>
            <m:r>
              <m:t>2</m:t>
            </m:r>
          </m:sub>
        </m:sSub>
      </m:oMath>
      <w:r>
        <w:t xml:space="preserve"> </w:t>
      </w:r>
      <w:r>
        <w:t xml:space="preserve">(Figure 6a) and 2) the bulk carbon efflux (Figure 6b). This encouraging result has two main implications for future work coupling remote sensing via SWOT with in situ data. First, it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This is particualry useful given recent advances in in situ gas concentration loggers</w:t>
      </w:r>
      <w:r>
        <w:t xml:space="preserve"> </w:t>
      </w:r>
      <w:r>
        <w:t xml:space="preserve">(Aho et al., 2021)</w:t>
      </w:r>
      <w:r>
        <w:t xml:space="preserve"> </w:t>
      </w:r>
      <w:r>
        <w:t xml:space="preserve">but no such similar advances in modeling</w:t>
      </w:r>
      <w:r>
        <w:t xml:space="preserve"> </w:t>
      </w:r>
      <w:r>
        <w:rPr>
          <w:iCs/>
          <w:i/>
        </w:rPr>
        <w:t xml:space="preserve">k</w:t>
      </w:r>
      <w:r>
        <w:t xml:space="preserve"> </w:t>
      </w:r>
      <w:r>
        <w:t xml:space="preserve">at equivalent temporal resolutions. BIKER can likely also be ran at the field scale using arrays of pressure transducers to estimate water surface slope (rather than using satellite-based altimeters like SWOT) following recent work doing the same using the</w:t>
      </w:r>
      <w:r>
        <w:t xml:space="preserve"> </w:t>
      </w:r>
      <w:r>
        <w:t xml:space="preserve">Hagemann et al. (2017)</w:t>
      </w:r>
      <w:r>
        <w:t xml:space="preserve"> </w:t>
      </w:r>
      <w:r>
        <w:t xml:space="preserve">RSQ algorithm</w:t>
      </w:r>
      <w:r>
        <w:t xml:space="preserve"> </w:t>
      </w:r>
      <w:r>
        <w:t xml:space="preserve">(Harlan et al., 2021)</w:t>
      </w:r>
      <w:r>
        <w:t xml:space="preserve">.</w:t>
      </w:r>
    </w:p>
    <w:p>
      <w:pPr>
        <w:pStyle w:val="BodyText"/>
      </w:pPr>
      <w:r>
        <w:t xml:space="preserve">Secondly, it is important to stress that unlike BIKER, the HG models in Figure 6b rely on an in situ streamgauge. This means that Figure 6b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fluvial</w:t>
      </w:r>
      <w:r>
        <w:t xml:space="preserve"> </w:t>
      </w:r>
      <m:oMath>
        <m:r>
          <m:t>F</m:t>
        </m:r>
        <m:r>
          <m:t>C</m:t>
        </m:r>
        <m:sSub>
          <m:e>
            <m:r>
              <m:t>O</m:t>
            </m:r>
          </m:e>
          <m:sub>
            <m:r>
              <m:t>2</m:t>
            </m:r>
          </m:sub>
        </m:sSub>
      </m:oMath>
      <w:r>
        <w:t xml:space="preserve"> </w:t>
      </w:r>
      <w:r>
        <w:t xml:space="preserve">upscaling studies [e.g.</w:t>
      </w:r>
      <w:r>
        <w:t xml:space="preserve"> </w:t>
      </w:r>
      <w:r>
        <w:t xml:space="preserve">Lauerwald et al. (2015)</w:t>
      </w:r>
      <w:r>
        <w:t xml:space="preserve">;</w:t>
      </w:r>
      <w:r>
        <w:t xml:space="preserve"> </w:t>
      </w:r>
      <w:r>
        <w:t xml:space="preserve">Horgby et al. (2019)</w:t>
      </w:r>
      <w:r>
        <w:t xml:space="preserve">;</w:t>
      </w:r>
      <w:r>
        <w:t xml:space="preserve"> </w:t>
      </w:r>
      <w:r>
        <w:t xml:space="preserve">Raymond et al. (2013)</w:t>
      </w:r>
      <w:r>
        <w:t xml:space="preserve">;</w:t>
      </w:r>
      <w:r>
        <w:t xml:space="preserve"> </w:t>
      </w:r>
      <w:r>
        <w:rPr>
          <w:bCs/>
          <w:b/>
        </w:rPr>
        <w:t xml:space="preserve">Liu et al in reivew</w:t>
      </w:r>
      <w:r>
        <w:t xml:space="preserve">].</w:t>
      </w:r>
    </w:p>
    <w:p>
      <w:pPr>
        <w:pStyle w:val="BodyText"/>
      </w:pPr>
      <w:r>
        <w:t xml:space="preserve">Figure 6b also confirms that the training data used for HG models exerts a significant influence on upscaled carbon emissions from rivers. In Figure 6b there is a nearly 0.5 Tg-C range between estimates, which is significant and nearly entirely a function of the data used to fit these depth HG models. In this context, the</w:t>
      </w:r>
      <w:r>
        <w:t xml:space="preserve"> </w:t>
      </w:r>
      <w:r>
        <w:t xml:space="preserve">‘</w:t>
      </w:r>
      <w:r>
        <w:t xml:space="preserve">Brinkerhoff 2019</w:t>
      </w:r>
      <w:r>
        <w:t xml:space="preserve">’</w:t>
      </w:r>
      <w:r>
        <w:t xml:space="preserve"> </w:t>
      </w:r>
      <w:r>
        <w:t xml:space="preserve">model likely outperforms both</w:t>
      </w:r>
      <w:r>
        <w:t xml:space="preserve"> </w:t>
      </w:r>
      <w:r>
        <w:t xml:space="preserve">‘</w:t>
      </w:r>
      <w:r>
        <w:t xml:space="preserve">Raymond models</w:t>
      </w:r>
      <w:r>
        <w:t xml:space="preserve">’</w:t>
      </w:r>
      <w:r>
        <w:t xml:space="preserve"> </w:t>
      </w:r>
      <w:r>
        <w:t xml:space="preserve">because the training data is orders of magnitude larger and more geomorphically varied than those used in the</w:t>
      </w:r>
      <w:r>
        <w:t xml:space="preserve"> </w:t>
      </w:r>
      <w:r>
        <w:t xml:space="preserve">‘</w:t>
      </w:r>
      <w:r>
        <w:t xml:space="preserve">Raymond</w:t>
      </w:r>
      <w:r>
        <w:t xml:space="preserve">’</w:t>
      </w:r>
      <w:r>
        <w:t xml:space="preserve"> </w:t>
      </w:r>
      <w:r>
        <w:t xml:space="preserve">models (530,945 measurements versus 1,026 and 10837 measurements). Meanwhile, BIKER has no similar reliance on hydraulic parameters trained on different datasets and only assumes that</w:t>
      </w:r>
      <w:r>
        <w:t xml:space="preserve"> </w:t>
      </w:r>
      <w:r>
        <w:rPr>
          <w:iCs/>
          <w:i/>
        </w:rPr>
        <w:t xml:space="preserve">dA</w:t>
      </w:r>
      <w:r>
        <w:t xml:space="preserve"> </w:t>
      </w:r>
      <w:r>
        <w:t xml:space="preserve">can be calculated by assuming a rectangular river channel. Upon SWOT’s launch, the BIKER approach to estimating</w:t>
      </w:r>
      <w:r>
        <w:t xml:space="preserve"> </w:t>
      </w:r>
      <w:r>
        <w:rPr>
          <w:iCs/>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Cs/>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bookmarkEnd w:id="37"/>
    <w:bookmarkEnd w:id="38"/>
    <w:bookmarkStart w:id="39" w:name="conclusions"/>
    <w:p>
      <w:pPr>
        <w:pStyle w:val="Heading2"/>
      </w:pPr>
      <w:r>
        <w:t xml:space="preserve">7 Conclusions</w:t>
      </w:r>
    </w:p>
    <w:p>
      <w:pPr>
        <w:pStyle w:val="FirstParagraph"/>
      </w:pPr>
      <w:r>
        <w:t xml:space="preserve">Gas exchange from aquatic systems has been studied for nearly a century, with a robust model (equation 2) that has been repeatedly verified across many non-fluvial environments. Despite renewed interest in fluvial gas exchange in the last decade or so, there are considerable uncertainties in how we model the gas exchange velocity in river environments and particularly in large rivers where wind increasingly influences</w:t>
      </w:r>
      <w:r>
        <w:t xml:space="preserve"> </w:t>
      </w:r>
      <w:r>
        <w:rPr>
          <w:iCs/>
          <w:i/>
        </w:rPr>
        <w:t xml:space="preserve">k</w:t>
      </w:r>
      <w:r>
        <w:t xml:space="preserve">. Here, we show algebraically that TKE budgets in big rivers exist in a local equilbrium at the free surface and that we can equivalently scale</w:t>
      </w:r>
      <w:r>
        <w:t xml:space="preserve"> </w:t>
      </w:r>
      <w:r>
        <w:rPr>
          <w:iCs/>
          <w:i/>
        </w:rPr>
        <w:t xml:space="preserve">k</w:t>
      </w:r>
      <w:r>
        <w:t xml:space="preserve"> </w:t>
      </w:r>
      <w:r>
        <w:t xml:space="preserve">using any characteristic turbulence scale. We validate this using over 530,000 measurements of river channel hydraulics and over 700 discrete measurements of the normalized gas exchange velocity</w:t>
      </w:r>
      <w:r>
        <w:t xml:space="preserve"> </w:t>
      </w:r>
      <m:oMath>
        <m:sSub>
          <m:e>
            <m:r>
              <m:t>k</m:t>
            </m:r>
          </m:e>
          <m:sub>
            <m:r>
              <m:t>600</m:t>
            </m:r>
          </m:sub>
        </m:sSub>
      </m:oMath>
      <w:r>
        <w:t xml:space="preserve">. We then exploit this finding to remotely sense</w:t>
      </w:r>
      <w:r>
        <w:t xml:space="preserve"> </w:t>
      </w:r>
      <m:oMath>
        <m:sSub>
          <m:e>
            <m:r>
              <m:t>k</m:t>
            </m:r>
          </m:e>
          <m:sub>
            <m:r>
              <m:t>600</m:t>
            </m:r>
          </m:sub>
        </m:sSub>
      </m:oMath>
      <w:r>
        <w:t xml:space="preserve"> </w:t>
      </w:r>
      <w:r>
        <w:t xml:space="preserve">using simulated data that will be provided by the forthcoming SWOT satellite, showing good performance and relying on absoutely no on-the-ground information. Finally, we pair this algorithm (named</w:t>
      </w:r>
      <w:r>
        <w:t xml:space="preserve"> </w:t>
      </w:r>
      <w:r>
        <w:t xml:space="preserve">‘</w:t>
      </w:r>
      <w:r>
        <w:t xml:space="preserve">BIKER</w:t>
      </w:r>
      <w:r>
        <w:t xml:space="preserve">’</w:t>
      </w:r>
      <w:r>
        <w:t xml:space="preserve">) with an in situ</w:t>
      </w:r>
      <w:r>
        <w:t xml:space="preserve"> </w:t>
      </w:r>
      <m:oMath>
        <m:r>
          <m:t>C</m:t>
        </m:r>
        <m:sSub>
          <m:e>
            <m:r>
              <m:t>O</m:t>
            </m:r>
          </m:e>
          <m:sub>
            <m:r>
              <m:t>2</m:t>
            </m:r>
          </m:sub>
        </m:sSub>
      </m:oMath>
      <w:r>
        <w:t xml:space="preserve"> </w:t>
      </w:r>
      <w:r>
        <w:t xml:space="preserve">logger and show strong performance in reproducing</w:t>
      </w:r>
      <w:r>
        <w:t xml:space="preserve"> </w:t>
      </w:r>
      <m:oMath>
        <m:r>
          <m:t>C</m:t>
        </m:r>
        <m:sSub>
          <m:e>
            <m:r>
              <m:t>O</m:t>
            </m:r>
          </m:e>
          <m:sub>
            <m:r>
              <m:t>2</m:t>
            </m:r>
          </m:sub>
        </m:sSub>
      </m:oMath>
      <w:r>
        <w:t xml:space="preserve"> </w:t>
      </w:r>
      <w:r>
        <w:t xml:space="preserve">evasion fluxes and carbon efflux from the rivers’ surfaces.</w:t>
      </w:r>
    </w:p>
    <w:p>
      <w:pPr>
        <w:pStyle w:val="BodyText"/>
      </w:pPr>
      <w:r>
        <w:t xml:space="preserve">These strong results functionally open the door for global-scale, near daily estimates of fluvial gas exchange velocity once SWOT launches in 2022. This unprecedented amount of data should allow for significant insights into both the mechanistic and temporal dynamics of fluvial gas exchange in large rivers around the world. This, in turn, should allow us to better parameterize upscaling workflows such that the global fluvial carbon flux is better constrained.</w:t>
      </w:r>
    </w:p>
    <w:bookmarkEnd w:id="39"/>
    <w:bookmarkStart w:id="42" w:name="acknowledgements"/>
    <w:p>
      <w:pPr>
        <w:pStyle w:val="Heading2"/>
      </w:pPr>
      <w:r>
        <w:t xml:space="preserve">8 Acknowledgements</w:t>
      </w:r>
    </w:p>
    <w:p>
      <w:pPr>
        <w:pStyle w:val="FirstParagraph"/>
      </w:pPr>
      <w:r>
        <w:t xml:space="preserve">C.B. Brinkerhoff was funded on</w:t>
      </w:r>
      <w:r>
        <w:t xml:space="preserve"> </w:t>
      </w:r>
      <w:r>
        <w:rPr>
          <w:bCs/>
          <w:b/>
        </w:rPr>
        <w:t xml:space="preserve">FINESST babyyyy</w:t>
      </w:r>
      <w:r>
        <w:t xml:space="preserve">. BIKER is available at</w:t>
      </w:r>
      <w:r>
        <w:t xml:space="preserve"> </w:t>
      </w:r>
      <w:hyperlink r:id="rId40">
        <w:r>
          <w:rPr>
            <w:rStyle w:val="Hyperlink"/>
          </w:rPr>
          <w:t xml:space="preserve">https://github.com/craigbrinkerhoff/BIKER</w:t>
        </w:r>
      </w:hyperlink>
      <w:r>
        <w:t xml:space="preserve">. All code to build and generate results, figures, and the manuscript is available at</w:t>
      </w:r>
      <w:r>
        <w:t xml:space="preserve"> </w:t>
      </w:r>
      <w:hyperlink r:id="rId41">
        <w:r>
          <w:rPr>
            <w:rStyle w:val="Hyperlink"/>
          </w:rPr>
          <w:t xml:space="preserve">https://github.com/craigbrinkerhoff/RSK600</w:t>
        </w:r>
      </w:hyperlink>
      <w:r>
        <w:t xml:space="preserve">. We thank Renato Frasson, Michael Durand, Amber Ulseth, and Jake Beaulieu for generously making their data available for this study. We also thank the entire SWOT discharge working group for their decade-plus body of work which inspired this study.</w:t>
      </w:r>
    </w:p>
    <w:bookmarkEnd w:id="42"/>
    <w:bookmarkStart w:id="43" w:name="apendix-a"/>
    <w:p>
      <w:pPr>
        <w:pStyle w:val="Heading2"/>
      </w:pPr>
      <w:r>
        <w:t xml:space="preserve">9 Apendix A</w:t>
      </w:r>
    </w:p>
    <w:p>
      <w:pPr>
        <w:pStyle w:val="FirstParagraph"/>
      </w:pPr>
      <w:r>
        <w:rPr>
          <w:iCs/>
          <w:i/>
        </w:rPr>
        <w:t xml:space="preserve">Table A1: Variable description and notation for this study.</w:t>
      </w:r>
    </w:p>
    <w:tbl>
      <w:tblPr>
        <w:tblStyle w:val="Table"/>
        <w:tblW w:type="pct" w:w="5000"/>
        <w:tblLook w:firstRow="1" w:lastRow="0" w:firstColumn="0" w:lastColumn="0" w:noHBand="0" w:noVBand="0" w:val="0020"/>
      </w:tblPr>
      <w:tblGrid>
        <w:gridCol w:w="1418"/>
        <w:gridCol w:w="1773"/>
        <w:gridCol w:w="3664"/>
        <w:gridCol w:w="1063"/>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c>
          <w:tcPr/>
          <w:p>
            <w:pPr>
              <w:pStyle w:val="Compact"/>
              <w:jc w:val="left"/>
            </w:pPr>
            <w:r>
              <w:rPr>
                <w:bCs/>
                <w:b/>
              </w:rPr>
              <w:t xml:space="preserve">Calculation (if applicable)</w:t>
            </w:r>
          </w:p>
        </w:tc>
        <w:tc>
          <w:tcPr/>
          <w:p>
            <w:pPr>
              <w:pStyle w:val="Compact"/>
              <w:jc w:val="left"/>
            </w:pPr>
            <w:r>
              <w:rPr>
                <w:bCs/>
                <w:b/>
              </w:rPr>
              <w:t xml:space="preserve">Units</w:t>
            </w:r>
          </w:p>
        </w:tc>
      </w:tr>
      <w:tr>
        <w:tc>
          <w:tcPr/>
          <w:p>
            <w:pPr>
              <w:pStyle w:val="Compact"/>
              <w:jc w:val="left"/>
            </w:pPr>
            <w:r>
              <w:rPr>
                <w:iCs/>
                <w:i/>
              </w:rPr>
              <w:t xml:space="preserve">A</w:t>
            </w:r>
          </w:p>
        </w:tc>
        <w:tc>
          <w:tcPr/>
          <w:p>
            <w:pPr>
              <w:pStyle w:val="Compact"/>
              <w:jc w:val="left"/>
            </w:pPr>
            <w:r>
              <w:t xml:space="preserve">Channel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w:r>
              <w:rPr>
                <w:iCs/>
                <w:i/>
              </w:rPr>
              <w:t xml:space="preserve">Bulk carbon efflux</w:t>
            </w:r>
          </w:p>
        </w:tc>
        <w:tc>
          <w:tcPr/>
          <w:p>
            <w:pPr>
              <w:pStyle w:val="Compact"/>
              <w:jc w:val="left"/>
            </w:pPr>
            <w:r>
              <w:t xml:space="preserve">carbon mass transport rate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r>
                        <m:t>T</m:t>
                      </m:r>
                    </m:den>
                  </m:f>
                </m:e>
              </m:d>
            </m:oMath>
          </w:p>
        </w:tc>
      </w:tr>
      <w:tr>
        <w:tc>
          <w:tcPr/>
          <w:p>
            <w:pPr>
              <w:pStyle w:val="Compact"/>
              <w:jc w:val="left"/>
            </w:pPr>
            <m:oMath>
              <m:r>
                <m:t>C</m:t>
              </m:r>
              <m:sSub>
                <m:e>
                  <m:r>
                    <m:t>O</m:t>
                  </m:r>
                </m:e>
                <m:sub>
                  <m:sSub>
                    <m:e>
                      <m:r>
                        <m:t>2</m:t>
                      </m:r>
                    </m:e>
                    <m:sub>
                      <m:r>
                        <m:t>w</m:t>
                      </m:r>
                      <m:r>
                        <m:t>a</m:t>
                      </m:r>
                      <m:r>
                        <m:t>t</m:t>
                      </m:r>
                      <m:r>
                        <m:t>e</m:t>
                      </m:r>
                      <m:r>
                        <m:t>r</m:t>
                      </m:r>
                    </m:sub>
                  </m:sSub>
                </m:sub>
              </m:sSub>
            </m:oMath>
          </w:p>
        </w:tc>
        <w:tc>
          <w:tcPr/>
          <w:p>
            <w:pPr>
              <w:pStyle w:val="Compact"/>
              <w:jc w:val="left"/>
            </w:pPr>
            <w:r>
              <w:t xml:space="preserve">Water-side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C</m:t>
              </m:r>
              <m:sSub>
                <m:e>
                  <m:r>
                    <m:t>O</m:t>
                  </m:r>
                </m:e>
                <m:sub>
                  <m:sSub>
                    <m:e>
                      <m:r>
                        <m:t>2</m:t>
                      </m:r>
                    </m:e>
                    <m:sub>
                      <m:r>
                        <m:t>a</m:t>
                      </m:r>
                      <m:r>
                        <m:t>i</m:t>
                      </m:r>
                      <m:r>
                        <m:t>r</m:t>
                      </m:r>
                    </m:sub>
                  </m:sSub>
                </m:sub>
              </m:sSub>
            </m:oMath>
          </w:p>
        </w:tc>
        <w:tc>
          <w:tcPr/>
          <w:p>
            <w:pPr>
              <w:pStyle w:val="Compact"/>
              <w:jc w:val="left"/>
            </w:pPr>
            <w:r>
              <w:t xml:space="preserve">Atmospheric-side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sSub>
                <m:e>
                  <m:r>
                    <m:t>D</m:t>
                  </m:r>
                </m:e>
                <m:sub>
                  <m:r>
                    <m:t>m</m:t>
                  </m:r>
                </m:sub>
              </m:sSub>
            </m:oMath>
          </w:p>
        </w:tc>
        <w:tc>
          <w:tcPr/>
          <w:p>
            <w:pPr>
              <w:pStyle w:val="Compact"/>
              <w:jc w:val="left"/>
            </w:pPr>
            <w:r>
              <w:t xml:space="preserve">Molecular diffusion coefficient</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sSub>
                <m:e>
                  <m:r>
                    <m:t>ϵ</m:t>
                  </m:r>
                </m:e>
                <m:sub>
                  <m:r>
                    <m:t>S</m:t>
                  </m:r>
                </m:sub>
              </m:sSub>
            </m:oMath>
          </w:p>
        </w:tc>
        <w:tc>
          <w:tcPr/>
          <w:p>
            <w:pPr>
              <w:pStyle w:val="Compact"/>
              <w:jc w:val="left"/>
            </w:pPr>
            <w:r>
              <w:t xml:space="preserve">Dissipation rate of near-surface turbulence</w:t>
            </w:r>
          </w:p>
        </w:tc>
        <w:tc>
          <w:tcPr/>
          <w:p>
            <w:pPr>
              <w:pStyle w:val="Compact"/>
              <w:jc w:val="left"/>
            </w:pPr>
            <w:r>
              <w:t xml:space="preserve">log-law-of-the-wall model:</w:t>
            </w:r>
            <w:r>
              <w:t xml:space="preserve"> </w:t>
            </w:r>
            <m:oMath>
              <m:f>
                <m:fPr>
                  <m:type m:val="bar"/>
                </m:fPr>
                <m:num>
                  <m:sSubSup>
                    <m:e>
                      <m:r>
                        <m:t>U</m:t>
                      </m:r>
                    </m:e>
                    <m:sub>
                      <m:r>
                        <m:rPr>
                          <m:sty m:val="p"/>
                        </m:rPr>
                        <m:t>*</m:t>
                      </m:r>
                    </m:sub>
                    <m:sup>
                      <m:r>
                        <m:t>3</m:t>
                      </m:r>
                    </m:sup>
                  </m:sSubSup>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F</m:t>
              </m:r>
              <m:r>
                <m:t>C</m:t>
              </m:r>
              <m:sSub>
                <m:e>
                  <m:r>
                    <m:t>O</m:t>
                  </m:r>
                </m:e>
                <m:sub>
                  <m:r>
                    <m:t>2</m:t>
                  </m:r>
                </m:sub>
              </m:sSub>
            </m:oMath>
          </w:p>
        </w:tc>
        <w:tc>
          <w:tcPr/>
          <w:p>
            <w:pPr>
              <w:pStyle w:val="Compact"/>
              <w:jc w:val="left"/>
            </w:pP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g</m:t>
              </m:r>
            </m:oMath>
          </w:p>
        </w:tc>
        <w:tc>
          <w:tcPr/>
          <w:p>
            <w:pPr>
              <w:pStyle w:val="Compact"/>
              <w:jc w:val="left"/>
            </w:pPr>
            <w:r>
              <w:t xml:space="preserve">gravitational acceleration</w:t>
            </w:r>
          </w:p>
        </w:tc>
        <w:tc>
          <w:tcPr/>
          <w:p>
            <w:pPr>
              <w:pStyle w:val="Compact"/>
              <w:jc w:val="left"/>
            </w:pPr>
            <w:r>
              <w:t xml:space="preserve">9.8</w:t>
            </w:r>
          </w:p>
        </w:tc>
        <w:tc>
          <w:tcPr/>
          <w:p>
            <w:pPr>
              <w:pStyle w:val="Compact"/>
              <w:jc w:val="left"/>
            </w:pPr>
            <m:oMath>
              <m:d>
                <m:dPr>
                  <m:begChr m:val="["/>
                  <m:endChr m:val="]"/>
                  <m:sepChr m:val=""/>
                  <m:grow/>
                </m:dPr>
                <m:e>
                  <m:f>
                    <m:fPr>
                      <m:type m:val="bar"/>
                    </m:fPr>
                    <m:num>
                      <m:r>
                        <m:t>L</m:t>
                      </m:r>
                    </m:num>
                    <m:den>
                      <m:sSup>
                        <m:e>
                          <m:r>
                            <m:t>T</m:t>
                          </m:r>
                        </m:e>
                        <m:sup>
                          <m:r>
                            <m:t>2</m:t>
                          </m:r>
                        </m:sup>
                      </m:sSup>
                    </m:den>
                  </m:f>
                </m:e>
              </m:d>
            </m:oMath>
          </w:p>
        </w:tc>
      </w:tr>
      <w:tr>
        <w:tc>
          <w:tcPr/>
          <w:p>
            <w:pPr>
              <w:pStyle w:val="Compact"/>
              <w:jc w:val="left"/>
            </w:pPr>
            <m:oMath>
              <m:r>
                <m:t>H</m:t>
              </m:r>
            </m:oMath>
          </w:p>
        </w:tc>
        <w:tc>
          <w:tcPr/>
          <w:p>
            <w:pPr>
              <w:pStyle w:val="Compact"/>
              <w:jc w:val="left"/>
            </w:pPr>
            <w:r>
              <w:t xml:space="preserve">Mean flow depth</w:t>
            </w:r>
          </w:p>
        </w:tc>
        <w:tc>
          <w:tcPr/>
          <w:p>
            <w:pPr>
              <w:pStyle w:val="Compact"/>
              <w:jc w:val="left"/>
            </w:pPr>
            <m:oMath>
              <m:r>
                <m:t>A</m:t>
              </m:r>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r>
                <m:t>k</m:t>
              </m:r>
            </m:oMath>
          </w:p>
        </w:tc>
        <w:tc>
          <w:tcPr/>
          <w:p>
            <w:pPr>
              <w:pStyle w:val="Compact"/>
              <w:jc w:val="left"/>
            </w:pPr>
            <w:r>
              <w:t xml:space="preserve">gas exchange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r>
                    <m:t>600</m:t>
                  </m:r>
                </m:sub>
              </m:sSub>
            </m:oMath>
          </w:p>
        </w:tc>
        <w:tc>
          <w:tcPr/>
          <w:p>
            <w:pPr>
              <w:pStyle w:val="Compact"/>
              <w:jc w:val="left"/>
            </w:pPr>
            <w:r>
              <w:t xml:space="preserve">gas exchange velocity normalized to</w:t>
            </w:r>
            <w:r>
              <w:t xml:space="preserve"> </w:t>
            </w:r>
            <m:oMath>
              <m:r>
                <m:t>S</m:t>
              </m:r>
              <m:r>
                <m:t>c</m:t>
              </m:r>
              <m:r>
                <m:rPr>
                  <m:sty m:val="p"/>
                </m:rPr>
                <m:t>=</m:t>
              </m:r>
              <m:r>
                <m:t>600</m:t>
              </m:r>
            </m:oMath>
          </w:p>
        </w:tc>
        <w:tc>
          <w:tcPr/>
          <w:p>
            <w:pPr>
              <w:pStyle w:val="Compact"/>
              <w:jc w:val="left"/>
            </w:pPr>
            <m:oMath>
              <m:sSup>
                <m:e>
                  <m:d>
                    <m:dPr>
                      <m:begChr m:val="("/>
                      <m:endChr m:val=")"/>
                      <m:sepChr m:val=""/>
                      <m:grow/>
                    </m:dPr>
                    <m:e>
                      <m:f>
                        <m:fPr>
                          <m:type m:val="bar"/>
                        </m:fPr>
                        <m:num>
                          <m:r>
                            <m:t>600</m:t>
                          </m:r>
                        </m:num>
                        <m:den>
                          <m:r>
                            <m:t>S</m:t>
                          </m:r>
                          <m:sSub>
                            <m:e>
                              <m:r>
                                <m:t>c</m:t>
                              </m:r>
                            </m:e>
                            <m:sub>
                              <m:r>
                                <m:t>k</m:t>
                              </m:r>
                            </m:sub>
                          </m:sSub>
                        </m:den>
                      </m:f>
                    </m:e>
                  </m:d>
                </m:e>
                <m:sup>
                  <m:r>
                    <m:rPr>
                      <m:sty m:val="p"/>
                    </m:rPr>
                    <m:t>−</m:t>
                  </m:r>
                  <m:r>
                    <m:t>0.5</m:t>
                  </m:r>
                </m:sup>
              </m:sSup>
              <m:r>
                <m:t>k</m:t>
              </m:r>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R</m:t>
                  </m:r>
                </m:e>
                <m:sub>
                  <m:r>
                    <m:t>h</m:t>
                  </m:r>
                </m:sub>
              </m:sSub>
            </m:oMath>
          </w:p>
        </w:tc>
        <w:tc>
          <w:tcPr/>
          <w:p>
            <w:pPr>
              <w:pStyle w:val="Compact"/>
              <w:jc w:val="left"/>
            </w:pPr>
            <w:r>
              <w:t xml:space="preserve">Hydraulic radius</w:t>
            </w:r>
          </w:p>
        </w:tc>
        <w:tc>
          <w:tcPr/>
          <w:p>
            <w:pPr>
              <w:pStyle w:val="Compact"/>
              <w:jc w:val="left"/>
            </w:pPr>
            <m:oMath>
              <m:f>
                <m:fPr>
                  <m:type m:val="bar"/>
                </m:fPr>
                <m:num>
                  <m:r>
                    <m:t>A</m:t>
                  </m:r>
                  <m:r>
                    <m:t>W</m:t>
                  </m:r>
                </m:num>
                <m:den>
                  <m:r>
                    <m:t>2</m:t>
                  </m:r>
                  <m:r>
                    <m:t>H</m:t>
                  </m:r>
                  <m:r>
                    <m:rPr>
                      <m:sty m:val="p"/>
                    </m:rPr>
                    <m:t>+</m:t>
                  </m:r>
                  <m:r>
                    <m:t>W</m:t>
                  </m:r>
                </m:den>
              </m:f>
            </m:oMath>
          </w:p>
        </w:tc>
        <w:tc>
          <w:tcPr/>
          <w:p>
            <w:pPr>
              <w:pStyle w:val="Compact"/>
              <w:jc w:val="left"/>
            </w:pPr>
            <m:oMath>
              <m:d>
                <m:dPr>
                  <m:begChr m:val="["/>
                  <m:endChr m:val="]"/>
                  <m:sepChr m:val=""/>
                  <m:grow/>
                </m:dPr>
                <m:e>
                  <m:r>
                    <m:t>L</m:t>
                  </m:r>
                </m:e>
              </m:d>
            </m:oMath>
          </w:p>
        </w:tc>
      </w:tr>
      <w:tr>
        <w:tc>
          <w:tcPr/>
          <w:p>
            <w:pPr>
              <w:pStyle w:val="Compact"/>
              <w:jc w:val="left"/>
            </w:pPr>
            <m:oMath>
              <m:r>
                <m:t>S</m:t>
              </m:r>
            </m:oMath>
          </w:p>
        </w:tc>
        <w:tc>
          <w:tcPr/>
          <w:p>
            <w:pPr>
              <w:pStyle w:val="Compact"/>
              <w:jc w:val="left"/>
            </w:pPr>
            <w:r>
              <w:t xml:space="preserve">River slope</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L</m:t>
                      </m:r>
                    </m:den>
                  </m:f>
                </m:e>
              </m:d>
            </m:oMath>
          </w:p>
        </w:tc>
      </w:tr>
      <w:tr>
        <w:tc>
          <w:tcPr/>
          <w:p>
            <w:pPr>
              <w:pStyle w:val="Compact"/>
              <w:jc w:val="left"/>
            </w:pPr>
            <m:oMath>
              <m:r>
                <m:t>S</m:t>
              </m:r>
              <m:r>
                <m:t>c</m:t>
              </m:r>
            </m:oMath>
          </w:p>
        </w:tc>
        <w:tc>
          <w:tcPr/>
          <w:p>
            <w:pPr>
              <w:pStyle w:val="Compact"/>
              <w:jc w:val="left"/>
            </w:pPr>
            <w:r>
              <w:t xml:space="preserve">Schmidt number</w:t>
            </w:r>
          </w:p>
        </w:tc>
        <w:tc>
          <w:tcPr/>
          <w:p>
            <w:pPr>
              <w:pStyle w:val="Compact"/>
              <w:jc w:val="left"/>
            </w:pPr>
            <m:oMath>
              <m:f>
                <m:fPr>
                  <m:type m:val="bar"/>
                </m:fPr>
                <m:num>
                  <m:r>
                    <m:t>v</m:t>
                  </m:r>
                </m:num>
                <m:den>
                  <m:sSub>
                    <m:e>
                      <m:r>
                        <m:t>D</m:t>
                      </m:r>
                    </m:e>
                    <m:sub>
                      <m:r>
                        <m:t>m</m:t>
                      </m:r>
                    </m:sub>
                  </m:sSub>
                </m:den>
              </m:f>
            </m:oMath>
          </w:p>
        </w:tc>
        <w:tc>
          <w:tcPr/>
          <w:p>
            <w:pPr>
              <w:pStyle w:val="Compact"/>
              <w:jc w:val="left"/>
            </w:pPr>
            <m:oMath>
              <m:r>
                <m:t>u</m:t>
              </m:r>
              <m:r>
                <m:t>n</m:t>
              </m:r>
              <m:r>
                <m:t>i</m:t>
              </m:r>
              <m:r>
                <m:t>t</m:t>
              </m:r>
              <m:r>
                <m:t>l</m:t>
              </m:r>
              <m:r>
                <m:t>e</m:t>
              </m:r>
              <m:r>
                <m:t>s</m:t>
              </m:r>
              <m:r>
                <m:t>s</m:t>
              </m:r>
            </m:oMath>
          </w:p>
        </w:tc>
      </w:tr>
      <w:tr>
        <w:tc>
          <w:tcPr/>
          <w:p>
            <w:pPr>
              <w:pStyle w:val="Compact"/>
              <w:jc w:val="left"/>
            </w:pPr>
            <m:oMath>
              <m:sSub>
                <m:e>
                  <m:r>
                    <m:t>T</m:t>
                  </m:r>
                </m:e>
                <m:sub>
                  <m:r>
                    <m:t>d</m:t>
                  </m:r>
                </m:sub>
              </m:sSub>
            </m:oMath>
          </w:p>
        </w:tc>
        <w:tc>
          <w:tcPr/>
          <w:p>
            <w:pPr>
              <w:pStyle w:val="Compact"/>
              <w:jc w:val="left"/>
            </w:pPr>
            <w:r>
              <w:t xml:space="preserve">TKE turbulent diffusion rate</w:t>
            </w:r>
          </w:p>
        </w:tc>
        <w:tc>
          <w:tcPr/>
          <w:p>
            <w:pPr>
              <w:pStyle w:val="Compact"/>
              <w:jc w:val="left"/>
            </w:pPr>
            <w:r>
              <w:t xml:space="preserve">NA</w:t>
            </w:r>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U</m:t>
              </m:r>
            </m:oMath>
          </w:p>
        </w:tc>
        <w:tc>
          <w:tcPr/>
          <w:p>
            <w:pPr>
              <w:pStyle w:val="Compact"/>
              <w:jc w:val="left"/>
            </w:pPr>
            <w:r>
              <w:t xml:space="preserve">Reach-averaged flow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U</m:t>
                  </m:r>
                </m:e>
                <m:sub>
                  <m:r>
                    <m:rPr>
                      <m:sty m:val="p"/>
                    </m:rPr>
                    <m:t>*</m:t>
                  </m:r>
                </m:sub>
              </m:sSub>
            </m:oMath>
          </w:p>
        </w:tc>
        <w:tc>
          <w:tcPr/>
          <w:p>
            <w:pPr>
              <w:pStyle w:val="Compact"/>
              <w:jc w:val="left"/>
            </w:pPr>
            <w:r>
              <w:t xml:space="preserve">Shear velocity</w:t>
            </w:r>
          </w:p>
        </w:tc>
        <w:tc>
          <w:tcPr/>
          <w:p>
            <w:pPr>
              <w:pStyle w:val="Compact"/>
              <w:jc w:val="left"/>
            </w:pPr>
            <m:oMath>
              <m:rad>
                <m:radPr>
                  <m:degHide m:val="1"/>
                </m:radPr>
                <m:deg/>
                <m:e>
                  <m:r>
                    <m:t>g</m:t>
                  </m:r>
                  <m:r>
                    <m:t>S</m:t>
                  </m:r>
                  <m:sSub>
                    <m:e>
                      <m:r>
                        <m:t>R</m:t>
                      </m:r>
                    </m:e>
                    <m:sub>
                      <m:r>
                        <m:t>h</m:t>
                      </m:r>
                    </m:sub>
                  </m:sSub>
                </m:e>
              </m:rad>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v</m:t>
              </m:r>
            </m:oMath>
          </w:p>
        </w:tc>
        <w:tc>
          <w:tcPr/>
          <w:p>
            <w:pPr>
              <w:pStyle w:val="Compact"/>
              <w:jc w:val="left"/>
            </w:pPr>
            <w:r>
              <w:t xml:space="preserve">kinematic viscosity</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W</m:t>
              </m:r>
            </m:oMath>
          </w:p>
        </w:tc>
        <w:tc>
          <w:tcPr/>
          <w:p>
            <w:pPr>
              <w:pStyle w:val="Compact"/>
              <w:jc w:val="left"/>
            </w:pPr>
            <w:r>
              <w:t xml:space="preserve">Flow width</w:t>
            </w:r>
          </w:p>
        </w:tc>
        <w:tc>
          <w:tcPr/>
          <w:p>
            <w:pPr>
              <w:pStyle w:val="Compact"/>
              <w:jc w:val="left"/>
            </w:pPr>
            <w:r>
              <w:t xml:space="preserve">NA</w:t>
            </w:r>
          </w:p>
        </w:tc>
        <w:tc>
          <w:tcPr/>
          <w:p>
            <w:pPr>
              <w:pStyle w:val="Compact"/>
              <w:jc w:val="left"/>
            </w:pPr>
            <m:oMath>
              <m:d>
                <m:dPr>
                  <m:begChr m:val="["/>
                  <m:endChr m:val="]"/>
                  <m:sepChr m:val=""/>
                  <m:grow/>
                </m:dPr>
                <m:e>
                  <m:r>
                    <m:t>L</m:t>
                  </m:r>
                </m:e>
              </m:d>
            </m:oMath>
          </w:p>
        </w:tc>
      </w:tr>
    </w:tbl>
    <w:bookmarkEnd w:id="43"/>
    <w:bookmarkStart w:id="151" w:name="references"/>
    <w:p>
      <w:pPr>
        <w:pStyle w:val="Heading2"/>
      </w:pPr>
      <w:r>
        <w:t xml:space="preserve">References</w:t>
      </w:r>
    </w:p>
    <w:bookmarkStart w:id="150" w:name="refs"/>
    <w:bookmarkStart w:id="45" w:name="ref-ahoHighestRatesGross2021"/>
    <w:p>
      <w:pPr>
        <w:pStyle w:val="Bibliography"/>
      </w:pPr>
      <w:r>
        <w:t xml:space="preserve">Aho, K.S., Hosen, J.D., Logozzo, L.A., McGillis, W.R., Raymond, P.A., 2021. Highest rates of gross primary productivity maintained despite</w:t>
      </w:r>
      <w:r>
        <w:t xml:space="preserve"> </w:t>
      </w:r>
      <w:r>
        <w:t xml:space="preserve">CO2</w:t>
      </w:r>
      <w:r>
        <w:t xml:space="preserve"> </w:t>
      </w:r>
      <w:r>
        <w:t xml:space="preserve">depletion in a temperate river network. Limnology and Oceanography Letters n/a.</w:t>
      </w:r>
      <w:r>
        <w:t xml:space="preserve"> </w:t>
      </w:r>
      <w:hyperlink r:id="rId44">
        <w:r>
          <w:rPr>
            <w:rStyle w:val="Hyperlink"/>
          </w:rPr>
          <w:t xml:space="preserve">https://doi.org/10.1002/lol2.10195</w:t>
        </w:r>
      </w:hyperlink>
    </w:p>
    <w:bookmarkEnd w:id="45"/>
    <w:bookmarkStart w:id="47" w:name="ref-alinPhysicalControlsCarbon2011"/>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46">
        <w:r>
          <w:rPr>
            <w:rStyle w:val="Hyperlink"/>
          </w:rPr>
          <w:t xml:space="preserve">https://doi.org/10.1029/2010JG001398</w:t>
        </w:r>
      </w:hyperlink>
    </w:p>
    <w:bookmarkEnd w:id="47"/>
    <w:bookmarkStart w:id="49" w:name="X3f43462459b729b7766127d4de3034c5e406105"/>
    <w:p>
      <w:pPr>
        <w:pStyle w:val="Bibliography"/>
      </w:pPr>
      <w:r>
        <w:t xml:space="preserve">Andreadis, K.M., Brinkerhoff, C.B., Gleason, C.J., 2020. Constraining the assimilation of</w:t>
      </w:r>
      <w:r>
        <w:t xml:space="preserve"> </w:t>
      </w:r>
      <w:r>
        <w:t xml:space="preserve">SWOT</w:t>
      </w:r>
      <w:r>
        <w:t xml:space="preserve"> </w:t>
      </w:r>
      <w:r>
        <w:t xml:space="preserve">observations with hydraulic geometry relations. Water Resources Research.</w:t>
      </w:r>
      <w:r>
        <w:t xml:space="preserve"> </w:t>
      </w:r>
      <w:hyperlink r:id="rId48">
        <w:r>
          <w:rPr>
            <w:rStyle w:val="Hyperlink"/>
          </w:rPr>
          <w:t xml:space="preserve">https://doi.org/10.1029/2019WR026611</w:t>
        </w:r>
      </w:hyperlink>
    </w:p>
    <w:bookmarkEnd w:id="49"/>
    <w:bookmarkStart w:id="51" w:name="Xac350d38015694cd0350539d77080e5042ebd3d"/>
    <w:p>
      <w:pPr>
        <w:pStyle w:val="Bibliography"/>
      </w:pPr>
      <w:r>
        <w:t xml:space="preserve">Appling, A.P., Hall, R.O., Yackulic, C.B., Arroita, M., 2018. Overcoming</w:t>
      </w:r>
      <w:r>
        <w:t xml:space="preserve"> </w:t>
      </w:r>
      <w:r>
        <w:t xml:space="preserve">Equifinality</w:t>
      </w:r>
      <w:r>
        <w:t xml:space="preserve">: Leveraging</w:t>
      </w:r>
      <w:r>
        <w:t xml:space="preserve"> </w:t>
      </w:r>
      <w:r>
        <w:t xml:space="preserve">Long Time Series</w:t>
      </w:r>
      <w:r>
        <w:t xml:space="preserve"> </w:t>
      </w:r>
      <w:r>
        <w:t xml:space="preserve">for</w:t>
      </w:r>
      <w:r>
        <w:t xml:space="preserve"> </w:t>
      </w:r>
      <w:r>
        <w:t xml:space="preserve">Stream Metabolism Estimation</w:t>
      </w:r>
      <w:r>
        <w:t xml:space="preserve">. Journal of Geophysical Research: Biogeosciences 123, 624–645.</w:t>
      </w:r>
      <w:r>
        <w:t xml:space="preserve"> </w:t>
      </w:r>
      <w:hyperlink r:id="rId50">
        <w:r>
          <w:rPr>
            <w:rStyle w:val="Hyperlink"/>
          </w:rPr>
          <w:t xml:space="preserve">https://doi.org/10.1002/2017JG004140</w:t>
        </w:r>
      </w:hyperlink>
    </w:p>
    <w:bookmarkEnd w:id="51"/>
    <w:bookmarkStart w:id="53" w:name="ref-beaulieuControlsGasTransfer2012"/>
    <w:p>
      <w:pPr>
        <w:pStyle w:val="Bibliography"/>
      </w:pPr>
      <w:r>
        <w:t xml:space="preserve">Beaulieu, J.J., Shuster, W.D., Rebholz, J.A., 2012. Controls on gas transfer velocities in a large river. Journal of Geophysical Research: Biogeosciences 117.</w:t>
      </w:r>
      <w:r>
        <w:t xml:space="preserve"> </w:t>
      </w:r>
      <w:hyperlink r:id="rId52">
        <w:r>
          <w:rPr>
            <w:rStyle w:val="Hyperlink"/>
          </w:rPr>
          <w:t xml:space="preserve">https://doi.org/10.1029/2011JG001794</w:t>
        </w:r>
      </w:hyperlink>
    </w:p>
    <w:bookmarkEnd w:id="53"/>
    <w:bookmarkStart w:id="55" w:name="ref-bernhardtMetabolicRegimesFlowing2018"/>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4">
        <w:r>
          <w:rPr>
            <w:rStyle w:val="Hyperlink"/>
          </w:rPr>
          <w:t xml:space="preserve">https://doi.org/10.1002/lno.10726</w:t>
        </w:r>
      </w:hyperlink>
    </w:p>
    <w:bookmarkEnd w:id="55"/>
    <w:bookmarkStart w:id="57" w:name="ref-biancamariaSWOTMissionIts2016"/>
    <w:p>
      <w:pPr>
        <w:pStyle w:val="Bibliography"/>
      </w:pPr>
      <w:r>
        <w:t xml:space="preserve">Biancamaria, S., Lettenmaier, D.P., Pavelsky, T.M., 2016. The</w:t>
      </w:r>
      <w:r>
        <w:t xml:space="preserve"> </w:t>
      </w:r>
      <w:r>
        <w:t xml:space="preserve">SWOT Mission</w:t>
      </w:r>
      <w:r>
        <w:t xml:space="preserve"> </w:t>
      </w:r>
      <w:r>
        <w:t xml:space="preserve">and</w:t>
      </w:r>
      <w:r>
        <w:t xml:space="preserve"> </w:t>
      </w:r>
      <w:r>
        <w:t xml:space="preserve">Its Capabilities</w:t>
      </w:r>
      <w:r>
        <w:t xml:space="preserve"> </w:t>
      </w:r>
      <w:r>
        <w:t xml:space="preserve">for</w:t>
      </w:r>
      <w:r>
        <w:t xml:space="preserve"> </w:t>
      </w:r>
      <w:r>
        <w:t xml:space="preserve">Land Hydrology</w:t>
      </w:r>
      <w:r>
        <w:t xml:space="preserve">, in: Cazenave, A., Champollion, N., Benveniste, J., Chen, J. (Eds.), Remote</w:t>
      </w:r>
      <w:r>
        <w:t xml:space="preserve"> </w:t>
      </w:r>
      <w:r>
        <w:t xml:space="preserve">Sensing</w:t>
      </w:r>
      <w:r>
        <w:t xml:space="preserve"> </w:t>
      </w:r>
      <w:r>
        <w:t xml:space="preserve">and</w:t>
      </w:r>
      <w:r>
        <w:t xml:space="preserve"> </w:t>
      </w:r>
      <w:r>
        <w:t xml:space="preserve">Water Resources</w:t>
      </w:r>
      <w:r>
        <w:t xml:space="preserve">, Space</w:t>
      </w:r>
      <w:r>
        <w:t xml:space="preserve"> </w:t>
      </w:r>
      <w:r>
        <w:t xml:space="preserve">Sciences Series</w:t>
      </w:r>
      <w:r>
        <w:t xml:space="preserve"> </w:t>
      </w:r>
      <w:r>
        <w:t xml:space="preserve">of</w:t>
      </w:r>
      <w:r>
        <w:t xml:space="preserve"> </w:t>
      </w:r>
      <w:r>
        <w:t xml:space="preserve">ISSI</w:t>
      </w:r>
      <w:r>
        <w:t xml:space="preserve">.</w:t>
      </w:r>
      <w:r>
        <w:t xml:space="preserve"> </w:t>
      </w:r>
      <w:r>
        <w:t xml:space="preserve">Springer International Publishing</w:t>
      </w:r>
      <w:r>
        <w:t xml:space="preserve">,</w:t>
      </w:r>
      <w:r>
        <w:t xml:space="preserve"> </w:t>
      </w:r>
      <w:r>
        <w:t xml:space="preserve">Cham</w:t>
      </w:r>
      <w:r>
        <w:t xml:space="preserve">, pp. 117–147.</w:t>
      </w:r>
      <w:r>
        <w:t xml:space="preserve"> </w:t>
      </w:r>
      <w:hyperlink r:id="rId56">
        <w:r>
          <w:rPr>
            <w:rStyle w:val="Hyperlink"/>
          </w:rPr>
          <w:t xml:space="preserve">https://doi.org/10.1007/978-3-319-32449-4_6</w:t>
        </w:r>
      </w:hyperlink>
    </w:p>
    <w:bookmarkEnd w:id="57"/>
    <w:bookmarkStart w:id="59" w:name="Xbbaacf312c3b2ac2225c29062e99b1285b75b5d"/>
    <w:p>
      <w:pPr>
        <w:pStyle w:val="Bibliography"/>
      </w:pPr>
      <w:r>
        <w:t xml:space="preserve">Borges, A.V., Darchambeau, F., Teodoru, C.R., Marwick, T.R., Tamooh, F., Geeraert, N., Omengo, F.O., Guérin, F., Lambert, T., Morana, C., Okuku, E., Bouillon, S., 2015. Globally significant greenhouse-gas emissions from</w:t>
      </w:r>
      <w:r>
        <w:t xml:space="preserve"> </w:t>
      </w:r>
      <w:r>
        <w:t xml:space="preserve">African</w:t>
      </w:r>
      <w:r>
        <w:t xml:space="preserve"> </w:t>
      </w:r>
      <w:r>
        <w:t xml:space="preserve">inland waters. Nature Geoscience 8, 637–642.</w:t>
      </w:r>
      <w:r>
        <w:t xml:space="preserve"> </w:t>
      </w:r>
      <w:hyperlink r:id="rId58">
        <w:r>
          <w:rPr>
            <w:rStyle w:val="Hyperlink"/>
          </w:rPr>
          <w:t xml:space="preserve">https://doi.org/10.1038/ngeo2486</w:t>
        </w:r>
      </w:hyperlink>
    </w:p>
    <w:bookmarkEnd w:id="59"/>
    <w:bookmarkStart w:id="61" w:name="ref-borgesVariabilityGasTransfer2004"/>
    <w:p>
      <w:pPr>
        <w:pStyle w:val="Bibliography"/>
      </w:pPr>
      <w:r>
        <w:t xml:space="preserve">Borges, A.V., Vanderborght, J.-P., Schiettecatte, L.-S., Gazeau, F., Ferrón-Smith, S., Delille, B., Frankignoulle, M., 2004. Variability of the gas transfer velocity of</w:t>
      </w:r>
      <w:r>
        <w:t xml:space="preserve"> </w:t>
      </w:r>
      <w:r>
        <w:t xml:space="preserve">CO2</w:t>
      </w:r>
      <w:r>
        <w:t xml:space="preserve"> </w:t>
      </w:r>
      <w:r>
        <w:t xml:space="preserve">in a macrotidal estuary (the</w:t>
      </w:r>
      <w:r>
        <w:t xml:space="preserve"> </w:t>
      </w:r>
      <w:r>
        <w:t xml:space="preserve">Scheldt</w:t>
      </w:r>
      <w:r>
        <w:t xml:space="preserve">). Estuaries 27, 593–603.</w:t>
      </w:r>
      <w:r>
        <w:t xml:space="preserve"> </w:t>
      </w:r>
      <w:hyperlink r:id="rId60">
        <w:r>
          <w:rPr>
            <w:rStyle w:val="Hyperlink"/>
          </w:rPr>
          <w:t xml:space="preserve">https://doi.org/10.1007/BF02907647</w:t>
        </w:r>
      </w:hyperlink>
    </w:p>
    <w:bookmarkEnd w:id="61"/>
    <w:bookmarkStart w:id="63" w:name="Xdbd54ef9038a6546bc878e25d0471ceeef59cc0"/>
    <w:p>
      <w:pPr>
        <w:pStyle w:val="Bibliography"/>
      </w:pPr>
      <w:r>
        <w:t xml:space="preserve">Brinkerhoff, C.B., Gleason, C.J., Feng, D., Lin, P., 2020. Constraining</w:t>
      </w:r>
      <w:r>
        <w:t xml:space="preserve"> </w:t>
      </w:r>
      <w:r>
        <w:t xml:space="preserve">Remote River Discharge Estimation Using Reach</w:t>
      </w:r>
      <w:r>
        <w:t xml:space="preserve">-</w:t>
      </w:r>
      <w:r>
        <w:t xml:space="preserve">Scale Geomorphology</w:t>
      </w:r>
      <w:r>
        <w:t xml:space="preserve">. Water Resources Research 56, e2020WR027949.</w:t>
      </w:r>
      <w:r>
        <w:t xml:space="preserve"> </w:t>
      </w:r>
      <w:hyperlink r:id="rId62">
        <w:r>
          <w:rPr>
            <w:rStyle w:val="Hyperlink"/>
          </w:rPr>
          <w:t xml:space="preserve">https://doi.org/10.1029/2020WR027949</w:t>
        </w:r>
      </w:hyperlink>
    </w:p>
    <w:bookmarkEnd w:id="63"/>
    <w:bookmarkStart w:id="65" w:name="X1a76598ca511f3330c42372d0336b7d2eb8a399"/>
    <w:p>
      <w:pPr>
        <w:pStyle w:val="Bibliography"/>
      </w:pPr>
      <w:r>
        <w:t xml:space="preserve">Brinkerhoff, C.B., Gleason, C.J., Ostendorf, D.W., 2019. Reconciling at-a-</w:t>
      </w:r>
      <w:r>
        <w:t xml:space="preserve">Station</w:t>
      </w:r>
      <w:r>
        <w:t xml:space="preserve"> </w:t>
      </w:r>
      <w:r>
        <w:t xml:space="preserve">and at-</w:t>
      </w:r>
      <w:r>
        <w:t xml:space="preserve">Many</w:t>
      </w:r>
      <w:r>
        <w:t xml:space="preserve">-</w:t>
      </w:r>
      <w:r>
        <w:t xml:space="preserve">Stations Hydraulic Geometry Through River</w:t>
      </w:r>
      <w:r>
        <w:t xml:space="preserve">-</w:t>
      </w:r>
      <w:r>
        <w:t xml:space="preserve">Wide Geomorphology</w:t>
      </w:r>
      <w:r>
        <w:t xml:space="preserve">. Geophysical Research Letters 46, 9637–9647.</w:t>
      </w:r>
      <w:r>
        <w:t xml:space="preserve"> </w:t>
      </w:r>
      <w:hyperlink r:id="rId64">
        <w:r>
          <w:rPr>
            <w:rStyle w:val="Hyperlink"/>
          </w:rPr>
          <w:t xml:space="preserve">https://doi.org/10.1029/2019GL084529</w:t>
        </w:r>
      </w:hyperlink>
    </w:p>
    <w:bookmarkEnd w:id="65"/>
    <w:bookmarkStart w:id="67" w:name="ref-brinkerhoffLakeMorphometryRiver2021"/>
    <w:p>
      <w:pPr>
        <w:pStyle w:val="Bibliography"/>
      </w:pPr>
      <w:r>
        <w:t xml:space="preserve">Brinkerhoff, C.B., Raymond, P.A., Maavara, T., Ishitsuka, Y., Aho, K.S., Gleason, C.J., 2021. Lake</w:t>
      </w:r>
      <w:r>
        <w:t xml:space="preserve"> </w:t>
      </w:r>
      <w:r>
        <w:t xml:space="preserve">Morphometry</w:t>
      </w:r>
      <w:r>
        <w:t xml:space="preserve"> </w:t>
      </w:r>
      <w:r>
        <w:t xml:space="preserve">and</w:t>
      </w:r>
      <w:r>
        <w:t xml:space="preserve"> </w:t>
      </w:r>
      <w:r>
        <w:t xml:space="preserve">River Network Controls</w:t>
      </w:r>
      <w:r>
        <w:t xml:space="preserve"> </w:t>
      </w:r>
      <w:r>
        <w:t xml:space="preserve">on</w:t>
      </w:r>
      <w:r>
        <w:t xml:space="preserve"> </w:t>
      </w:r>
      <w:r>
        <w:t xml:space="preserve">Evasion</w:t>
      </w:r>
      <w:r>
        <w:t xml:space="preserve"> </w:t>
      </w:r>
      <w:r>
        <w:t xml:space="preserve">of</w:t>
      </w:r>
      <w:r>
        <w:t xml:space="preserve"> </w:t>
      </w:r>
      <w:r>
        <w:t xml:space="preserve">Terrestrially Sourced Headwater CO2</w:t>
      </w:r>
      <w:r>
        <w:t xml:space="preserve">. Geophysical Research Letters 48, e2020GL090068.</w:t>
      </w:r>
      <w:r>
        <w:t xml:space="preserve"> </w:t>
      </w:r>
      <w:hyperlink r:id="rId66">
        <w:r>
          <w:rPr>
            <w:rStyle w:val="Hyperlink"/>
          </w:rPr>
          <w:t xml:space="preserve">https://doi.org/10.1029/2020GL090068</w:t>
        </w:r>
      </w:hyperlink>
    </w:p>
    <w:bookmarkEnd w:id="67"/>
    <w:bookmarkStart w:id="69" w:name="X834711d54738282ad13c8e8eb924edf28d0f356"/>
    <w:p>
      <w:pPr>
        <w:pStyle w:val="Bibliography"/>
      </w:pPr>
      <w:r>
        <w:t xml:space="preserve">Brisset, P., Monnier, J., Garambois, P.-A., Roux, H., 2018. On the assimilation of altimetric data in</w:t>
      </w:r>
      <w:r>
        <w:t xml:space="preserve"> </w:t>
      </w:r>
      <w:r>
        <w:t xml:space="preserve">1D Saint</w:t>
      </w:r>
      <w:r>
        <w:t xml:space="preserve"> </w:t>
      </w:r>
      <w:r>
        <w:t xml:space="preserve">river flow models. Advances in Water Resources 119, 41–59.</w:t>
      </w:r>
      <w:r>
        <w:t xml:space="preserve"> </w:t>
      </w:r>
      <w:hyperlink r:id="rId68">
        <w:r>
          <w:rPr>
            <w:rStyle w:val="Hyperlink"/>
          </w:rPr>
          <w:t xml:space="preserve">https://doi.org/10.1016/j.advwatres.2018.06.004</w:t>
        </w:r>
      </w:hyperlink>
    </w:p>
    <w:bookmarkEnd w:id="69"/>
    <w:bookmarkStart w:id="70" w:name="X1116d7172b9ac47af672258ce57692fd9f17865"/>
    <w:p>
      <w:pPr>
        <w:pStyle w:val="Bibliography"/>
      </w:pPr>
      <w:r>
        <w:t xml:space="preserve">Chapra, S.C., 2008. Surface</w:t>
      </w:r>
      <w:r>
        <w:t xml:space="preserve"> </w:t>
      </w:r>
      <w:r>
        <w:t xml:space="preserve">Water</w:t>
      </w:r>
      <w:r>
        <w:t xml:space="preserve">-</w:t>
      </w:r>
      <w:r>
        <w:t xml:space="preserve">Quality Modeling</w:t>
      </w:r>
      <w:r>
        <w:t xml:space="preserve">.</w:t>
      </w:r>
      <w:r>
        <w:t xml:space="preserve"> </w:t>
      </w:r>
      <w:r>
        <w:t xml:space="preserve">Waveland Press</w:t>
      </w:r>
      <w:r>
        <w:t xml:space="preserve">.</w:t>
      </w:r>
    </w:p>
    <w:bookmarkEnd w:id="70"/>
    <w:bookmarkStart w:id="72" w:name="Xa3e9367adcd5dee389f99f86aad7b66314e7a15"/>
    <w:p>
      <w:pPr>
        <w:pStyle w:val="Bibliography"/>
      </w:pPr>
      <w:r>
        <w:t xml:space="preserve">Churchill, M.A., Elmore, H.L., Buckingham, R.A., 1964. The</w:t>
      </w:r>
      <w:r>
        <w:t xml:space="preserve"> </w:t>
      </w:r>
      <w:r>
        <w:t xml:space="preserve">Prediction</w:t>
      </w:r>
      <w:r>
        <w:t xml:space="preserve"> </w:t>
      </w:r>
      <w:r>
        <w:t xml:space="preserve">of</w:t>
      </w:r>
      <w:r>
        <w:t xml:space="preserve"> </w:t>
      </w:r>
      <w:r>
        <w:t xml:space="preserve">Stream Reaeration Rates</w:t>
      </w:r>
      <w:r>
        <w:t xml:space="preserve">, in: Southgate, B.A. (Ed.), Advances in</w:t>
      </w:r>
      <w:r>
        <w:t xml:space="preserve"> </w:t>
      </w:r>
      <w:r>
        <w:t xml:space="preserve">Water Pollution Research</w:t>
      </w:r>
      <w:r>
        <w:t xml:space="preserve">.</w:t>
      </w:r>
      <w:r>
        <w:t xml:space="preserve"> </w:t>
      </w:r>
      <w:r>
        <w:t xml:space="preserve">Pergamon</w:t>
      </w:r>
      <w:r>
        <w:t xml:space="preserve">, pp. 89–136.</w:t>
      </w:r>
      <w:r>
        <w:t xml:space="preserve"> </w:t>
      </w:r>
      <w:hyperlink r:id="rId71">
        <w:r>
          <w:rPr>
            <w:rStyle w:val="Hyperlink"/>
          </w:rPr>
          <w:t xml:space="preserve">https://doi.org/10.1016/B978-1-4832-8391-3.50015-4</w:t>
        </w:r>
      </w:hyperlink>
    </w:p>
    <w:bookmarkEnd w:id="72"/>
    <w:bookmarkStart w:id="74" w:name="ref-colePlumbingGlobalCarbon2007"/>
    <w:p>
      <w:pPr>
        <w:pStyle w:val="Bibliography"/>
      </w:pPr>
      <w:r>
        <w:t xml:space="preserve">Cole, J.J., Prairie, Y.T., Caraco, N.F., McDowell, W.H., Tranvik, L.J., Striegl, R.G., Duarte, C.M., Kortelainen, P., Downing, J.A., Middelburg, J.J., Melack, J., 2007. Plumbing the</w:t>
      </w:r>
      <w:r>
        <w:t xml:space="preserve"> </w:t>
      </w:r>
      <w:r>
        <w:t xml:space="preserve">Global Carbon Cycle</w:t>
      </w:r>
      <w:r>
        <w:t xml:space="preserve">: Integrating</w:t>
      </w:r>
      <w:r>
        <w:t xml:space="preserve"> </w:t>
      </w:r>
      <w:r>
        <w:t xml:space="preserve">Inland Waters</w:t>
      </w:r>
      <w:r>
        <w:t xml:space="preserve"> </w:t>
      </w:r>
      <w:r>
        <w:t xml:space="preserve">into the</w:t>
      </w:r>
      <w:r>
        <w:t xml:space="preserve"> </w:t>
      </w:r>
      <w:r>
        <w:t xml:space="preserve">Terrestrial Carbon Budget</w:t>
      </w:r>
      <w:r>
        <w:t xml:space="preserve">. Ecosystems 10, 172–185.</w:t>
      </w:r>
      <w:r>
        <w:t xml:space="preserve"> </w:t>
      </w:r>
      <w:hyperlink r:id="rId73">
        <w:r>
          <w:rPr>
            <w:rStyle w:val="Hyperlink"/>
          </w:rPr>
          <w:t xml:space="preserve">https://doi.org/10.1007/s10021-006-9013-8</w:t>
        </w:r>
      </w:hyperlink>
    </w:p>
    <w:bookmarkEnd w:id="74"/>
    <w:bookmarkStart w:id="76" w:name="ref-durandHowWillRadar2020"/>
    <w:p>
      <w:pPr>
        <w:pStyle w:val="Bibliography"/>
      </w:pPr>
      <w:r>
        <w:t xml:space="preserve">Durand, M., Chen, C., de Moraes Frasson, R.P., Pavelsky, T.M., Williams, B., Yang, X., Fore, A., 2020. How will radar layover impact</w:t>
      </w:r>
      <w:r>
        <w:t xml:space="preserve"> </w:t>
      </w:r>
      <w:r>
        <w:t xml:space="preserve">SWOT</w:t>
      </w:r>
      <w:r>
        <w:t xml:space="preserve"> </w:t>
      </w:r>
      <w:r>
        <w:t xml:space="preserve">measurements of water surface elevation and slope, and estimates of river discharge? Remote Sensing of Environment 247, 111883.</w:t>
      </w:r>
      <w:r>
        <w:t xml:space="preserve"> </w:t>
      </w:r>
      <w:hyperlink r:id="rId75">
        <w:r>
          <w:rPr>
            <w:rStyle w:val="Hyperlink"/>
          </w:rPr>
          <w:t xml:space="preserve">https://doi.org/10.1016/j.rse.2020.111883</w:t>
        </w:r>
      </w:hyperlink>
    </w:p>
    <w:bookmarkEnd w:id="76"/>
    <w:bookmarkStart w:id="78" w:name="X3ce31a8f5e08162768843120ddd33afff9a1ba0"/>
    <w:p>
      <w:pPr>
        <w:pStyle w:val="Bibliography"/>
      </w:pPr>
      <w:r>
        <w:t xml:space="preserve">Durand, M., Gleason, C.J., Garambois, P.A., Bjerklie, D., Smith, L.C., Roux, H., Rodriguez, E., Bates, P.D., Pavelsky, T.M., Monnier, J., Chen, X., Baldassarre, G.D., Fiset, J.-M., Flipo, N., Frasson, R.P.d.M.,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77">
        <w:r>
          <w:rPr>
            <w:rStyle w:val="Hyperlink"/>
          </w:rPr>
          <w:t xml:space="preserve">https://doi.org/10.1002/2015WR018434</w:t>
        </w:r>
      </w:hyperlink>
    </w:p>
    <w:bookmarkEnd w:id="78"/>
    <w:bookmarkStart w:id="80" w:name="Xc749cfb8cc4c1b149d35ee13c0395d9e57afca6"/>
    <w:p>
      <w:pPr>
        <w:pStyle w:val="Bibliography"/>
      </w:pPr>
      <w:r>
        <w:t xml:space="preserve">Durand, M., Neal, J., Rodríguez, E., Andreadis, K.M., Smith, L.C., Yoon, Y., 2014. Estimating reach-averaged discharge for the</w:t>
      </w:r>
      <w:r>
        <w:t xml:space="preserve"> </w:t>
      </w:r>
      <w:r>
        <w:t xml:space="preserve">River Severn</w:t>
      </w:r>
      <w:r>
        <w:t xml:space="preserve"> </w:t>
      </w:r>
      <w:r>
        <w:t xml:space="preserve">from measurements of river water surface elevation and slope. Journal of Hydrology 511, 92–104.</w:t>
      </w:r>
      <w:r>
        <w:t xml:space="preserve"> </w:t>
      </w:r>
      <w:hyperlink r:id="rId79">
        <w:r>
          <w:rPr>
            <w:rStyle w:val="Hyperlink"/>
          </w:rPr>
          <w:t xml:space="preserve">https://doi.org/10.1016/j.jhydrol.2013.12.050</w:t>
        </w:r>
      </w:hyperlink>
    </w:p>
    <w:bookmarkEnd w:id="80"/>
    <w:bookmarkStart w:id="82" w:name="X9be29eb630d4c00a21328a957102a710eabca70"/>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w:t>
      </w:r>
      <w:r>
        <w:t xml:space="preserve"> </w:t>
      </w:r>
      <w:r>
        <w:t xml:space="preserve">Surface Water</w:t>
      </w:r>
      <w:r>
        <w:t xml:space="preserve"> </w:t>
      </w:r>
      <w:r>
        <w:t xml:space="preserve">and</w:t>
      </w:r>
      <w:r>
        <w:t xml:space="preserve"> </w:t>
      </w:r>
      <w:r>
        <w:t xml:space="preserve">Ocean Topography</w:t>
      </w:r>
      <w:r>
        <w:t xml:space="preserve"> </w:t>
      </w:r>
      <w:r>
        <w:t xml:space="preserve">mission discharge estimates. Water Resources Research n/a, e2020WR028519.</w:t>
      </w:r>
      <w:r>
        <w:t xml:space="preserve"> </w:t>
      </w:r>
      <w:hyperlink r:id="rId81">
        <w:r>
          <w:rPr>
            <w:rStyle w:val="Hyperlink"/>
          </w:rPr>
          <w:t xml:space="preserve">https://doi.org/10.1029/2020WR028519</w:t>
        </w:r>
      </w:hyperlink>
    </w:p>
    <w:bookmarkEnd w:id="82"/>
    <w:bookmarkStart w:id="84" w:name="X1dafd55d3ea50ae83faa050ee84557bcff98061"/>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83">
        <w:r>
          <w:rPr>
            <w:rStyle w:val="Hyperlink"/>
          </w:rPr>
          <w:t xml:space="preserve">https://doi.org/10.1016/j.jhydrol.2019.124409</w:t>
        </w:r>
      </w:hyperlink>
    </w:p>
    <w:bookmarkEnd w:id="84"/>
    <w:bookmarkStart w:id="86" w:name="ref-garamboisInferenceEffectiveRiver2015"/>
    <w:p>
      <w:pPr>
        <w:pStyle w:val="Bibliography"/>
      </w:pPr>
      <w:r>
        <w:t xml:space="preserve">Garambois, P.-A., Monnier, J., 2015. Inference of effective river properties from remotely sensed observations of water surface. Advances in Water Resources 79, 103–120.</w:t>
      </w:r>
      <w:r>
        <w:t xml:space="preserve"> </w:t>
      </w:r>
      <w:hyperlink r:id="rId85">
        <w:r>
          <w:rPr>
            <w:rStyle w:val="Hyperlink"/>
          </w:rPr>
          <w:t xml:space="preserve">https://doi.org/10.1016/j.advwatres.2015.02.007</w:t>
        </w:r>
      </w:hyperlink>
    </w:p>
    <w:bookmarkEnd w:id="86"/>
    <w:bookmarkStart w:id="87" w:name="ref-gleasonRemoteSensingRiver2019"/>
    <w:p>
      <w:pPr>
        <w:pStyle w:val="Bibliography"/>
      </w:pPr>
      <w:r>
        <w:t xml:space="preserve">Gleason, C.J., Durand, M.T., 2019. Remote sensing of river discharge: A review and a framing for the discipline 32.</w:t>
      </w:r>
    </w:p>
    <w:bookmarkEnd w:id="87"/>
    <w:bookmarkStart w:id="89" w:name="ref-gleasonRetrievalRiverDischarge2014a"/>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88">
        <w:r>
          <w:rPr>
            <w:rStyle w:val="Hyperlink"/>
          </w:rPr>
          <w:t xml:space="preserve">https://doi.org/10.1002/2014WR016109</w:t>
        </w:r>
      </w:hyperlink>
    </w:p>
    <w:bookmarkEnd w:id="89"/>
    <w:bookmarkStart w:id="91" w:name="ref-graceFastProcessingDiel2015"/>
    <w:p>
      <w:pPr>
        <w:pStyle w:val="Bibliography"/>
      </w:pPr>
      <w:r>
        <w:t xml:space="preserve">Grace, M.R., Giling, D.P., Hladyz, S., Caron, V., Thompson, R.M., Nally, R.M., 2015. Fast processing of diel oxygen curves: Estimating stream metabolism with</w:t>
      </w:r>
      <w:r>
        <w:t xml:space="preserve"> </w:t>
      </w:r>
      <w:r>
        <w:t xml:space="preserve">BASE</w:t>
      </w:r>
      <w:r>
        <w:t xml:space="preserve"> </w:t>
      </w:r>
      <w:r>
        <w:t xml:space="preserve">(</w:t>
      </w:r>
      <w:r>
        <w:t xml:space="preserve">BAyesian Single</w:t>
      </w:r>
      <w:r>
        <w:t xml:space="preserve">-station</w:t>
      </w:r>
      <w:r>
        <w:t xml:space="preserve"> </w:t>
      </w:r>
      <w:r>
        <w:t xml:space="preserve">Estimation</w:t>
      </w:r>
      <w:r>
        <w:t xml:space="preserve">). Limnology and Oceanography: Methods 13, e10011.</w:t>
      </w:r>
      <w:r>
        <w:t xml:space="preserve"> </w:t>
      </w:r>
      <w:hyperlink r:id="rId90">
        <w:r>
          <w:rPr>
            <w:rStyle w:val="Hyperlink"/>
          </w:rPr>
          <w:t xml:space="preserve">https://doi.org/10.1002/lom3.10011</w:t>
        </w:r>
      </w:hyperlink>
    </w:p>
    <w:bookmarkEnd w:id="91"/>
    <w:bookmarkStart w:id="93" w:name="ref-gruberOceanicSinkAnthropogenic2019"/>
    <w:p>
      <w:pPr>
        <w:pStyle w:val="Bibliography"/>
      </w:pPr>
      <w:r>
        <w:t xml:space="preserve">Gruber, N., Clement, D., Carter, B.R., Feely, R.A., Heuven, S. van, Hoppema, M., Ishii, M., Key, R.M., Kozyr, A., Lauvset, S.K., Monaco, C.L., Mathis, J.T., Murata, A., Olsen, A., Perez, F.F., Sabine, C.L., Tanhua, T., Wanninkhof, R., 2019. The oceanic sink for anthropogenic</w:t>
      </w:r>
      <w:r>
        <w:t xml:space="preserve"> </w:t>
      </w:r>
      <w:r>
        <w:t xml:space="preserve">CO2</w:t>
      </w:r>
      <w:r>
        <w:t xml:space="preserve"> </w:t>
      </w:r>
      <w:r>
        <w:t xml:space="preserve">from 1994 to 2007. Science 363, 1193–1199.</w:t>
      </w:r>
      <w:r>
        <w:t xml:space="preserve"> </w:t>
      </w:r>
      <w:hyperlink r:id="rId92">
        <w:r>
          <w:rPr>
            <w:rStyle w:val="Hyperlink"/>
          </w:rPr>
          <w:t xml:space="preserve">https://doi.org/10.1126/science.aau5153</w:t>
        </w:r>
      </w:hyperlink>
    </w:p>
    <w:bookmarkEnd w:id="93"/>
    <w:bookmarkStart w:id="95" w:name="ref-hagemannBAMBayesianAMHGManning2017"/>
    <w:p>
      <w:pPr>
        <w:pStyle w:val="Bibliography"/>
      </w:pPr>
      <w:r>
        <w:t xml:space="preserve">Hagemann, M.W., Gleason, C.J., Durand, M.T., 2017.</w:t>
      </w:r>
      <w:r>
        <w:t xml:space="preserve"> </w:t>
      </w:r>
      <w:r>
        <w:t xml:space="preserve">BAM</w:t>
      </w:r>
      <w:r>
        <w:t xml:space="preserve">: Bayesian</w:t>
      </w:r>
      <w:r>
        <w:t xml:space="preserve"> </w:t>
      </w:r>
      <w:r>
        <w:t xml:space="preserve">AMHG</w:t>
      </w:r>
      <w:r>
        <w:t xml:space="preserve">-</w:t>
      </w:r>
      <w:r>
        <w:t xml:space="preserve">Manning Inference</w:t>
      </w:r>
      <w:r>
        <w:t xml:space="preserve"> </w:t>
      </w:r>
      <w:r>
        <w:t xml:space="preserve">of</w:t>
      </w:r>
      <w:r>
        <w:t xml:space="preserve"> </w:t>
      </w:r>
      <w:r>
        <w:t xml:space="preserve">Discharge Using Remotely Sensed Stream Width</w:t>
      </w:r>
      <w:r>
        <w:t xml:space="preserve">,</w:t>
      </w:r>
      <w:r>
        <w:t xml:space="preserve"> </w:t>
      </w:r>
      <w:r>
        <w:t xml:space="preserve">Slope</w:t>
      </w:r>
      <w:r>
        <w:t xml:space="preserve">, and</w:t>
      </w:r>
      <w:r>
        <w:t xml:space="preserve"> </w:t>
      </w:r>
      <w:r>
        <w:t xml:space="preserve">Height</w:t>
      </w:r>
      <w:r>
        <w:t xml:space="preserve">. Water Resources Research 53, 9692–9707.</w:t>
      </w:r>
      <w:r>
        <w:t xml:space="preserve"> </w:t>
      </w:r>
      <w:hyperlink r:id="rId94">
        <w:r>
          <w:rPr>
            <w:rStyle w:val="Hyperlink"/>
          </w:rPr>
          <w:t xml:space="preserve">https://doi.org/10.1002/2017WR021626</w:t>
        </w:r>
      </w:hyperlink>
    </w:p>
    <w:bookmarkEnd w:id="95"/>
    <w:bookmarkStart w:id="97" w:name="ref-hallAirWaterOxygen2012"/>
    <w:p>
      <w:pPr>
        <w:pStyle w:val="Bibliography"/>
      </w:pPr>
      <w:r>
        <w:t xml:space="preserve">Hall, R.O., Kennedy, T.A., Rosi-Marshall, E.J., 2012. Air</w:t>
      </w:r>
      <w:r>
        <w:t xml:space="preserve">water oxygen exchange in a large whitewater river. Limnology and Oceanography: Fluids and Environments 2, 1–11.</w:t>
      </w:r>
      <w:r>
        <w:t xml:space="preserve"> </w:t>
      </w:r>
      <w:hyperlink r:id="rId96">
        <w:r>
          <w:rPr>
            <w:rStyle w:val="Hyperlink"/>
          </w:rPr>
          <w:t xml:space="preserve">https://doi.org/10.1215/21573689-1572535</w:t>
        </w:r>
      </w:hyperlink>
    </w:p>
    <w:bookmarkEnd w:id="97"/>
    <w:bookmarkStart w:id="99" w:name="ref-hallGasExchangeStreams2020"/>
    <w:p>
      <w:pPr>
        <w:pStyle w:val="Bibliography"/>
      </w:pPr>
      <w:r>
        <w:t xml:space="preserve">Hall, R.O., Ulseth, A.J., 2020. Gas exchange in streams and rivers. WIREs Water 7, e1391.</w:t>
      </w:r>
      <w:r>
        <w:t xml:space="preserve"> </w:t>
      </w:r>
      <w:hyperlink r:id="rId98">
        <w:r>
          <w:rPr>
            <w:rStyle w:val="Hyperlink"/>
          </w:rPr>
          <w:t xml:space="preserve">https://doi.org/10.1002/wat2.1391</w:t>
        </w:r>
      </w:hyperlink>
    </w:p>
    <w:bookmarkEnd w:id="99"/>
    <w:bookmarkStart w:id="101" w:name="ref-harlanDischargeEstimationDense2021"/>
    <w:p>
      <w:pPr>
        <w:pStyle w:val="Bibliography"/>
      </w:pPr>
      <w:r>
        <w:t xml:space="preserve">Harlan, M.E., Gleason, C.J., Altenau, E.H., Butman, D., Carter, T., Chu, V.W., Cooley, S.W., Dolan, W.D., Durand, M.T., Eidam, E., Fayne, J.V., Feng, D., Ishitsuka, Y., Kuhn, C., Kyzivat, E.D., Langhorst, T., Minear, J.T., Pavelsky, T.M., Peters, D.L., Pietroniro, A., Pitcher, L.H., Smith, L.C., 2021. Discharge</w:t>
      </w:r>
      <w:r>
        <w:t xml:space="preserve"> </w:t>
      </w:r>
      <w:r>
        <w:t xml:space="preserve">Estimation</w:t>
      </w:r>
      <w:r>
        <w:t xml:space="preserve"> </w:t>
      </w:r>
      <w:r>
        <w:t xml:space="preserve">from</w:t>
      </w:r>
      <w:r>
        <w:t xml:space="preserve"> </w:t>
      </w:r>
      <w:r>
        <w:t xml:space="preserve">Dense Arrays</w:t>
      </w:r>
      <w:r>
        <w:t xml:space="preserve"> </w:t>
      </w:r>
      <w:r>
        <w:t xml:space="preserve">of</w:t>
      </w:r>
      <w:r>
        <w:t xml:space="preserve"> </w:t>
      </w:r>
      <w:r>
        <w:t xml:space="preserve">Pressure Transducers</w:t>
      </w:r>
      <w:r>
        <w:t xml:space="preserve">. Water Resources Research n/a, e2020WR028714.</w:t>
      </w:r>
      <w:r>
        <w:t xml:space="preserve"> </w:t>
      </w:r>
      <w:hyperlink r:id="rId100">
        <w:r>
          <w:rPr>
            <w:rStyle w:val="Hyperlink"/>
          </w:rPr>
          <w:t xml:space="preserve">https://doi.org/10.1029/2020WR028714</w:t>
        </w:r>
      </w:hyperlink>
    </w:p>
    <w:bookmarkEnd w:id="101"/>
    <w:bookmarkStart w:id="103" w:name="X452109278ab79ad5ddacdda89e5aaa0cc066076"/>
    <w:p>
      <w:pPr>
        <w:pStyle w:val="Bibliography"/>
      </w:pPr>
      <w:r>
        <w:t xml:space="preserve">Holtgrieve, G.W., Schindler, D.E., Branch, T.A., A’mar, Z.T., 2010. Simultaneous quantification of aquatic ecosystem metabolism and reaeration using a</w:t>
      </w:r>
      <w:r>
        <w:t xml:space="preserve"> </w:t>
      </w:r>
      <w:r>
        <w:t xml:space="preserve">Bayesian</w:t>
      </w:r>
      <w:r>
        <w:t xml:space="preserve"> </w:t>
      </w:r>
      <w:r>
        <w:t xml:space="preserve">statistical model of oxygen dynamics. Limnology and Oceanography 55, 1047–1063.</w:t>
      </w:r>
      <w:r>
        <w:t xml:space="preserve"> </w:t>
      </w:r>
      <w:hyperlink r:id="rId102">
        <w:r>
          <w:rPr>
            <w:rStyle w:val="Hyperlink"/>
          </w:rPr>
          <w:t xml:space="preserve">https://doi.org/10.4319/lo.2010.55.3.1047</w:t>
        </w:r>
      </w:hyperlink>
    </w:p>
    <w:bookmarkEnd w:id="103"/>
    <w:bookmarkStart w:id="105" w:name="ref-horgbyUnexpectedLargeEvasion2019"/>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104">
        <w:r>
          <w:rPr>
            <w:rStyle w:val="Hyperlink"/>
          </w:rPr>
          <w:t xml:space="preserve">https://doi.org/10.1038/s41467-019-12905-z</w:t>
        </w:r>
      </w:hyperlink>
    </w:p>
    <w:bookmarkEnd w:id="105"/>
    <w:bookmarkStart w:id="107" w:name="ref-ishitsukaCombiningOpticalRemote2020"/>
    <w:p>
      <w:pPr>
        <w:pStyle w:val="Bibliography"/>
      </w:pPr>
      <w:r>
        <w:t xml:space="preserve">Ishitsuka, Y., Gleason, C.J., Hagemann, M.W., Beighley, E., Allen, G.H., Feng, D., Lin, P., Pan, M., Andreadis, K., Pavelsky, T.M., 2020. Combining optical remote sensing,</w:t>
      </w:r>
      <w:r>
        <w:t xml:space="preserve"> </w:t>
      </w:r>
      <w:r>
        <w:t xml:space="preserve">McFLI</w:t>
      </w:r>
      <w:r>
        <w:t xml:space="preserve"> </w:t>
      </w:r>
      <w:r>
        <w:t xml:space="preserve">discharge estimation, global hydrologic modelling, and data assimilation to improve daily discharge estimates across an entire large watershed. Water Resources Research n/a.</w:t>
      </w:r>
      <w:r>
        <w:t xml:space="preserve"> </w:t>
      </w:r>
      <w:hyperlink r:id="rId106">
        <w:r>
          <w:rPr>
            <w:rStyle w:val="Hyperlink"/>
          </w:rPr>
          <w:t xml:space="preserve">https://doi.org/10.1029/2020WR027794</w:t>
        </w:r>
      </w:hyperlink>
    </w:p>
    <w:bookmarkEnd w:id="107"/>
    <w:bookmarkStart w:id="108" w:name="ref-lamontEddyCellModel1970"/>
    <w:p>
      <w:pPr>
        <w:pStyle w:val="Bibliography"/>
      </w:pPr>
      <w:r>
        <w:t xml:space="preserve">Lamont, J., C, Scott, D.S., 1970. An</w:t>
      </w:r>
      <w:r>
        <w:t xml:space="preserve"> </w:t>
      </w:r>
      <w:r>
        <w:t xml:space="preserve">Eddy Cell Model</w:t>
      </w:r>
      <w:r>
        <w:t xml:space="preserve"> </w:t>
      </w:r>
      <w:r>
        <w:t xml:space="preserve">of</w:t>
      </w:r>
      <w:r>
        <w:t xml:space="preserve"> </w:t>
      </w:r>
      <w:r>
        <w:t xml:space="preserve">Mass Transfer</w:t>
      </w:r>
      <w:r>
        <w:t xml:space="preserve"> </w:t>
      </w:r>
      <w:r>
        <w:t xml:space="preserve">into the</w:t>
      </w:r>
      <w:r>
        <w:t xml:space="preserve"> </w:t>
      </w:r>
      <w:r>
        <w:t xml:space="preserve">Surface</w:t>
      </w:r>
      <w:r>
        <w:t xml:space="preserve"> </w:t>
      </w:r>
      <w:r>
        <w:t xml:space="preserve">of a</w:t>
      </w:r>
      <w:r>
        <w:t xml:space="preserve"> </w:t>
      </w:r>
      <w:r>
        <w:t xml:space="preserve">Turbulent Liquid</w:t>
      </w:r>
      <w:r>
        <w:t xml:space="preserve">. AIChE Journal 16, 513–519.</w:t>
      </w:r>
    </w:p>
    <w:bookmarkEnd w:id="108"/>
    <w:bookmarkStart w:id="110" w:name="ref-larnierRiverDischargeBathymetry2020a"/>
    <w:p>
      <w:pPr>
        <w:pStyle w:val="Bibliography"/>
      </w:pPr>
      <w:r>
        <w:t xml:space="preserve">Larnier, K., Monnier, J., Garambois, P.-A., Verley, J., 2020. River discharge and bathymetry estimation from</w:t>
      </w:r>
      <w:r>
        <w:t xml:space="preserve"> </w:t>
      </w:r>
      <w:r>
        <w:t xml:space="preserve">SWOT</w:t>
      </w:r>
      <w:r>
        <w:t xml:space="preserve"> </w:t>
      </w:r>
      <w:r>
        <w:t xml:space="preserve">altimetry measurements. Inverse Problems in Science and Engineering 0, 1–31.</w:t>
      </w:r>
      <w:r>
        <w:t xml:space="preserve"> </w:t>
      </w:r>
      <w:hyperlink r:id="rId109">
        <w:r>
          <w:rPr>
            <w:rStyle w:val="Hyperlink"/>
          </w:rPr>
          <w:t xml:space="preserve">https://doi.org/10.1080/17415977.2020.1803858</w:t>
        </w:r>
      </w:hyperlink>
    </w:p>
    <w:bookmarkEnd w:id="110"/>
    <w:bookmarkStart w:id="112" w:name="ref-lauerwaldSpatialPatternsCO22015"/>
    <w:p>
      <w:pPr>
        <w:pStyle w:val="Bibliography"/>
      </w:pPr>
      <w:r>
        <w:t xml:space="preserve">Lauerwald, R., Laruelle, G.G., Hartmann, J., Ciais, P., Regnier, P.A.G., 2015. Spatial patterns in</w:t>
      </w:r>
      <w:r>
        <w:t xml:space="preserve"> </w:t>
      </w:r>
      <w:r>
        <w:t xml:space="preserve">CO2</w:t>
      </w:r>
      <w:r>
        <w:t xml:space="preserve"> </w:t>
      </w:r>
      <w:r>
        <w:t xml:space="preserve">evasion from the global river network. Global Biogeochemical Cycles 29, 534–554.</w:t>
      </w:r>
      <w:r>
        <w:t xml:space="preserve"> </w:t>
      </w:r>
      <w:hyperlink r:id="rId111">
        <w:r>
          <w:rPr>
            <w:rStyle w:val="Hyperlink"/>
          </w:rPr>
          <w:t xml:space="preserve">https://doi.org/10.1002/2014GB004941</w:t>
        </w:r>
      </w:hyperlink>
    </w:p>
    <w:bookmarkEnd w:id="112"/>
    <w:bookmarkStart w:id="113" w:name="ref-leopoldHydraulicGeometryStream1953"/>
    <w:p>
      <w:pPr>
        <w:pStyle w:val="Bibliography"/>
      </w:pPr>
      <w:r>
        <w:t xml:space="preserve">Leopold, L.B., Maddock, T., 1953. The</w:t>
      </w:r>
      <w:r>
        <w:t xml:space="preserve"> </w:t>
      </w:r>
      <w:r>
        <w:t xml:space="preserve">Hydraulic Geometry</w:t>
      </w:r>
      <w:r>
        <w:t xml:space="preserve"> </w:t>
      </w:r>
      <w:r>
        <w:t xml:space="preserve">of</w:t>
      </w:r>
      <w:r>
        <w:t xml:space="preserve"> </w:t>
      </w:r>
      <w:r>
        <w:t xml:space="preserve">Stream Channels</w:t>
      </w:r>
      <w:r>
        <w:t xml:space="preserve"> </w:t>
      </w:r>
      <w:r>
        <w:t xml:space="preserve">and</w:t>
      </w:r>
      <w:r>
        <w:t xml:space="preserve"> </w:t>
      </w:r>
      <w:r>
        <w:t xml:space="preserve">Some Physiographic Implications</w:t>
      </w:r>
      <w:r>
        <w:t xml:space="preserve">.</w:t>
      </w:r>
      <w:r>
        <w:t xml:space="preserve"> </w:t>
      </w:r>
      <w:r>
        <w:t xml:space="preserve">U.S. Government Printing Office</w:t>
      </w:r>
      <w:r>
        <w:t xml:space="preserve">.</w:t>
      </w:r>
    </w:p>
    <w:bookmarkEnd w:id="113"/>
    <w:bookmarkStart w:id="115" w:name="ref-lorkeUnifiedScalingRelation2006"/>
    <w:p>
      <w:pPr>
        <w:pStyle w:val="Bibliography"/>
      </w:pPr>
      <w:r>
        <w:t xml:space="preserve">Lorke, A., Peeters, F., 2006. Toward a</w:t>
      </w:r>
      <w:r>
        <w:t xml:space="preserve"> </w:t>
      </w:r>
      <w:r>
        <w:t xml:space="preserve">Unified Scaling Relation</w:t>
      </w:r>
      <w:r>
        <w:t xml:space="preserve"> </w:t>
      </w:r>
      <w:r>
        <w:t xml:space="preserve">for</w:t>
      </w:r>
      <w:r>
        <w:t xml:space="preserve"> </w:t>
      </w:r>
      <w:r>
        <w:t xml:space="preserve">Interfacial Fluxes</w:t>
      </w:r>
      <w:r>
        <w:t xml:space="preserve">. Journal of Physical Oceanography 36, 955–961.</w:t>
      </w:r>
      <w:r>
        <w:t xml:space="preserve"> </w:t>
      </w:r>
      <w:hyperlink r:id="rId114">
        <w:r>
          <w:rPr>
            <w:rStyle w:val="Hyperlink"/>
          </w:rPr>
          <w:t xml:space="preserve">https://doi.org/10.1175/JPO2903.1</w:t>
        </w:r>
      </w:hyperlink>
    </w:p>
    <w:bookmarkEnd w:id="115"/>
    <w:bookmarkStart w:id="117" w:name="ref-moogAirWaterGasTransfer1999"/>
    <w:p>
      <w:pPr>
        <w:pStyle w:val="Bibliography"/>
      </w:pPr>
      <w:r>
        <w:t xml:space="preserve">Moog, Douglas B., Jirka, G.H., 1999b. Air-</w:t>
      </w:r>
      <w:r>
        <w:t xml:space="preserve">Water Gas Transfer</w:t>
      </w:r>
      <w:r>
        <w:t xml:space="preserve"> </w:t>
      </w:r>
      <w:r>
        <w:t xml:space="preserve">in</w:t>
      </w:r>
      <w:r>
        <w:t xml:space="preserve"> </w:t>
      </w:r>
      <w:r>
        <w:t xml:space="preserve">Uniform Channel Flow</w:t>
      </w:r>
      <w:r>
        <w:t xml:space="preserve">. Journal of Hydraulic Engineering 125, 3–10.</w:t>
      </w:r>
      <w:r>
        <w:t xml:space="preserve"> </w:t>
      </w:r>
      <w:hyperlink r:id="rId116">
        <w:r>
          <w:rPr>
            <w:rStyle w:val="Hyperlink"/>
          </w:rPr>
          <w:t xml:space="preserve">https://doi.org/10.1061/(ASCE)0733-9429(1999)125:1(3)</w:t>
        </w:r>
      </w:hyperlink>
    </w:p>
    <w:bookmarkEnd w:id="117"/>
    <w:bookmarkStart w:id="118" w:name="ref-moogStreamReaerationNonuniform1999"/>
    <w:p>
      <w:pPr>
        <w:pStyle w:val="Bibliography"/>
      </w:pPr>
      <w:r>
        <w:t xml:space="preserve">Moog, Douglas B., Jirka, G.H., 1999a. Stream</w:t>
      </w:r>
      <w:r>
        <w:t xml:space="preserve"> </w:t>
      </w:r>
      <w:r>
        <w:t xml:space="preserve">Reaeration</w:t>
      </w:r>
      <w:r>
        <w:t xml:space="preserve"> </w:t>
      </w:r>
      <w:r>
        <w:t xml:space="preserve">in</w:t>
      </w:r>
      <w:r>
        <w:t xml:space="preserve"> </w:t>
      </w:r>
      <w:r>
        <w:t xml:space="preserve">Nonuniform Flow</w:t>
      </w:r>
      <w:r>
        <w:t xml:space="preserve">: Macroroughness</w:t>
      </w:r>
      <w:r>
        <w:t xml:space="preserve"> </w:t>
      </w:r>
      <w:r>
        <w:t xml:space="preserve">Enhancement</w:t>
      </w:r>
      <w:r>
        <w:t xml:space="preserve">. Journal of Hydraulic Engineering 125, 6.</w:t>
      </w:r>
    </w:p>
    <w:bookmarkEnd w:id="118"/>
    <w:bookmarkStart w:id="120" w:name="Xf0d7134c4429b54eb59e67421c7f58b95f7f684"/>
    <w:p>
      <w:pPr>
        <w:pStyle w:val="Bibliography"/>
      </w:pPr>
      <w:r>
        <w:t xml:space="preserve">Oubanas, H., Gejadze, I., Malaterre, P.-O., Durand, M., Wei, R., Frasson, R.P.M., Domeneghetti, A., 2018. Discharge</w:t>
      </w:r>
      <w:r>
        <w:t xml:space="preserve"> </w:t>
      </w:r>
      <w:r>
        <w:t xml:space="preserve">Estimation</w:t>
      </w:r>
      <w:r>
        <w:t xml:space="preserve"> </w:t>
      </w:r>
      <w:r>
        <w:t xml:space="preserve">in</w:t>
      </w:r>
      <w:r>
        <w:t xml:space="preserve"> </w:t>
      </w:r>
      <w:r>
        <w:t xml:space="preserve">Ungauged Basins Through Variational Data Assimilation</w:t>
      </w:r>
      <w:r>
        <w:t xml:space="preserve">: The</w:t>
      </w:r>
      <w:r>
        <w:t xml:space="preserve"> </w:t>
      </w:r>
      <w:r>
        <w:t xml:space="preserve">Potential</w:t>
      </w:r>
      <w:r>
        <w:t xml:space="preserve"> </w:t>
      </w:r>
      <w:r>
        <w:t xml:space="preserve">of the</w:t>
      </w:r>
      <w:r>
        <w:t xml:space="preserve"> </w:t>
      </w:r>
      <w:r>
        <w:t xml:space="preserve">SWOT Mission</w:t>
      </w:r>
      <w:r>
        <w:t xml:space="preserve">. Water Resources Research 54, 2405–2423.</w:t>
      </w:r>
      <w:r>
        <w:t xml:space="preserve"> </w:t>
      </w:r>
      <w:hyperlink r:id="rId119">
        <w:r>
          <w:rPr>
            <w:rStyle w:val="Hyperlink"/>
          </w:rPr>
          <w:t xml:space="preserve">https://doi.org/10.1002/2017WR021735</w:t>
        </w:r>
      </w:hyperlink>
    </w:p>
    <w:bookmarkEnd w:id="120"/>
    <w:bookmarkStart w:id="121" w:name="ref-owensReaerationStudiesStreams1964"/>
    <w:p>
      <w:pPr>
        <w:pStyle w:val="Bibliography"/>
      </w:pPr>
      <w:r>
        <w:t xml:space="preserve">Owens, M., Edwards, R.W., Gibbs, J.W., 1964. Some reaeration studies in streams. Inter. J. Air Water Poll. 8, 469–486.</w:t>
      </w:r>
    </w:p>
    <w:bookmarkEnd w:id="121"/>
    <w:bookmarkStart w:id="123" w:name="ref-panLargePersistentCarbon2011"/>
    <w:p>
      <w:pPr>
        <w:pStyle w:val="Bibliography"/>
      </w:pPr>
      <w:r>
        <w:t xml:space="preserve">Pan, Y., Birdsey, R.A., Fang, J., Houghton, R., Kauppi, P.E., Kurz, W.A., Phillips, O.L., Shvidenko, A., Lewis, S.L., Canadell, J.G., Ciais, P., Jackson, R.B., Pacala, S.W., McGuire, A.D., Piao, S., Rautiainen, A., Sitch, S.,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Science 333, 988–993.</w:t>
      </w:r>
      <w:r>
        <w:t xml:space="preserve"> </w:t>
      </w:r>
      <w:hyperlink r:id="rId122">
        <w:r>
          <w:rPr>
            <w:rStyle w:val="Hyperlink"/>
          </w:rPr>
          <w:t xml:space="preserve">https://doi.org/10.1126/science.1201609</w:t>
        </w:r>
      </w:hyperlink>
    </w:p>
    <w:bookmarkEnd w:id="123"/>
    <w:bookmarkStart w:id="125" w:name="ref-raymondGlobalCarbonDioxide2013"/>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124">
        <w:r>
          <w:rPr>
            <w:rStyle w:val="Hyperlink"/>
          </w:rPr>
          <w:t xml:space="preserve">https://doi.org/10.1038/nature12760</w:t>
        </w:r>
      </w:hyperlink>
    </w:p>
    <w:bookmarkEnd w:id="125"/>
    <w:bookmarkStart w:id="127" w:name="ref-raymondScalingGasTransfer2012"/>
    <w:p>
      <w:pPr>
        <w:pStyle w:val="Bibliography"/>
      </w:pPr>
      <w:r>
        <w:t xml:space="preserve">Raymond, P.A., Zappa, C.J., Butman, D., Bott, T.L., Potter, J., Mulholland, P., Laursen, A.E., McDowell, W.H., Newbold, D., 2012. Scaling the gas transfer velocity and hydraulic geometry in streams and small rivers. Limnology and Oceanography 41–53.</w:t>
      </w:r>
      <w:r>
        <w:t xml:space="preserve"> </w:t>
      </w:r>
      <w:hyperlink r:id="rId126">
        <w:r>
          <w:rPr>
            <w:rStyle w:val="Hyperlink"/>
          </w:rPr>
          <w:t xml:space="preserve">https://doi.org/10.1215/21573689-1597669@10.1002/(ISSN)1939-5590.MethaneVI</w:t>
        </w:r>
      </w:hyperlink>
    </w:p>
    <w:bookmarkEnd w:id="127"/>
    <w:bookmarkStart w:id="129" w:name="ref-robertsMultipleScalesTemporal2007"/>
    <w:p>
      <w:pPr>
        <w:pStyle w:val="Bibliography"/>
      </w:pPr>
      <w:r>
        <w:t xml:space="preserve">Roberts, B.J., Mulholland, P.J., Hill, W.R., 2007. Multiple</w:t>
      </w:r>
      <w:r>
        <w:t xml:space="preserve"> </w:t>
      </w:r>
      <w:r>
        <w:t xml:space="preserve">Scales</w:t>
      </w:r>
      <w:r>
        <w:t xml:space="preserve"> </w:t>
      </w:r>
      <w:r>
        <w:t xml:space="preserve">of</w:t>
      </w:r>
      <w:r>
        <w:t xml:space="preserve"> </w:t>
      </w:r>
      <w:r>
        <w:t xml:space="preserve">Temporal Variability</w:t>
      </w:r>
      <w:r>
        <w:t xml:space="preserve"> </w:t>
      </w:r>
      <w:r>
        <w:t xml:space="preserve">in</w:t>
      </w:r>
      <w:r>
        <w:t xml:space="preserve"> </w:t>
      </w:r>
      <w:r>
        <w:t xml:space="preserve">Ecosystem Metabolism Rates</w:t>
      </w:r>
      <w:r>
        <w:t xml:space="preserve">: Results from 2 </w:t>
      </w:r>
      <w:r>
        <w:t xml:space="preserve">Years</w:t>
      </w:r>
      <w:r>
        <w:t xml:space="preserve"> </w:t>
      </w:r>
      <w:r>
        <w:t xml:space="preserve">of</w:t>
      </w:r>
      <w:r>
        <w:t xml:space="preserve"> </w:t>
      </w:r>
      <w:r>
        <w:t xml:space="preserve">Continuous Monitoring</w:t>
      </w:r>
      <w:r>
        <w:t xml:space="preserve"> </w:t>
      </w:r>
      <w:r>
        <w:t xml:space="preserve">in a</w:t>
      </w:r>
      <w:r>
        <w:t xml:space="preserve"> </w:t>
      </w:r>
      <w:r>
        <w:t xml:space="preserve">Forested Headwater Stream</w:t>
      </w:r>
      <w:r>
        <w:t xml:space="preserve">. Ecosystems 10, 588–606.</w:t>
      </w:r>
      <w:r>
        <w:t xml:space="preserve"> </w:t>
      </w:r>
      <w:hyperlink r:id="rId128">
        <w:r>
          <w:rPr>
            <w:rStyle w:val="Hyperlink"/>
          </w:rPr>
          <w:t xml:space="preserve">https://doi.org/10.1007/s10021-007-9059-2</w:t>
        </w:r>
      </w:hyperlink>
    </w:p>
    <w:bookmarkEnd w:id="129"/>
    <w:bookmarkStart w:id="131" w:name="ref-sand-jensenCO2DynamicsDanish2012"/>
    <w:p>
      <w:pPr>
        <w:pStyle w:val="Bibliography"/>
      </w:pPr>
      <w:r>
        <w:t xml:space="preserve">Sand-Jensen, K., Staehr, P.A., 2012.</w:t>
      </w:r>
      <w:r>
        <w:t xml:space="preserve"> </w:t>
      </w:r>
      <w:r>
        <w:t xml:space="preserve">CO2</w:t>
      </w:r>
      <w:r>
        <w:t xml:space="preserve"> </w:t>
      </w:r>
      <w:r>
        <w:t xml:space="preserve">dynamics along</w:t>
      </w:r>
      <w:r>
        <w:t xml:space="preserve"> </w:t>
      </w:r>
      <w:r>
        <w:t xml:space="preserve">Danish</w:t>
      </w:r>
      <w:r>
        <w:t xml:space="preserve"> </w:t>
      </w:r>
      <w:r>
        <w:t xml:space="preserve">lowland streams: Water</w:t>
      </w:r>
      <w:r>
        <w:t xml:space="preserve">air gradients, piston velocities and evasion rates. Biogeochemistry 111, 615–628.</w:t>
      </w:r>
      <w:r>
        <w:t xml:space="preserve"> </w:t>
      </w:r>
      <w:hyperlink r:id="rId130">
        <w:r>
          <w:rPr>
            <w:rStyle w:val="Hyperlink"/>
          </w:rPr>
          <w:t xml:space="preserve">https://doi.org/10.1007/s10533-011-9696-6</w:t>
        </w:r>
      </w:hyperlink>
    </w:p>
    <w:bookmarkEnd w:id="131"/>
    <w:bookmarkStart w:id="133" w:name="ref-schelkerCO2EvasionSteep2016"/>
    <w:p>
      <w:pPr>
        <w:pStyle w:val="Bibliography"/>
      </w:pPr>
      <w:r>
        <w:t xml:space="preserve">Schelker, J., Singer, G.A., Ulseth, A.J., Hengsberger, S., Battin, T.J., 2016.</w:t>
      </w:r>
      <w:r>
        <w:t xml:space="preserve"> </w:t>
      </w:r>
      <w:r>
        <w:t xml:space="preserve">CO2</w:t>
      </w:r>
      <w:r>
        <w:t xml:space="preserve"> </w:t>
      </w:r>
      <w:r>
        <w:t xml:space="preserve">evasion from a steep, high gradient stream network: Importance of seasonal and diurnal variation in aquatic</w:t>
      </w:r>
      <w:r>
        <w:t xml:space="preserve"> </w:t>
      </w:r>
      <w:r>
        <w:t xml:space="preserve">pCO2</w:t>
      </w:r>
      <w:r>
        <w:t xml:space="preserve"> </w:t>
      </w:r>
      <w:r>
        <w:t xml:space="preserve">and gas transfer. Limnology and Oceanography 61, 1826–1838.</w:t>
      </w:r>
      <w:r>
        <w:t xml:space="preserve"> </w:t>
      </w:r>
      <w:hyperlink r:id="rId132">
        <w:r>
          <w:rPr>
            <w:rStyle w:val="Hyperlink"/>
          </w:rPr>
          <w:t xml:space="preserve">https://doi.org/10.1002/lno.10339</w:t>
        </w:r>
      </w:hyperlink>
    </w:p>
    <w:bookmarkEnd w:id="133"/>
    <w:bookmarkStart w:id="135" w:name="X13215b45f62eaaee2da03675b69d0e659f5e709"/>
    <w:p>
      <w:pPr>
        <w:pStyle w:val="Bibliography"/>
      </w:pPr>
      <w:r>
        <w:t xml:space="preserve">Uehlinger, U., Naegeli, M.W., 1998. Ecosystem</w:t>
      </w:r>
      <w:r>
        <w:t xml:space="preserve"> </w:t>
      </w:r>
      <w:r>
        <w:t xml:space="preserve">Metabolism</w:t>
      </w:r>
      <w:r>
        <w:t xml:space="preserve">,</w:t>
      </w:r>
      <w:r>
        <w:t xml:space="preserve"> </w:t>
      </w:r>
      <w:r>
        <w:t xml:space="preserve">Disturbance</w:t>
      </w:r>
      <w:r>
        <w:t xml:space="preserve">, and</w:t>
      </w:r>
      <w:r>
        <w:t xml:space="preserve"> </w:t>
      </w:r>
      <w:r>
        <w:t xml:space="preserve">Stability</w:t>
      </w:r>
      <w:r>
        <w:t xml:space="preserve"> </w:t>
      </w:r>
      <w:r>
        <w:t xml:space="preserve">in a</w:t>
      </w:r>
      <w:r>
        <w:t xml:space="preserve"> </w:t>
      </w:r>
      <w:r>
        <w:t xml:space="preserve">Prealpine Gravel Bed River</w:t>
      </w:r>
      <w:r>
        <w:t xml:space="preserve">. Journal of the North American Benthological Society 17, 165–178.</w:t>
      </w:r>
      <w:r>
        <w:t xml:space="preserve"> </w:t>
      </w:r>
      <w:hyperlink r:id="rId134">
        <w:r>
          <w:rPr>
            <w:rStyle w:val="Hyperlink"/>
          </w:rPr>
          <w:t xml:space="preserve">https://doi.org/10.2307/1467960</w:t>
        </w:r>
      </w:hyperlink>
    </w:p>
    <w:bookmarkEnd w:id="135"/>
    <w:bookmarkStart w:id="137" w:name="ref-ulsethDistinctAirWater2019"/>
    <w:p>
      <w:pPr>
        <w:pStyle w:val="Bibliography"/>
      </w:pPr>
      <w:r>
        <w:t xml:space="preserve">Ulseth, A.J., Hall, R.O., Boix Canadell, M., Madinger, H.L., Niayifar, A., Battin, T.J., 2019. Distinct air</w:t>
      </w:r>
      <w:r>
        <w:t xml:space="preserve">water gas exchange regimes in low- and high-energy streams. Nature Geoscience 12, 259–263.</w:t>
      </w:r>
      <w:r>
        <w:t xml:space="preserve"> </w:t>
      </w:r>
      <w:hyperlink r:id="rId136">
        <w:r>
          <w:rPr>
            <w:rStyle w:val="Hyperlink"/>
          </w:rPr>
          <w:t xml:space="preserve">https://doi.org/10.1038/s41561-019-0324-8</w:t>
        </w:r>
      </w:hyperlink>
    </w:p>
    <w:bookmarkEnd w:id="137"/>
    <w:bookmarkStart w:id="139" w:name="Xf018031ac1968502e8c6e3c3ca9744200b7cb3d"/>
    <w:p>
      <w:pPr>
        <w:pStyle w:val="Bibliography"/>
      </w:pPr>
      <w:r>
        <w:t xml:space="preserve">Vachon, D., Prairie, Y.T., Cole, J.J., 2010. The relationship between near-surface turbulence and gas transfer velocity in freshwater systems and its implications for floating chamber measurements of gas exchange. Limnology and Oceanography 55, 1723–1732.</w:t>
      </w:r>
      <w:r>
        <w:t xml:space="preserve"> </w:t>
      </w:r>
      <w:hyperlink r:id="rId138">
        <w:r>
          <w:rPr>
            <w:rStyle w:val="Hyperlink"/>
          </w:rPr>
          <w:t xml:space="preserve">https://doi.org/10.4319/lo.2010.55.4.1723</w:t>
        </w:r>
      </w:hyperlink>
    </w:p>
    <w:bookmarkEnd w:id="139"/>
    <w:bookmarkStart w:id="141" w:name="X19bbff5009581955030fe4ea159830e4885d13d"/>
    <w:p>
      <w:pPr>
        <w:pStyle w:val="Bibliography"/>
      </w:pPr>
      <w:r>
        <w:t xml:space="preserve">Wallin, M.B., Öquist, M.G., Buffam, I., Billett, M.F., Nisell, J., Bishop, K.H., 2011. Spatiotemporal variability of the gas transfer coefficient (</w:t>
      </w:r>
      <w:r>
        <w:t xml:space="preserve">KCO2</w:t>
      </w:r>
      <w:r>
        <w:t xml:space="preserve">) in boreal streams: Implications for large scale estimates of</w:t>
      </w:r>
      <w:r>
        <w:t xml:space="preserve"> </w:t>
      </w:r>
      <w:r>
        <w:t xml:space="preserve">CO2</w:t>
      </w:r>
      <w:r>
        <w:t xml:space="preserve"> </w:t>
      </w:r>
      <w:r>
        <w:t xml:space="preserve">evasion. Global Biogeochemical Cycles 25.</w:t>
      </w:r>
      <w:r>
        <w:t xml:space="preserve"> </w:t>
      </w:r>
      <w:hyperlink r:id="rId140">
        <w:r>
          <w:rPr>
            <w:rStyle w:val="Hyperlink"/>
          </w:rPr>
          <w:t xml:space="preserve">https://doi.org/10.1029/2010GB003975</w:t>
        </w:r>
      </w:hyperlink>
    </w:p>
    <w:bookmarkEnd w:id="141"/>
    <w:bookmarkStart w:id="143" w:name="ref-wangPhysicallyBasedScaling2021"/>
    <w:p>
      <w:pPr>
        <w:pStyle w:val="Bibliography"/>
      </w:pPr>
      <w:r>
        <w:t xml:space="preserve">Wang, J., Bombardelli, F.A., Dong, X., 2021. Physically</w:t>
      </w:r>
      <w:r>
        <w:t xml:space="preserve"> </w:t>
      </w:r>
      <w:r>
        <w:t xml:space="preserve">Based Scaling Models</w:t>
      </w:r>
      <w:r>
        <w:t xml:space="preserve"> </w:t>
      </w:r>
      <w:r>
        <w:t xml:space="preserve">to</w:t>
      </w:r>
      <w:r>
        <w:t xml:space="preserve"> </w:t>
      </w:r>
      <w:r>
        <w:t xml:space="preserve">Predict Gas Transfer Velocity</w:t>
      </w:r>
      <w:r>
        <w:t xml:space="preserve"> </w:t>
      </w:r>
      <w:r>
        <w:t xml:space="preserve">in</w:t>
      </w:r>
      <w:r>
        <w:t xml:space="preserve"> </w:t>
      </w:r>
      <w:r>
        <w:t xml:space="preserve">Streams</w:t>
      </w:r>
      <w:r>
        <w:t xml:space="preserve"> </w:t>
      </w:r>
      <w:r>
        <w:t xml:space="preserve">and</w:t>
      </w:r>
      <w:r>
        <w:t xml:space="preserve"> </w:t>
      </w:r>
      <w:r>
        <w:t xml:space="preserve">Rivers</w:t>
      </w:r>
      <w:r>
        <w:t xml:space="preserve">. Water Resources Research 57, e2020WR028757.</w:t>
      </w:r>
      <w:r>
        <w:t xml:space="preserve"> </w:t>
      </w:r>
      <w:hyperlink r:id="rId142">
        <w:r>
          <w:rPr>
            <w:rStyle w:val="Hyperlink"/>
          </w:rPr>
          <w:t xml:space="preserve">https://doi.org/10.1029/2020WR028757</w:t>
        </w:r>
      </w:hyperlink>
    </w:p>
    <w:bookmarkEnd w:id="143"/>
    <w:bookmarkStart w:id="145" w:name="X804ba136179a13e572b325c3bd87532ab91e060"/>
    <w:p>
      <w:pPr>
        <w:pStyle w:val="Bibliography"/>
      </w:pPr>
      <w:r>
        <w:t xml:space="preserve">Wanninkhof, R., Asher, W.E., Ho, D.T., Sweeney, C., McGillis, W.R., 2009. Advances in</w:t>
      </w:r>
      <w:r>
        <w:t xml:space="preserve"> </w:t>
      </w:r>
      <w:r>
        <w:t xml:space="preserve">Quantifying Air</w:t>
      </w:r>
      <w:r>
        <w:t xml:space="preserve">-</w:t>
      </w:r>
      <w:r>
        <w:t xml:space="preserve">Sea Gas Exchange</w:t>
      </w:r>
      <w:r>
        <w:t xml:space="preserve"> </w:t>
      </w:r>
      <w:r>
        <w:t xml:space="preserve">and</w:t>
      </w:r>
      <w:r>
        <w:t xml:space="preserve"> </w:t>
      </w:r>
      <w:r>
        <w:t xml:space="preserve">Environmental Forcing</w:t>
      </w:r>
      <w:r>
        <w:t xml:space="preserve">. Annual Review of Marine Science 1, 213–244.</w:t>
      </w:r>
      <w:r>
        <w:t xml:space="preserve"> </w:t>
      </w:r>
      <w:hyperlink r:id="rId144">
        <w:r>
          <w:rPr>
            <w:rStyle w:val="Hyperlink"/>
          </w:rPr>
          <w:t xml:space="preserve">https://doi.org/10.1146/annurev.marine.010908.163742</w:t>
        </w:r>
      </w:hyperlink>
    </w:p>
    <w:bookmarkEnd w:id="145"/>
    <w:bookmarkStart w:id="147" w:name="Xeea10036bb7406a899d506648158b73655143f0"/>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46">
        <w:r>
          <w:rPr>
            <w:rStyle w:val="Hyperlink"/>
          </w:rPr>
          <w:t xml:space="preserve">https://doi.org/10.1029/2006GL028790</w:t>
        </w:r>
      </w:hyperlink>
    </w:p>
    <w:bookmarkEnd w:id="147"/>
    <w:bookmarkStart w:id="149" w:name="ref-zappaVariationSurfaceTurbulence2003"/>
    <w:p>
      <w:pPr>
        <w:pStyle w:val="Bibliography"/>
      </w:pPr>
      <w:r>
        <w:t xml:space="preserve">Zappa, C.J., Raymond, P.A., Terray, E.A., McGillis, W.R., 2003. Variation in surface turbulence and the gas transfer velocity over a tidal cycle in a macro-tidal estuary. Estuaries 26, 1401–1415.</w:t>
      </w:r>
      <w:r>
        <w:t xml:space="preserve"> </w:t>
      </w:r>
      <w:hyperlink r:id="rId148">
        <w:r>
          <w:rPr>
            <w:rStyle w:val="Hyperlink"/>
          </w:rPr>
          <w:t xml:space="preserve">https://doi.org/10.1007/BF02803649</w:t>
        </w:r>
      </w:hyperlink>
    </w:p>
    <w:bookmarkEnd w:id="149"/>
    <w:bookmarkEnd w:id="150"/>
    <w:bookmarkEnd w:id="151"/>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4DCC192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F7825B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F8E7C8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7DE0A9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75286A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1848E78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4C6DE4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317A9D5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A622AB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B6286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jpg" /><Relationship Type="http://schemas.openxmlformats.org/officeDocument/2006/relationships/image" Id="rId28" Target="media/rId28.jpg" /><Relationship Type="http://schemas.openxmlformats.org/officeDocument/2006/relationships/image" Id="rId26" Target="media/rId26.jpg" /><Relationship Type="http://schemas.openxmlformats.org/officeDocument/2006/relationships/image" Id="rId30" Target="media/rId30.jpg" /><Relationship Type="http://schemas.openxmlformats.org/officeDocument/2006/relationships/image" Id="rId31" Target="media/rId31.jpg" /><Relationship Type="http://schemas.openxmlformats.org/officeDocument/2006/relationships/hyperlink" Id="rId111" Target="https://doi.org/10.1002/2014GB004941" TargetMode="External" /><Relationship Type="http://schemas.openxmlformats.org/officeDocument/2006/relationships/hyperlink" Id="rId88" Target="https://doi.org/10.1002/2014WR016109" TargetMode="External" /><Relationship Type="http://schemas.openxmlformats.org/officeDocument/2006/relationships/hyperlink" Id="rId77" Target="https://doi.org/10.1002/2015WR018434" TargetMode="External" /><Relationship Type="http://schemas.openxmlformats.org/officeDocument/2006/relationships/hyperlink" Id="rId50" Target="https://doi.org/10.1002/2017JG004140" TargetMode="External" /><Relationship Type="http://schemas.openxmlformats.org/officeDocument/2006/relationships/hyperlink" Id="rId94" Target="https://doi.org/10.1002/2017WR021626" TargetMode="External" /><Relationship Type="http://schemas.openxmlformats.org/officeDocument/2006/relationships/hyperlink" Id="rId119" Target="https://doi.org/10.1002/2017WR021735" TargetMode="External" /><Relationship Type="http://schemas.openxmlformats.org/officeDocument/2006/relationships/hyperlink" Id="rId132" Target="https://doi.org/10.1002/lno.10339" TargetMode="External" /><Relationship Type="http://schemas.openxmlformats.org/officeDocument/2006/relationships/hyperlink" Id="rId54" Target="https://doi.org/10.1002/lno.10726" TargetMode="External" /><Relationship Type="http://schemas.openxmlformats.org/officeDocument/2006/relationships/hyperlink" Id="rId44" Target="https://doi.org/10.1002/lol2.10195" TargetMode="External" /><Relationship Type="http://schemas.openxmlformats.org/officeDocument/2006/relationships/hyperlink" Id="rId90" Target="https://doi.org/10.1002/lom3.10011" TargetMode="External" /><Relationship Type="http://schemas.openxmlformats.org/officeDocument/2006/relationships/hyperlink" Id="rId98" Target="https://doi.org/10.1002/wat2.1391" TargetMode="External" /><Relationship Type="http://schemas.openxmlformats.org/officeDocument/2006/relationships/hyperlink" Id="rId56" Target="https://doi.org/10.1007/978-3-319-32449-4_6" TargetMode="External" /><Relationship Type="http://schemas.openxmlformats.org/officeDocument/2006/relationships/hyperlink" Id="rId148" Target="https://doi.org/10.1007/BF02803649" TargetMode="External" /><Relationship Type="http://schemas.openxmlformats.org/officeDocument/2006/relationships/hyperlink" Id="rId60" Target="https://doi.org/10.1007/BF02907647" TargetMode="External" /><Relationship Type="http://schemas.openxmlformats.org/officeDocument/2006/relationships/hyperlink" Id="rId73" Target="https://doi.org/10.1007/s10021-006-9013-8" TargetMode="External" /><Relationship Type="http://schemas.openxmlformats.org/officeDocument/2006/relationships/hyperlink" Id="rId128" Target="https://doi.org/10.1007/s10021-007-9059-2" TargetMode="External" /><Relationship Type="http://schemas.openxmlformats.org/officeDocument/2006/relationships/hyperlink" Id="rId130" Target="https://doi.org/10.1007/s10533-011-9696-6" TargetMode="External" /><Relationship Type="http://schemas.openxmlformats.org/officeDocument/2006/relationships/hyperlink" Id="rId71" Target="https://doi.org/10.1016/B978-1-4832-8391-3.50015-4" TargetMode="External" /><Relationship Type="http://schemas.openxmlformats.org/officeDocument/2006/relationships/hyperlink" Id="rId85" Target="https://doi.org/10.1016/j.advwatres.2015.02.007" TargetMode="External" /><Relationship Type="http://schemas.openxmlformats.org/officeDocument/2006/relationships/hyperlink" Id="rId68" Target="https://doi.org/10.1016/j.advwatres.2018.06.004" TargetMode="External" /><Relationship Type="http://schemas.openxmlformats.org/officeDocument/2006/relationships/hyperlink" Id="rId79" Target="https://doi.org/10.1016/j.jhydrol.2013.12.050" TargetMode="External" /><Relationship Type="http://schemas.openxmlformats.org/officeDocument/2006/relationships/hyperlink" Id="rId83" Target="https://doi.org/10.1016/j.jhydrol.2019.124409" TargetMode="External" /><Relationship Type="http://schemas.openxmlformats.org/officeDocument/2006/relationships/hyperlink" Id="rId75" Target="https://doi.org/10.1016/j.rse.2020.111883" TargetMode="External" /><Relationship Type="http://schemas.openxmlformats.org/officeDocument/2006/relationships/hyperlink" Id="rId146" Target="https://doi.org/10.1029/2006GL028790" TargetMode="External" /><Relationship Type="http://schemas.openxmlformats.org/officeDocument/2006/relationships/hyperlink" Id="rId140" Target="https://doi.org/10.1029/2010GB003975" TargetMode="External" /><Relationship Type="http://schemas.openxmlformats.org/officeDocument/2006/relationships/hyperlink" Id="rId46" Target="https://doi.org/10.1029/2010JG001398" TargetMode="External" /><Relationship Type="http://schemas.openxmlformats.org/officeDocument/2006/relationships/hyperlink" Id="rId52" Target="https://doi.org/10.1029/2011JG001794" TargetMode="External" /><Relationship Type="http://schemas.openxmlformats.org/officeDocument/2006/relationships/hyperlink" Id="rId64"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66" Target="https://doi.org/10.1029/2020GL090068" TargetMode="External" /><Relationship Type="http://schemas.openxmlformats.org/officeDocument/2006/relationships/hyperlink" Id="rId10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1" Target="https://doi.org/10.1029/2020WR028519" TargetMode="External" /><Relationship Type="http://schemas.openxmlformats.org/officeDocument/2006/relationships/hyperlink" Id="rId100" Target="https://doi.org/10.1029/2020WR028714" TargetMode="External" /><Relationship Type="http://schemas.openxmlformats.org/officeDocument/2006/relationships/hyperlink" Id="rId142" Target="https://doi.org/10.1029/2020WR028757" TargetMode="External" /><Relationship Type="http://schemas.openxmlformats.org/officeDocument/2006/relationships/hyperlink" Id="rId124" Target="https://doi.org/10.1038/nature12760" TargetMode="External" /><Relationship Type="http://schemas.openxmlformats.org/officeDocument/2006/relationships/hyperlink" Id="rId58" Target="https://doi.org/10.1038/ngeo2486" TargetMode="External" /><Relationship Type="http://schemas.openxmlformats.org/officeDocument/2006/relationships/hyperlink" Id="rId104" Target="https://doi.org/10.1038/s41467-019-12905-z" TargetMode="External" /><Relationship Type="http://schemas.openxmlformats.org/officeDocument/2006/relationships/hyperlink" Id="rId136" Target="https://doi.org/10.1038/s41561-019-0324-8" TargetMode="External" /><Relationship Type="http://schemas.openxmlformats.org/officeDocument/2006/relationships/hyperlink" Id="rId116" Target="https://doi.org/10.1061/(ASCE)0733-9429(1999)125:1(3)" TargetMode="External" /><Relationship Type="http://schemas.openxmlformats.org/officeDocument/2006/relationships/hyperlink" Id="rId109" Target="https://doi.org/10.1080/17415977.2020.1803858" TargetMode="External" /><Relationship Type="http://schemas.openxmlformats.org/officeDocument/2006/relationships/hyperlink" Id="rId122" Target="https://doi.org/10.1126/science.1201609" TargetMode="External" /><Relationship Type="http://schemas.openxmlformats.org/officeDocument/2006/relationships/hyperlink" Id="rId92" Target="https://doi.org/10.1126/science.aau5153" TargetMode="External" /><Relationship Type="http://schemas.openxmlformats.org/officeDocument/2006/relationships/hyperlink" Id="rId144" Target="https://doi.org/10.1146/annurev.marine.010908.163742" TargetMode="External" /><Relationship Type="http://schemas.openxmlformats.org/officeDocument/2006/relationships/hyperlink" Id="rId114" Target="https://doi.org/10.1175/JPO2903.1" TargetMode="External" /><Relationship Type="http://schemas.openxmlformats.org/officeDocument/2006/relationships/hyperlink" Id="rId96" Target="https://doi.org/10.1215/21573689-1572535" TargetMode="External" /><Relationship Type="http://schemas.openxmlformats.org/officeDocument/2006/relationships/hyperlink" Id="rId126" Target="https://doi.org/10.1215/21573689-1597669@10.1002/(ISSN)1939-5590.MethaneVI" TargetMode="External" /><Relationship Type="http://schemas.openxmlformats.org/officeDocument/2006/relationships/hyperlink" Id="rId134" Target="https://doi.org/10.2307/1467960" TargetMode="External" /><Relationship Type="http://schemas.openxmlformats.org/officeDocument/2006/relationships/hyperlink" Id="rId102" Target="https://doi.org/10.4319/lo.2010.55.3.1047" TargetMode="External" /><Relationship Type="http://schemas.openxmlformats.org/officeDocument/2006/relationships/hyperlink" Id="rId138" Target="https://doi.org/10.4319/lo.2010.55.4.1723" TargetMode="External" /><Relationship Type="http://schemas.openxmlformats.org/officeDocument/2006/relationships/hyperlink" Id="rId40" Target="https://github.com/craigbrinkerhoff/BIKER" TargetMode="External" /><Relationship Type="http://schemas.openxmlformats.org/officeDocument/2006/relationships/hyperlink" Id="rId41"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111" Target="https://doi.org/10.1002/2014GB004941" TargetMode="External" /><Relationship Type="http://schemas.openxmlformats.org/officeDocument/2006/relationships/hyperlink" Id="rId88" Target="https://doi.org/10.1002/2014WR016109" TargetMode="External" /><Relationship Type="http://schemas.openxmlformats.org/officeDocument/2006/relationships/hyperlink" Id="rId77" Target="https://doi.org/10.1002/2015WR018434" TargetMode="External" /><Relationship Type="http://schemas.openxmlformats.org/officeDocument/2006/relationships/hyperlink" Id="rId50" Target="https://doi.org/10.1002/2017JG004140" TargetMode="External" /><Relationship Type="http://schemas.openxmlformats.org/officeDocument/2006/relationships/hyperlink" Id="rId94" Target="https://doi.org/10.1002/2017WR021626" TargetMode="External" /><Relationship Type="http://schemas.openxmlformats.org/officeDocument/2006/relationships/hyperlink" Id="rId119" Target="https://doi.org/10.1002/2017WR021735" TargetMode="External" /><Relationship Type="http://schemas.openxmlformats.org/officeDocument/2006/relationships/hyperlink" Id="rId132" Target="https://doi.org/10.1002/lno.10339" TargetMode="External" /><Relationship Type="http://schemas.openxmlformats.org/officeDocument/2006/relationships/hyperlink" Id="rId54" Target="https://doi.org/10.1002/lno.10726" TargetMode="External" /><Relationship Type="http://schemas.openxmlformats.org/officeDocument/2006/relationships/hyperlink" Id="rId44" Target="https://doi.org/10.1002/lol2.10195" TargetMode="External" /><Relationship Type="http://schemas.openxmlformats.org/officeDocument/2006/relationships/hyperlink" Id="rId90" Target="https://doi.org/10.1002/lom3.10011" TargetMode="External" /><Relationship Type="http://schemas.openxmlformats.org/officeDocument/2006/relationships/hyperlink" Id="rId98" Target="https://doi.org/10.1002/wat2.1391" TargetMode="External" /><Relationship Type="http://schemas.openxmlformats.org/officeDocument/2006/relationships/hyperlink" Id="rId56" Target="https://doi.org/10.1007/978-3-319-32449-4_6" TargetMode="External" /><Relationship Type="http://schemas.openxmlformats.org/officeDocument/2006/relationships/hyperlink" Id="rId148" Target="https://doi.org/10.1007/BF02803649" TargetMode="External" /><Relationship Type="http://schemas.openxmlformats.org/officeDocument/2006/relationships/hyperlink" Id="rId60" Target="https://doi.org/10.1007/BF02907647" TargetMode="External" /><Relationship Type="http://schemas.openxmlformats.org/officeDocument/2006/relationships/hyperlink" Id="rId73" Target="https://doi.org/10.1007/s10021-006-9013-8" TargetMode="External" /><Relationship Type="http://schemas.openxmlformats.org/officeDocument/2006/relationships/hyperlink" Id="rId128" Target="https://doi.org/10.1007/s10021-007-9059-2" TargetMode="External" /><Relationship Type="http://schemas.openxmlformats.org/officeDocument/2006/relationships/hyperlink" Id="rId130" Target="https://doi.org/10.1007/s10533-011-9696-6" TargetMode="External" /><Relationship Type="http://schemas.openxmlformats.org/officeDocument/2006/relationships/hyperlink" Id="rId71" Target="https://doi.org/10.1016/B978-1-4832-8391-3.50015-4" TargetMode="External" /><Relationship Type="http://schemas.openxmlformats.org/officeDocument/2006/relationships/hyperlink" Id="rId85" Target="https://doi.org/10.1016/j.advwatres.2015.02.007" TargetMode="External" /><Relationship Type="http://schemas.openxmlformats.org/officeDocument/2006/relationships/hyperlink" Id="rId68" Target="https://doi.org/10.1016/j.advwatres.2018.06.004" TargetMode="External" /><Relationship Type="http://schemas.openxmlformats.org/officeDocument/2006/relationships/hyperlink" Id="rId79" Target="https://doi.org/10.1016/j.jhydrol.2013.12.050" TargetMode="External" /><Relationship Type="http://schemas.openxmlformats.org/officeDocument/2006/relationships/hyperlink" Id="rId83" Target="https://doi.org/10.1016/j.jhydrol.2019.124409" TargetMode="External" /><Relationship Type="http://schemas.openxmlformats.org/officeDocument/2006/relationships/hyperlink" Id="rId75" Target="https://doi.org/10.1016/j.rse.2020.111883" TargetMode="External" /><Relationship Type="http://schemas.openxmlformats.org/officeDocument/2006/relationships/hyperlink" Id="rId146" Target="https://doi.org/10.1029/2006GL028790" TargetMode="External" /><Relationship Type="http://schemas.openxmlformats.org/officeDocument/2006/relationships/hyperlink" Id="rId140" Target="https://doi.org/10.1029/2010GB003975" TargetMode="External" /><Relationship Type="http://schemas.openxmlformats.org/officeDocument/2006/relationships/hyperlink" Id="rId46" Target="https://doi.org/10.1029/2010JG001398" TargetMode="External" /><Relationship Type="http://schemas.openxmlformats.org/officeDocument/2006/relationships/hyperlink" Id="rId52" Target="https://doi.org/10.1029/2011JG001794" TargetMode="External" /><Relationship Type="http://schemas.openxmlformats.org/officeDocument/2006/relationships/hyperlink" Id="rId64"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66" Target="https://doi.org/10.1029/2020GL090068" TargetMode="External" /><Relationship Type="http://schemas.openxmlformats.org/officeDocument/2006/relationships/hyperlink" Id="rId106" Target="https://doi.org/10.1029/2020WR027794" TargetMode="External" /><Relationship Type="http://schemas.openxmlformats.org/officeDocument/2006/relationships/hyperlink" Id="rId62" Target="https://doi.org/10.1029/2020WR027949" TargetMode="External" /><Relationship Type="http://schemas.openxmlformats.org/officeDocument/2006/relationships/hyperlink" Id="rId81" Target="https://doi.org/10.1029/2020WR028519" TargetMode="External" /><Relationship Type="http://schemas.openxmlformats.org/officeDocument/2006/relationships/hyperlink" Id="rId100" Target="https://doi.org/10.1029/2020WR028714" TargetMode="External" /><Relationship Type="http://schemas.openxmlformats.org/officeDocument/2006/relationships/hyperlink" Id="rId142" Target="https://doi.org/10.1029/2020WR028757" TargetMode="External" /><Relationship Type="http://schemas.openxmlformats.org/officeDocument/2006/relationships/hyperlink" Id="rId124" Target="https://doi.org/10.1038/nature12760" TargetMode="External" /><Relationship Type="http://schemas.openxmlformats.org/officeDocument/2006/relationships/hyperlink" Id="rId58" Target="https://doi.org/10.1038/ngeo2486" TargetMode="External" /><Relationship Type="http://schemas.openxmlformats.org/officeDocument/2006/relationships/hyperlink" Id="rId104" Target="https://doi.org/10.1038/s41467-019-12905-z" TargetMode="External" /><Relationship Type="http://schemas.openxmlformats.org/officeDocument/2006/relationships/hyperlink" Id="rId136" Target="https://doi.org/10.1038/s41561-019-0324-8" TargetMode="External" /><Relationship Type="http://schemas.openxmlformats.org/officeDocument/2006/relationships/hyperlink" Id="rId116" Target="https://doi.org/10.1061/(ASCE)0733-9429(1999)125:1(3)" TargetMode="External" /><Relationship Type="http://schemas.openxmlformats.org/officeDocument/2006/relationships/hyperlink" Id="rId109" Target="https://doi.org/10.1080/17415977.2020.1803858" TargetMode="External" /><Relationship Type="http://schemas.openxmlformats.org/officeDocument/2006/relationships/hyperlink" Id="rId122" Target="https://doi.org/10.1126/science.1201609" TargetMode="External" /><Relationship Type="http://schemas.openxmlformats.org/officeDocument/2006/relationships/hyperlink" Id="rId92" Target="https://doi.org/10.1126/science.aau5153" TargetMode="External" /><Relationship Type="http://schemas.openxmlformats.org/officeDocument/2006/relationships/hyperlink" Id="rId144" Target="https://doi.org/10.1146/annurev.marine.010908.163742" TargetMode="External" /><Relationship Type="http://schemas.openxmlformats.org/officeDocument/2006/relationships/hyperlink" Id="rId114" Target="https://doi.org/10.1175/JPO2903.1" TargetMode="External" /><Relationship Type="http://schemas.openxmlformats.org/officeDocument/2006/relationships/hyperlink" Id="rId96" Target="https://doi.org/10.1215/21573689-1572535" TargetMode="External" /><Relationship Type="http://schemas.openxmlformats.org/officeDocument/2006/relationships/hyperlink" Id="rId126" Target="https://doi.org/10.1215/21573689-1597669@10.1002/(ISSN)1939-5590.MethaneVI" TargetMode="External" /><Relationship Type="http://schemas.openxmlformats.org/officeDocument/2006/relationships/hyperlink" Id="rId134" Target="https://doi.org/10.2307/1467960" TargetMode="External" /><Relationship Type="http://schemas.openxmlformats.org/officeDocument/2006/relationships/hyperlink" Id="rId102" Target="https://doi.org/10.4319/lo.2010.55.3.1047" TargetMode="External" /><Relationship Type="http://schemas.openxmlformats.org/officeDocument/2006/relationships/hyperlink" Id="rId138" Target="https://doi.org/10.4319/lo.2010.55.4.1723" TargetMode="External" /><Relationship Type="http://schemas.openxmlformats.org/officeDocument/2006/relationships/hyperlink" Id="rId40" Target="https://github.com/craigbrinkerhoff/BIKER" TargetMode="External" /><Relationship Type="http://schemas.openxmlformats.org/officeDocument/2006/relationships/hyperlink" Id="rId41"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 exchange in large rivers influenced by largest turbulent eddies: implications for remotely sensing gas exchange via the SWOT satellite</dc:title>
  <dc:creator>Craig B Brinkerhoff1,*, Colin J Gleason1, Christopher J Zappa2, Peter A Raymond3, and Merritt H Harlan1</dc:creator>
  <cp:keywords/>
  <dcterms:created xsi:type="dcterms:W3CDTF">2021-09-30T20:03:30Z</dcterms:created>
  <dcterms:modified xsi:type="dcterms:W3CDTF">2021-09-30T20:03:30Z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