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41.jpg" ContentType="image/jpeg"/>
  <Override PartName="/word/media/rId36.jpg" ContentType="image/jpeg"/>
  <Override PartName="/word/media/rId26.jpg" ContentType="image/jpeg"/>
  <Override PartName="/word/media/rId28.jpg" ContentType="image/jpeg"/>
  <Override PartName="/word/media/rId35.jpg" ContentType="image/jpeg"/>
  <Override PartName="/word/media/rId38.jpg" ContentType="image/jpe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2021-03-04</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BIKER algorithm can remotely sense riverine gas exchange using the SWOT satellite</w:t>
      </w:r>
    </w:p>
    <w:p>
      <w:pPr>
        <w:pStyle w:val="Compact"/>
        <w:numPr>
          <w:numId w:val="1001"/>
          <w:ilvl w:val="0"/>
        </w:numPr>
      </w:pPr>
      <w:r>
        <w:t xml:space="preserve">BIKER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Predicted</w:t>
      </w:r>
      <w:r>
        <w:t xml:space="preserve"> </w:t>
      </w:r>
      <m:oMath>
        <m:r>
          <m:t>C</m:t>
        </m:r>
        <m:sSub>
          <m:e>
            <m:r>
              <m:t>O</m:t>
            </m:r>
          </m:e>
          <m:sub>
            <m:r>
              <m:t>2</m:t>
            </m:r>
          </m:sub>
        </m:sSub>
      </m:oMath>
      <w:r>
        <w:t xml:space="preserve"> </w:t>
      </w:r>
      <w:r>
        <w:t xml:space="preserve">fluxes are similar/marginally worse than when using in-situ methods</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Accuracy is limited by process-level uncertainties and not by the algorithmic setup</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4" w:name="introduction"/>
      <w:bookmarkEnd w:id="24"/>
      <w:r>
        <w:t xml:space="preserve">1 Introduction</w:t>
      </w:r>
    </w:p>
    <w:p>
      <w:pPr>
        <w:pStyle w:val="FirstParagraph"/>
      </w:pPr>
      <w:r>
        <w:t xml:space="preserve">The inland water drainage network both transports and transforms various constiutents as they move from the landscape to the ocean</w:t>
      </w:r>
      <w:r>
        <w:t xml:space="preserve"> </w:t>
      </w:r>
      <w:r>
        <w:t xml:space="preserve">(Cole et al., 2007)</w:t>
      </w:r>
      <w:r>
        <w:t xml:space="preserve">. As a result some of these processes, rivers and lakes are usually supersaturated with dissolved greenhouse gases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as equation 1 for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the quality of their estimates of the reach-averaged flow velocity. This is exasperated in ungauged basins where velocity 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I don't know if introducing SWOT via RSQ is the best idea. Maybe I should just introduce SWOT on its own?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remotely sensing</w:t>
      </w:r>
      <w:r>
        <w:t xml:space="preserve"> </w:t>
      </w:r>
      <m:oMath>
        <m:sSub>
          <m:e>
            <m:r>
              <m:t>k</m:t>
            </m:r>
          </m:e>
          <m:sub>
            <m:r>
              <m:t>600</m:t>
            </m:r>
          </m:sub>
        </m:sSub>
      </m:oMath>
      <w:r>
        <w:t xml:space="preserve"> </w:t>
      </w:r>
      <w:r>
        <w:t xml:space="preserve">when parameter equifinality is a problem as it is with McFLIs</w:t>
      </w:r>
      <w:r>
        <w:t xml:space="preserve"> </w:t>
      </w:r>
      <w:r>
        <w:t xml:space="preserve">(Andreadis et al., 2020)</w:t>
      </w:r>
      <w:r>
        <w:t xml:space="preserve">. Equinality issues refer to under-constrained systems that can have multiple solutions to the same discharge problem</w:t>
      </w:r>
      <w:r>
        <w:t xml:space="preserve"> </w:t>
      </w:r>
      <w:r>
        <w:t xml:space="preserve">(Garambois and Monnier, 2015)</w:t>
      </w:r>
      <w:r>
        <w:t xml:space="preserve">.</w:t>
      </w:r>
    </w:p>
    <w:p>
      <w:pPr>
        <w:pStyle w:val="BodyText"/>
      </w:pPr>
      <w:r>
        <w:t xml:space="preserve">In this context, we hypothesize that SWOT data will improve our understanding of riverine GHG fluxes in ungauged basins and/or at drainage-network-scales we develop techniques to ingest SWOT's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p>
    <w:p>
      <w:pPr>
        <w:pStyle w:val="Compact"/>
        <w:numPr>
          <w:numId w:val="1002"/>
          <w:ilvl w:val="0"/>
        </w:numPr>
      </w:pPr>
      <w:r>
        <w:t xml:space="preserve">Is ungauged RS of the gas exchange velocity possible using soon-to-be-available SWOT river measurements?</w:t>
      </w:r>
    </w:p>
    <w:p>
      <w:pPr>
        <w:pStyle w:val="Compact"/>
        <w:numPr>
          <w:numId w:val="1002"/>
          <w:ilvl w:val="0"/>
        </w:numPr>
      </w:pPr>
      <w:r>
        <w:t xml:space="preserve">How might this algorithm influence upscaled estimates of riverine carbon efflux to the atmosphere?</w:t>
      </w:r>
    </w:p>
    <w:p>
      <w:pPr>
        <w:pStyle w:val="FirstParagraph"/>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errors implicit in SWOT measurements.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gauge-based techniques.</w:t>
      </w:r>
    </w:p>
    <w:p>
      <w:pPr>
        <w:pStyle w:val="Heading2"/>
      </w:pPr>
      <w:bookmarkStart w:id="25" w:name="methods"/>
      <w:bookmarkEnd w:id="25"/>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river hydraulics (section 2.1) and then we couple that upscaling model with remote sensing techniques to build BIKER (section 2.2). Following these methods, the validation setup is described (section 2.3), as is the workflow for comparing estimated bulk carbon effluxes from a suite of average flow velocity models (section 2.4). A flowchart detailing the entire study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6"/>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7" w:name="developing-an-rs-able-k_600-upscaling-model"/>
      <w:bookmarkEnd w:id="27"/>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This extended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b"/>
            </m:rPr>
            <m:t>(</m:t>
          </m:r>
          <m:r>
            <m:rPr>
              <m:sty m:val="b"/>
            </m:rPr>
            <m:t>2</m:t>
          </m:r>
          <m:r>
            <m:rPr>
              <m:sty m:val="b"/>
            </m:rPr>
            <m:t>)</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goal of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RS-oriented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b"/>
            </m:rPr>
            <m:t>(</m:t>
          </m:r>
          <m:r>
            <m:rPr>
              <m:sty m:val="b"/>
            </m:rPr>
            <m:t>3</m:t>
          </m:r>
          <m:r>
            <m:rPr>
              <m:sty m:val="b"/>
            </m:rPr>
            <m:t>)</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9" w:name="developing-the-biker-algorithm"/>
      <w:bookmarkEnd w:id="29"/>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remotely sense</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SWOT measurements of river width and water surface slope while all other terms are treated as statistical parameters that cannot be directly observed from SWOT. We also obtain a ‘change in channel area’</w:t>
      </w:r>
      <w:r>
        <w:t xml:space="preserve"> </w:t>
      </w:r>
      <w:r>
        <w:rPr>
          <w:i/>
        </w:rPr>
        <w:t xml:space="preserve">dA</w:t>
      </w:r>
      <w:r>
        <w:t xml:space="preserve"> </w:t>
      </w:r>
      <w:r>
        <w:t xml:space="preserve">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a sampling model/likelihood function that estimates the unobservable statisitcal parameters.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an algorithm ingesting SWOT data).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w:t>
      </w:r>
      <w:r>
        <w:t xml:space="preserve"> </w:t>
      </w:r>
      <w:r>
        <w:rPr>
          <w:i/>
        </w:rPr>
        <w:t xml:space="preserve">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(discretized via median channel area</w:t>
      </w:r>
      <w:r>
        <w:t xml:space="preserve"> </w:t>
      </w:r>
      <m:oMath>
        <m:sSub>
          <m:e>
            <m:r>
              <m:t>A</m:t>
            </m:r>
          </m:e>
          <m:sub>
            <m:r>
              <m:t>0</m:t>
            </m:r>
          </m:sub>
        </m:sSub>
      </m:oMath>
      <w:r>
        <w:t xml:space="preserve"> </w:t>
      </w:r>
      <w:r>
        <w:t xml:space="preserve">and the previously introduced</w:t>
      </w:r>
      <w:r>
        <w:t xml:space="preserve"> </w:t>
      </w:r>
      <w:r>
        <w:rPr>
          <w:i/>
        </w:rPr>
        <w:t xml:space="preserve">dA</w:t>
      </w:r>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sSup>
            <m:e>
              <m:d>
                <m:dPr>
                  <m:begChr m:val="["/>
                  <m:endChr m:val="]"/>
                  <m:grow/>
                </m:dPr>
                <m:e>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e>
              </m:d>
            </m:e>
            <m:sup>
              <m:sSub>
                <m:e>
                  <m:r>
                    <m:t>b</m:t>
                  </m:r>
                </m:e>
                <m:sub>
                  <m:r>
                    <m:t>i</m:t>
                  </m:r>
                </m:sub>
              </m:sSub>
            </m:sup>
          </m:sSup>
          <m:r>
            <m:rPr>
              <m:sty m:val="b"/>
            </m:rPr>
            <m:t>(</m:t>
          </m:r>
          <m:r>
            <m:rPr>
              <m:sty m:val="b"/>
            </m:rPr>
            <m:t>4</m:t>
          </m:r>
          <m:r>
            <m:rPr>
              <m:sty m:val="b"/>
            </m:rPr>
            <m:t>)</m:t>
          </m:r>
        </m:oMath>
      </m:oMathPara>
    </w:p>
    <w:p>
      <w:pPr>
        <w:pStyle w:val="FirstParagraph"/>
      </w:pPr>
      <w:r>
        <w:t xml:space="preserve">Equation 4 is then reworked into a Bayesian sampling model to have all of the ‘data’ on the left-hand side sampled from all the unknown model parameters on the right-hand side (equation 5, where</w:t>
      </w:r>
      <w:r>
        <w:t xml:space="preserve"> </w:t>
      </w:r>
      <w:r>
        <w:rPr>
          <w:i/>
        </w:rPr>
        <w:t xml:space="preserve">x</w:t>
      </w:r>
      <w:r>
        <w:t xml:space="preserve"> </w:t>
      </w:r>
      <w:r>
        <w:t xml:space="preserve">is the SWOT observables and</w:t>
      </w:r>
      <w:r>
        <w:t xml:space="preserve"> </w:t>
      </w:r>
      <m:oMath>
        <m:r>
          <m:t>Θ</m:t>
        </m:r>
      </m:oMath>
      <w:r>
        <w:t xml:space="preserve"> </w:t>
      </w:r>
      <w:r>
        <w:t xml:space="preserve">are a set of statistical parameters). Note that in the formal likelihood specification both sides of equation 5 are ln-transformed to produce the normal sampling model presented here, however they are written in equation 5 without that transformation for succinctness. The</w:t>
      </w:r>
      <w:r>
        <w:t xml:space="preserve"> </w:t>
      </w:r>
      <m:oMath>
        <m:sSubSup>
          <m:e>
            <m:r>
              <m:t>σ</m:t>
            </m:r>
          </m:e>
          <m:sub>
            <m:r>
              <m:t>u</m:t>
            </m:r>
            <m:r>
              <m:t>p</m:t>
            </m:r>
            <m:r>
              <m:t>s</m:t>
            </m:r>
            <m:r>
              <m:t>c</m:t>
            </m:r>
            <m:r>
              <m:t>a</m:t>
            </m:r>
            <m:r>
              <m:t>l</m:t>
            </m:r>
            <m:r>
              <m:t>e</m:t>
            </m:r>
          </m:sub>
          <m:sup>
            <m:r>
              <m:t>2</m:t>
            </m:r>
          </m:sup>
        </m:sSubSup>
      </m:oMath>
      <w:r>
        <w:t xml:space="preserve"> </w:t>
      </w:r>
      <w:r>
        <w:t xml:space="preserve">parameter refers to the uncertainty inherent in the upscaling model itself (equation 4). This will be explained in detail below.</w:t>
      </w:r>
    </w:p>
    <w:p>
      <w:pPr>
        <w:pStyle w:val="BodyText"/>
      </w:pPr>
      <m:oMathPara>
        <m:oMathParaPr>
          <m:jc m:val="center"/>
        </m:oMathParaPr>
        <m:oMath>
          <m:r>
            <m:t>f</m:t>
          </m:r>
          <m:r>
            <m:t>(</m:t>
          </m:r>
          <m:r>
            <m:t>x</m:t>
          </m:r>
          <m:r>
            <m:t>|</m:t>
          </m:r>
          <m:r>
            <m:t>Θ</m:t>
          </m:r>
          <m:r>
            <m:t>)</m:t>
          </m:r>
          <m:r>
            <m:t>=</m:t>
          </m:r>
          <m:d>
            <m:dPr>
              <m:begChr m:val="["/>
              <m:endChr m:val="]"/>
              <m:grow/>
            </m:dPr>
            <m:e>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e>
          </m:d>
          <m:r>
            <m:t>∼</m:t>
          </m:r>
          <m:r>
            <m:t>n</m:t>
          </m:r>
          <m:r>
            <m:t>o</m:t>
          </m:r>
          <m:r>
            <m:t>r</m:t>
          </m:r>
          <m:r>
            <m:t>m</m:t>
          </m:r>
          <m:r>
            <m:t>a</m:t>
          </m:r>
          <m:r>
            <m:t>l</m:t>
          </m:r>
          <m:d>
            <m:dPr>
              <m:begChr m:val="("/>
              <m:endChr m:val=")"/>
              <m:grow/>
            </m:dPr>
            <m:e>
              <m:d>
                <m:dPr>
                  <m:begChr m:val="["/>
                  <m:endChr m:val="]"/>
                  <m:grow/>
                </m:dPr>
                <m:e>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e>
              </m:d>
              <m:r>
                <m:t>,</m:t>
              </m:r>
              <m:sSubSup>
                <m:e>
                  <m:r>
                    <m:t>σ</m:t>
                  </m:r>
                </m:e>
                <m:sub>
                  <m:r>
                    <m:t>u</m:t>
                  </m:r>
                  <m:r>
                    <m:t>p</m:t>
                  </m:r>
                  <m:r>
                    <m:t>s</m:t>
                  </m:r>
                  <m:r>
                    <m:t>c</m:t>
                  </m:r>
                  <m:r>
                    <m:t>a</m:t>
                  </m:r>
                  <m:r>
                    <m:t>l</m:t>
                  </m:r>
                  <m:r>
                    <m:t>e</m:t>
                  </m:r>
                </m:sub>
                <m:sup>
                  <m:r>
                    <m:t>2</m:t>
                  </m:r>
                </m:sup>
              </m:sSubSup>
            </m:e>
          </m:d>
          <m:r>
            <m:rPr>
              <m:sty m:val="b"/>
            </m:rPr>
            <m:t>(</m:t>
          </m:r>
          <m:r>
            <m:rPr>
              <m:sty m:val="b"/>
            </m:rPr>
            <m:t>5</m:t>
          </m:r>
          <m:r>
            <m:rPr>
              <m:sty m:val="b"/>
            </m:rPr>
            <m:t>)</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 non-remotely-sensed parameters. Or more intuitively for these physcial quantities,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w:r>
        <w:rPr>
          <w:i/>
        </w:rPr>
        <w:t xml:space="preserve">X</w:t>
      </w:r>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the realtive influences of different sources of uncertainity. Uncertainty in equation 4 can stem from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 from</w:t>
      </w:r>
      <w:r>
        <w:t xml:space="preserve"> </w:t>
      </w:r>
      <w:r>
        <w:t xml:space="preserve">Brinkerhoff et al. (2019)</w:t>
      </w:r>
      <w:r>
        <w:t xml:space="preserve"> </w:t>
      </w:r>
      <w:r>
        <w:t xml:space="preserve">under three different uncertainty scenarios.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slope-error model that we used is explained in detail in Section 2.3 and relies on a recent analysis of SWOT water surface slope measurement errors</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for any scenario is extracted and used for</w:t>
      </w:r>
      <w:r>
        <w:t xml:space="preserve"> </w:t>
      </w:r>
      <m:oMath>
        <m:sSubSup>
          <m:e>
            <m:r>
              <m:t>σ</m:t>
            </m:r>
          </m:e>
          <m:sub>
            <m:r>
              <m:t>u</m:t>
            </m:r>
            <m:r>
              <m:t>p</m:t>
            </m:r>
            <m:r>
              <m:t>s</m:t>
            </m:r>
            <m:r>
              <m:t>c</m:t>
            </m:r>
            <m:r>
              <m:t>a</m:t>
            </m:r>
            <m:r>
              <m:t>l</m:t>
            </m:r>
            <m:r>
              <m:t>e</m:t>
            </m:r>
          </m:sub>
          <m:sup>
            <m:r>
              <m:t>2</m:t>
            </m:r>
          </m:sup>
        </m:sSubSup>
      </m:oMath>
      <w:r>
        <w:t xml:space="preserve">.</w:t>
      </w:r>
      <w:r>
        <w:t xml:space="preserve"> </w:t>
      </w:r>
      <w:r>
        <w:rPr>
          <w:b/>
        </w:rPr>
        <w:t xml:space="preserve">a table might help here to layout the three tests</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obtained.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30">
        <w:r>
          <w:rPr>
            <w:rStyle w:val="Hyperlink"/>
          </w:rPr>
          <w:t xml:space="preserve">https://mc-stan.org/docs/2_26/reference-manual/hamiltonian-monte-carlo.html</w:t>
        </w:r>
      </w:hyperlink>
      <w:r>
        <w:t xml:space="preserve">).</w:t>
      </w:r>
    </w:p>
    <w:p>
      <w:pPr>
        <w:pStyle w:val="Heading3"/>
      </w:pPr>
      <w:bookmarkStart w:id="31" w:name="biker-validation-setup"/>
      <w:bookmarkEnd w:id="31"/>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w:t>
      </w:r>
      <w:r>
        <w:t xml:space="preserve"> </w:t>
      </w:r>
      <w:r>
        <w:rPr>
          <w:b/>
        </w:rPr>
        <w:t xml:space="preserve">is that sufficient to say?</w:t>
      </w:r>
      <w:r>
        <w:t xml:space="preserve"> </w:t>
      </w:r>
      <w:r>
        <w:t xml:space="preserve">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w:t>
      </w:r>
    </w:p>
    <w:p>
      <w:pPr>
        <w:pStyle w:val="BodyText"/>
      </w:pPr>
      <w:r>
        <w:t xml:space="preserve">To explore the effect of SWOT measurement errors on BIKER, the SWOT simulator mentioned above is the ideal tool. However, it is cumbersome to run on many rivers</w:t>
      </w:r>
      <w:r>
        <w:t xml:space="preserve"> </w:t>
      </w:r>
      <w:r>
        <w:rPr>
          <w:b/>
        </w:rPr>
        <w:t xml:space="preserve">is this sufficient?</w:t>
      </w:r>
      <w:r>
        <w:t xml:space="preserve"> </w:t>
      </w:r>
      <w:r>
        <w:t xml:space="preserve">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SWOT observations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Note that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 Note that equation 7 is also used to define slope measurement error in the MC analysis (section 2.2).</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r>
            <m:t>d</m:t>
          </m:r>
          <m:sSub>
            <m:e>
              <m:r>
                <m:t>A</m:t>
              </m:r>
            </m:e>
            <m:sub>
              <m:r>
                <m:t>e</m:t>
              </m:r>
              <m:r>
                <m:t>r</m:t>
              </m:r>
              <m:sSub>
                <m:e>
                  <m:r>
                    <m:t>r</m:t>
                  </m:r>
                </m:e>
                <m:sub>
                  <m:r>
                    <m:t>i</m:t>
                  </m:r>
                  <m:r>
                    <m:t>,</m:t>
                  </m:r>
                  <m:r>
                    <m:t>t</m:t>
                  </m:r>
                </m:sub>
              </m:sSub>
            </m:sub>
          </m:sSub>
          <m:r>
            <m:t>∼</m:t>
          </m:r>
          <m:r>
            <m:t>n</m:t>
          </m:r>
          <m:r>
            <m:t>o</m:t>
          </m:r>
          <m:r>
            <m:t>r</m:t>
          </m:r>
          <m:r>
            <m:t>m</m:t>
          </m:r>
          <m:r>
            <m:t>a</m:t>
          </m:r>
          <m:r>
            <m:t>l</m:t>
          </m:r>
          <m:r>
            <m:t>(</m:t>
          </m:r>
          <m:r>
            <m:t>d</m:t>
          </m:r>
          <m:sSub>
            <m:e>
              <m:r>
                <m:t>A</m:t>
              </m:r>
            </m:e>
            <m:sub>
              <m:r>
                <m:t>o</m:t>
              </m:r>
              <m:r>
                <m:t>b</m:t>
              </m:r>
              <m:sSub>
                <m:e>
                  <m:r>
                    <m:t>s</m:t>
                  </m:r>
                </m:e>
                <m:sub>
                  <m:r>
                    <m:t>i</m:t>
                  </m:r>
                  <m:r>
                    <m:t>,</m:t>
                  </m:r>
                  <m:r>
                    <m:t>t</m:t>
                  </m:r>
                </m:sub>
              </m:sSub>
            </m:sub>
          </m:sSub>
          <m:r>
            <m:t>,</m:t>
          </m:r>
          <m:sSup>
            <m:e>
              <m:d>
                <m:dPr>
                  <m:begChr m:val="["/>
                  <m:endChr m:val="]"/>
                  <m:grow/>
                </m:dPr>
                <m:e>
                  <m:sSub>
                    <m:e>
                      <m:r>
                        <m:t>W</m:t>
                      </m:r>
                    </m:e>
                    <m:sub>
                      <m:r>
                        <m:t>o</m:t>
                      </m:r>
                      <m:r>
                        <m:t>b</m:t>
                      </m:r>
                      <m:sSub>
                        <m:e>
                          <m:r>
                            <m:t>s</m:t>
                          </m:r>
                        </m:e>
                        <m:sub>
                          <m:r>
                            <m:t>i</m:t>
                          </m:r>
                          <m:r>
                            <m:t>,</m:t>
                          </m:r>
                          <m:r>
                            <m:t>t</m:t>
                          </m:r>
                        </m:sub>
                      </m:sSub>
                    </m:sub>
                  </m:sSub>
                  <m:r>
                    <m:t>*</m:t>
                  </m:r>
                  <m:rad>
                    <m:radPr>
                      <m:degHide m:val="1"/>
                    </m:radPr>
                    <m:deg/>
                    <m:e>
                      <m:r>
                        <m:t>2</m:t>
                      </m:r>
                    </m:e>
                  </m:rad>
                  <m:r>
                    <m:t>*</m:t>
                  </m:r>
                  <m:r>
                    <m:t>0.104</m:t>
                  </m:r>
                </m:e>
              </m:d>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Ulseth et al., 2019)</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2" w:name="upscaling-to-co2-evasion-and-bulk-carbon-efflux"/>
      <w:bookmarkEnd w:id="32"/>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22 rivers, and 2) the sensitivity of the estimated bulk carbon efflux</w:t>
      </w:r>
      <w:r>
        <w:t xml:space="preserve"> </w:t>
      </w:r>
      <m:oMath>
        <m:r>
          <m:t>[</m:t>
        </m:r>
        <m:r>
          <m:t>M</m:t>
        </m:r>
        <m:r>
          <m:t>/</m:t>
        </m:r>
        <m:r>
          <m:t>T</m:t>
        </m:r>
        <m:r>
          <m:t>]</m:t>
        </m:r>
      </m:oMath>
      <w:r>
        <w:t xml:space="preserve"> </w:t>
      </w:r>
      <w:r>
        <w:t xml:space="preserve">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w:t>
      </w:r>
      <w:r>
        <w:t xml:space="preserve"> </w:t>
      </w:r>
      <m:oMath>
        <m:sSub>
          <m:e>
            <m:r>
              <m:t>k</m:t>
            </m:r>
          </m:e>
          <m:sub>
            <m:r>
              <m:t>600</m:t>
            </m:r>
          </m:sub>
        </m:sSub>
      </m:oMath>
      <w:r>
        <w:t xml:space="preserve">)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we deemed this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multiple sections of the Ohio River-</w:t>
      </w:r>
      <w:r>
        <w:t xml:space="preserve"> </w:t>
      </w:r>
      <w:r>
        <w:t xml:space="preserve">Frasson et al. (2019)</w:t>
      </w:r>
      <w:r>
        <w:t xml:space="preserve">).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backcalculate</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22 rivers after accounting for total river surface area.</w:t>
      </w:r>
    </w:p>
    <w:p>
      <w:pPr>
        <w:pStyle w:val="Heading2"/>
      </w:pPr>
      <w:bookmarkStart w:id="33" w:name="results"/>
      <w:bookmarkEnd w:id="33"/>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4" w:name="validating-the-k_600-upscaling-model"/>
      <w:bookmarkEnd w:id="34"/>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uncertainity scenarios (section 2.2) 5,000 times. Figures 4a, 4c, and 4e plot histograms of the 5,000 uncertainty terms extracted from those distributions. Figures 4b, 4d, and 4f plot three of the distributions used to build the histograms as examples. Across the 5,000 tests for the fullest error scenario (Figure 4e), we quantified median ln-transformed uncertainty in equation 4 to be 1.28 (~3.6 m/day- dashed blue line in Figure 4a). Median uncertainty solely from the upscaling model is 1.27 (~3.5608526 m/day), confirming that functionally all uncertainity in the equation 4 estimates is due to upscaling and not due to the assumptions made for BIKER. The only notable difference between these histograms is in the Figure 4e right-hand tail, where the cases when estimate uncertainity is extremely high get larger. Figures 4b, 4d, and 4f are also functionally identical, further corroborating our conclusion.</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6"/>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7" w:name="validating-the-biker-algorithm"/>
      <w:bookmarkEnd w:id="37"/>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SWOT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0.14 in log10 space (~1.38 m/day) across all predictions. Again, this is substantially less than the RMSEs for the upscaling models (Figure 3) and the MC-propogated uncertainties (Figure 4).</w:t>
      </w:r>
    </w:p>
    <w:p>
      <w:pPr>
        <w:pStyle w:val="FigureWithCaption"/>
      </w:pPr>
      <w:r>
        <w:drawing>
          <wp:inline>
            <wp:extent cx="5943600" cy="3467100"/>
            <wp:effectExtent b="0" l="0" r="0" t="0"/>
            <wp:docPr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8"/>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In summary, Figure 5 confirms that we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with and without SWOT measurement error.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we deem that SWOT measurement error does not exert a significant influence on BIKER and so the results presented for the rest of the manuscript assume no measurement error. Median rBIAS is 0.04, indicating nearly no bias in most rivers’ predictions. However, some rivers are substantially biased in both directions, further supporting the visual evidence in Figure 5 that sometimes BIKER is substantially under/overestimating the magnitude of</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0.29 and 0.28, respectively. While median KGE and rBIAS scores were strong, the ranges of these scores were somewhat large (standard deviation for KGE of 0.53 and for rBIAS of 0.34).</w:t>
      </w:r>
    </w:p>
    <w:p>
      <w:pPr>
        <w:pStyle w:val="FigureWithCaption"/>
      </w:pPr>
      <w:r>
        <w:drawing>
          <wp:inline>
            <wp:extent cx="5943600" cy="3396342"/>
            <wp:effectExtent b="0" l="0" r="0" t="0"/>
            <wp:docPr descr="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 at times.</w:t>
      </w:r>
    </w:p>
    <w:p>
      <w:pPr>
        <w:pStyle w:val="Heading3"/>
      </w:pPr>
      <w:bookmarkStart w:id="40" w:name="influences-on-carbon-efflux-estimates"/>
      <w:bookmarkEnd w:id="40"/>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higher than</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(741, 770, and 860 gG-C/yr for ‘Raymond 2012’, ‘Raymond 2013’, and ‘Lauerwald 2015’, respectively). Thus, BIKER reasonably captures the estimated efflux from these rivers purely from RS data, and surprisingly outperforms the gauge-based approaches when assessing this bulk flux property (Figure 8a).</w:t>
      </w:r>
    </w:p>
    <w:p>
      <w:pPr>
        <w:pStyle w:val="FigureWithCaption"/>
      </w:pPr>
      <w:r>
        <w:drawing>
          <wp:inline>
            <wp:extent cx="5943600" cy="2971800"/>
            <wp:effectExtent b="0" l="0" r="0" t="0"/>
            <wp:docPr descr="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HG models uniformly produce significant negative bias in their estimates (median scores of -0.16, -0.26, and -0.29 for 'Lauerwald 2015', 'Raymond 2013', and 'Raymond 2012', respectively). BIKER has similar performance for NRMSE and RRMSE, which is generally worse than the HG models. But, BIKER NRMSE is only slightly worse than 'Raymond 2013 and 'Raymond 2012' while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and notably worse for RRMSE. This is despite relying on absolutely no in situ information like all three other models do.</w:t>
      </w:r>
    </w:p>
    <w:p>
      <w:pPr>
        <w:pStyle w:val="Heading2"/>
      </w:pPr>
      <w:bookmarkStart w:id="43" w:name="discussion"/>
      <w:bookmarkEnd w:id="43"/>
      <w:r>
        <w:t xml:space="preserve">4 Discussion</w:t>
      </w:r>
    </w:p>
    <w:p>
      <w:pPr>
        <w:pStyle w:val="Heading3"/>
      </w:pPr>
      <w:bookmarkStart w:id="44" w:name="towards-remote-sensing-global-spatiotemporal-dynamics-of-k_600"/>
      <w:bookmarkEnd w:id="44"/>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(e.g. Roberts et al., 2007; Uehlinger and Naegeli, 1998)</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pPr>
        <w:pStyle w:val="Heading3"/>
      </w:pPr>
      <w:bookmarkStart w:id="45" w:name="estimating-bulk-carbon-efflux-using-the-swot-satellite"/>
      <w:bookmarkEnd w:id="45"/>
      <w:r>
        <w:t xml:space="preserve">4.2 Estimating bulk carbon efflux using the SWOT satellite</w:t>
      </w:r>
    </w:p>
    <w:p>
      <w:pPr>
        <w:pStyle w:val="FirstParagraph"/>
      </w:pPr>
      <w:r>
        <w:t xml:space="preserve">Section 3.3 confirms that BIKER is successful at two things without any in situ information for</w:t>
      </w:r>
      <w:r>
        <w:t xml:space="preserve"> </w:t>
      </w:r>
      <m:oMath>
        <m:sSub>
          <m:e>
            <m:r>
              <m:t>k</m:t>
            </m:r>
          </m:e>
          <m:sub>
            <m:r>
              <m:t>600</m:t>
            </m:r>
          </m:sub>
        </m:sSub>
      </m:oMath>
      <w:r>
        <w:t xml:space="preserve">: 1) reproducing</w:t>
      </w:r>
      <w:r>
        <w:t xml:space="preserve"> </w:t>
      </w:r>
      <m:oMath>
        <m:r>
          <m:t>F</m:t>
        </m:r>
        <m:r>
          <m:t>C</m:t>
        </m:r>
        <m:sSub>
          <m:e>
            <m:r>
              <m:t>O</m:t>
            </m:r>
          </m:e>
          <m:sub>
            <m:r>
              <m:t>2</m:t>
            </m:r>
          </m:sub>
        </m:sSub>
      </m:oMath>
      <w:r>
        <w:t xml:space="preserve"> </w:t>
      </w:r>
      <w:r>
        <w:t xml:space="preserve">(Figure 7) and 2) reproducing the bulk carbon efflux (Figure 5.8). This encouraging result has two main implications for future work. First, section 3.3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 at hand</w:t>
      </w:r>
      <w:r>
        <w:t xml:space="preserve"> </w:t>
      </w:r>
      <w:r>
        <w:t xml:space="preserve">(which is generally the case in rivers large enough to be SWOT-observable- Ferguson, 2010)</w:t>
      </w:r>
      <w:r>
        <w:t xml:space="preserve">. Upon SWOT's launch, the BIKER approach to estimating gas exchange could be coupled with existing upscaling workflows to improve riverine gas flux predictions where gauges are unavailable but SWOT measurements are.</w:t>
      </w:r>
    </w:p>
    <w:p>
      <w:pPr>
        <w:pStyle w:val="Heading3"/>
      </w:pPr>
      <w:bookmarkStart w:id="46" w:name="sources-of-biker-uncertainty-process-level-or-remote-sensing"/>
      <w:bookmarkEnd w:id="46"/>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therefore limited by our current process-level understanding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discuss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7" w:name="gas-exchange-under-uniform-and-non-uniform-flow-conditions"/>
      <w:bookmarkEnd w:id="47"/>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answer this question.</w:t>
      </w:r>
    </w:p>
    <w:p>
      <w:pPr>
        <w:pStyle w:val="Heading4"/>
      </w:pPr>
      <w:bookmarkStart w:id="48" w:name="bed-roughness-and-gas-exchange-in-swot-rivers"/>
      <w:bookmarkEnd w:id="48"/>
      <w:r>
        <w:t xml:space="preserve">4.2.2 Bed roughness and gas exchange in SWOT rivers</w:t>
      </w:r>
    </w:p>
    <w:p>
      <w:pPr>
        <w:pStyle w:val="FirstParagraph"/>
      </w:pPr>
      <w:r>
        <w:t xml:space="preserve">Channel bed roughness affects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w:t>
      </w:r>
      <w:r>
        <w:t xml:space="preserve"> </w:t>
      </w:r>
      <w:r>
        <w:t xml:space="preserve">(e.g. Chanson et al., n.d.; Moog and Jirka, n.d.)</w:t>
      </w:r>
      <w:r>
        <w:t xml:space="preserve">.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but is less relevant for BIKER's application to SWOT data. This is particularly important because small, steep rivers dominate global river networks and their GHG evasion</w:t>
      </w:r>
      <w:r>
        <w:t xml:space="preserve"> </w:t>
      </w:r>
      <w:r>
        <w:t xml:space="preserve">(Horgby et al., 2019)</w:t>
      </w:r>
      <w:r>
        <w:t xml:space="preserve"> </w:t>
      </w:r>
      <w:r>
        <w:t xml:space="preserve">due to the fractal nature of river systems</w:t>
      </w:r>
      <w:r>
        <w:t xml:space="preserve"> </w:t>
      </w:r>
      <w:r>
        <w:t xml:space="preserve">(Tarboton et al., 1988)</w:t>
      </w:r>
      <w:r>
        <w:t xml:space="preserve">.</w:t>
      </w:r>
    </w:p>
    <w:p>
      <w:pPr>
        <w:pStyle w:val="Heading4"/>
      </w:pPr>
      <w:bookmarkStart w:id="49" w:name="wind-driven-gas-exchange-in-swot-rivers"/>
      <w:bookmarkEnd w:id="49"/>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50" w:name="conclusions"/>
      <w:bookmarkEnd w:id="50"/>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relationships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,/day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either functionally the same or modestly worse than those made using a streamgauge and the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1" w:name="acknowledgements"/>
      <w:bookmarkEnd w:id="51"/>
      <w:r>
        <w:t xml:space="preserve">6 Acknowledgements</w:t>
      </w:r>
    </w:p>
    <w:p>
      <w:pPr>
        <w:pStyle w:val="FirstParagraph"/>
      </w:pPr>
      <w:r>
        <w:t xml:space="preserve">C.B. Brinkerhoff was funded on</w:t>
      </w:r>
      <w:r>
        <w:t xml:space="preserve"> </w:t>
      </w:r>
      <w:r>
        <w:rPr>
          <w:b/>
        </w:rPr>
        <w:t xml:space="preserve">xxxxxxxxxxxxx</w:t>
      </w:r>
      <w:r>
        <w:t xml:space="preserve">. BIKER is available at</w:t>
      </w:r>
      <w:r>
        <w:t xml:space="preserve"> </w:t>
      </w:r>
      <w:hyperlink r:id="rId52">
        <w:r>
          <w:rPr>
            <w:rStyle w:val="Hyperlink"/>
          </w:rPr>
          <w:t xml:space="preserve">https://github.com/craigbrinkerhoff/BIKER</w:t>
        </w:r>
      </w:hyperlink>
      <w:r>
        <w:t xml:space="preserve">. All code to build and generate results, figures, and the manuscript is available at</w:t>
      </w:r>
      <w:r>
        <w:t xml:space="preserve"> </w:t>
      </w:r>
      <w:hyperlink r:id="rId53">
        <w:r>
          <w:rPr>
            <w:rStyle w:val="Hyperlink"/>
          </w:rPr>
          <w:t xml:space="preserve">https://github.com/craigbrinkerhoff/RSK600</w:t>
        </w:r>
      </w:hyperlink>
      <w:r>
        <w:t xml:space="preserve">. Data used in this study was generously made available by the authors of Frasson et al. (2019), Ulseth et al. (2019), and Beaulieu et al. (2012). This manuscript benefitted extensively from the decade plus body of work generated by the SWOT Discharge Algorithm Working Group.</w:t>
      </w:r>
    </w:p>
    <w:p>
      <w:pPr>
        <w:pStyle w:val="Heading2"/>
      </w:pPr>
      <w:bookmarkStart w:id="54" w:name="references"/>
      <w:bookmarkEnd w:id="54"/>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5">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6">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7">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8">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9">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60">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1">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2">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3">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4">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5">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6">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67">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8">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9">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0">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1">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2">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3">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5">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6">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Moog, D.B., Jirka, G.H., n.d. Stream Reaeration in Nonuniform Flow: Macroroughness Enhancement 6.</w:t>
      </w:r>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6">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7">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9">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100">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1">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2">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3">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4">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5">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6">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7">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1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2">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969c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61585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36" Target="media/rId36.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6"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60"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4"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6"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5"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30"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6"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60"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4"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6"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5"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30"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2021-03-04T18:17:52Z</dcterms:created>
  <dcterms:modified xsi:type="dcterms:W3CDTF">2021-03-04T18:17:52Z</dcterms:modified>
</cp:coreProperties>
</file>