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Information: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riverine</w:t>
      </w:r>
      <w:r>
        <w:t xml:space="preserve"> </w:t>
      </w:r>
      <w:r>
        <w:t xml:space="preserve">gas</w:t>
      </w:r>
      <w:r>
        <w:t xml:space="preserve"> </w:t>
      </w:r>
      <w:r>
        <w:t xml:space="preserve">exchange</w:t>
      </w:r>
      <w:r>
        <w:t xml:space="preserve"> </w:t>
      </w:r>
      <w:r>
        <w:t xml:space="preserve">and</w:t>
      </w:r>
      <w:r>
        <w:t xml:space="preserve"> </w:t>
      </w:r>
      <w:r>
        <w:t xml:space="preserve">estimating</w:t>
      </w:r>
      <w:r>
        <w:t xml:space="preserve"> </w:t>
      </w:r>
      <w:r>
        <w:t xml:space="preserve">carbon</w:t>
      </w:r>
      <w:r>
        <w:t xml:space="preserve"> </w:t>
      </w:r>
      <w:r>
        <w:t xml:space="preserve">efflux</w:t>
      </w:r>
      <w:r>
        <w:t xml:space="preserve"> </w:t>
      </w:r>
      <w:r>
        <w:t xml:space="preserve">using</w:t>
      </w:r>
      <w:r>
        <w:t xml:space="preserve"> </w:t>
      </w:r>
      <w:r>
        <w:t xml:space="preserve">SWOT</w:t>
      </w:r>
      <w:r>
        <w:t xml:space="preserve"> </w:t>
      </w:r>
      <w:r>
        <w:t xml:space="preserve">observations</w:t>
      </w:r>
    </w:p>
    <w:p>
      <w:pPr>
        <w:pStyle w:val="Author"/>
      </w:pPr>
      <w:r>
        <w:t xml:space="preserve">CB</w:t>
      </w:r>
      <w:r>
        <w:t xml:space="preserve"> </w:t>
      </w:r>
      <w:r>
        <w:t xml:space="preserve">Brinkerhoff,</w:t>
      </w:r>
      <w:r>
        <w:t xml:space="preserve"> </w:t>
      </w:r>
      <w:r>
        <w:t xml:space="preserve">CJ</w:t>
      </w:r>
      <w:r>
        <w:t xml:space="preserve"> </w:t>
      </w:r>
      <w:r>
        <w:t xml:space="preserve">Gleason,</w:t>
      </w:r>
      <w:r>
        <w:t xml:space="preserve"> </w:t>
      </w:r>
      <w:r>
        <w:t xml:space="preserve">PA</w:t>
      </w:r>
      <w:r>
        <w:t xml:space="preserve"> </w:t>
      </w:r>
      <w:r>
        <w:t xml:space="preserve">Raymond,</w:t>
      </w:r>
      <w:r>
        <w:t xml:space="preserve"> </w:t>
      </w:r>
      <w:r>
        <w:t xml:space="preserve">MH</w:t>
      </w:r>
      <w:r>
        <w:t xml:space="preserve"> </w:t>
      </w:r>
      <w:r>
        <w:t xml:space="preserve">Harlan</w:t>
      </w:r>
    </w:p>
    <w:p>
      <w:pPr>
        <w:pStyle w:val="Date"/>
      </w:pPr>
      <w:r>
        <w:t xml:space="preserve">2021-02-19</w:t>
      </w:r>
    </w:p>
    <w:p>
      <w:pPr>
        <w:pStyle w:val="Heading2"/>
      </w:pPr>
      <w:bookmarkStart w:id="21" w:name="text-s1"/>
      <w:bookmarkEnd w:id="21"/>
      <w:r>
        <w:t xml:space="preserve">Text S1</w:t>
      </w:r>
    </w:p>
    <w:p>
      <w:pPr>
        <w:pStyle w:val="FirstParagraph"/>
      </w:pPr>
      <w:r>
        <w:t xml:space="preserve">(Tsivoglou and Neal, 1976)</w:t>
      </w:r>
      <w:r>
        <w:t xml:space="preserve"> </w:t>
      </w:r>
      <w:r>
        <w:t xml:space="preserve">outlined an energy dissipation model for the reaeration coefficient (</w:t>
      </w:r>
      <m:oMath>
        <m:sSub>
          <m:e>
            <m:r>
              <m:t>K</m:t>
            </m:r>
          </m:e>
          <m:sub>
            <m:r>
              <m:t>2</m:t>
            </m:r>
          </m:sub>
        </m:sSub>
      </m:oMath>
      <w:r>
        <w:t xml:space="preserve">, or k without depth correction) that is frequently generalized and used to scale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(Raymond et al., 2012; Ulseth et al., 2019)</w:t>
      </w:r>
      <w:r>
        <w:t xml:space="preserve">. They showed that</w:t>
      </w:r>
      <w:r>
        <w:t xml:space="preserve"> </w:t>
      </w:r>
      <m:oMath>
        <m:sSub>
          <m:e>
            <m:r>
              <m:t>K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scales linearly with the energy dissipation rate eD. Their derivation explicitly shows that</w:t>
      </w:r>
      <w:r>
        <w:t xml:space="preserve"> </w:t>
      </w:r>
      <m:oMath>
        <m:r>
          <m:t>e</m:t>
        </m:r>
        <m:r>
          <m:t>D</m:t>
        </m:r>
        <m:r>
          <m:t>=</m:t>
        </m:r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for some segment of stream where H is water surface elevation and T is hydraulic residence time. For a stream segment with residence time T, the loss in water surface elevation is synonymous with the downward component of flow velocity V in the h dimension over the reach length (i.e.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). So, we can generalize this to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sSub>
          <m:e>
            <m:r>
              <m:t>V</m:t>
            </m:r>
          </m:e>
          <m:sub>
            <m:r>
              <m:t>h</m:t>
            </m:r>
          </m:sub>
        </m:sSub>
        <m:sSub>
          <m:e>
            <m:r>
              <m:t>S</m:t>
            </m:r>
          </m:e>
          <m:sub>
            <m:r>
              <m:t>h</m:t>
            </m:r>
          </m:sub>
        </m:sSub>
        <m:r>
          <m:t>≈</m:t>
        </m:r>
        <m:r>
          <m:t>V</m:t>
        </m:r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. Finally, this can be converted to an energy dissipation rate per unit weight of water such that</w:t>
      </w:r>
      <w:r>
        <w:t xml:space="preserve"> </w:t>
      </w:r>
      <m:oMath>
        <m:r>
          <m:t>e</m:t>
        </m:r>
        <m:r>
          <m:t>D</m:t>
        </m:r>
        <m:r>
          <m:t>[</m:t>
        </m:r>
        <m:f>
          <m:fPr>
            <m:type m:val="bar"/>
          </m:fPr>
          <m:num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</m:den>
        </m:f>
        <m:r>
          <m:t>]</m:t>
        </m:r>
        <m:r>
          <m:t>=</m:t>
        </m:r>
        <m:r>
          <m:t>g</m:t>
        </m:r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  <m:r>
          <m:t>≈</m:t>
        </m:r>
        <m:r>
          <m:t>g</m:t>
        </m:r>
        <m:r>
          <m:t>V</m:t>
        </m:r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. This model is convenient for our use because SWOT will only measure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not channel slope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Further, Manning’s equation under non-uniform flow conditions requires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not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so we can conveniently merge the slope terms across equations and directly measure them from SWOT.</w:t>
      </w:r>
    </w:p>
    <w:p>
      <w:pPr>
        <w:pStyle w:val="Heading2"/>
      </w:pPr>
      <w:bookmarkStart w:id="22" w:name="text-s2"/>
      <w:bookmarkEnd w:id="22"/>
      <w:r>
        <w:t xml:space="preserve">Text S2</w:t>
      </w:r>
    </w:p>
    <w:p>
      <w:pPr>
        <w:pStyle w:val="FirstParagraph"/>
      </w:pPr>
      <w:r>
        <w:t xml:space="preserve">In Figure S4 we show that bed roughness only exerts an influence on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when rivers are incredibly steep. We do this using the 'Keulegan effective roughness height' for the channel bed, which is detailed in equation S1 below</w:t>
      </w:r>
      <w:r>
        <w:t xml:space="preserve"> </w:t>
      </w:r>
      <w:r>
        <w:t xml:space="preserve">(in the form from Dingman, 2007)</w:t>
      </w:r>
      <w:r>
        <w:t xml:space="preserve">. This model was first outlined in the 1930s by Keulegan and outlined explicitly in</w:t>
      </w:r>
      <w:r>
        <w:t xml:space="preserve"> </w:t>
      </w:r>
      <w:r>
        <w:t xml:space="preserve">(Ferguson, 1986)</w:t>
      </w:r>
      <w:r>
        <w:t xml:space="preserve"> </w:t>
      </w:r>
      <w:r>
        <w:t xml:space="preserve">and</w:t>
      </w:r>
      <w:r>
        <w:t xml:space="preserve"> </w:t>
      </w:r>
      <w:r>
        <w:t xml:space="preserve">(Dingman, 2007)</w:t>
      </w:r>
      <w:r>
        <w:t xml:space="preserve"> </w:t>
      </w:r>
      <w:r>
        <w:t xml:space="preserve">in the context of hydraulic geometry (noting that it is a more generalized form of the Manning's and Chezy's velocity~depth relations commonly used in the literature). The model arises from depth integrating the Prandl-von Karman equation for velocity in a turbulent boundary layer</w:t>
      </w:r>
      <w:r>
        <w:t xml:space="preserve"> </w:t>
      </w:r>
      <w:r>
        <w:t xml:space="preserve">(Ferguson, 1986)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=</m:t>
          </m:r>
          <m:r>
            <m:t>2.5</m:t>
          </m:r>
          <m:r>
            <m:t>(</m:t>
          </m:r>
          <m:r>
            <m:t>g</m:t>
          </m:r>
          <m:r>
            <m:t>D</m:t>
          </m:r>
          <m:r>
            <m:t>S</m:t>
          </m:r>
          <m:sSup>
            <m:e>
              <m:r>
                <m:t>)</m:t>
              </m:r>
            </m:e>
            <m:sup>
              <m:r>
                <m:t>1</m:t>
              </m:r>
              <m:r>
                <m:t>/</m:t>
              </m:r>
              <m:r>
                <m:t>2</m:t>
              </m:r>
            </m:sup>
          </m:sSup>
          <m:r>
            <m:t>l</m:t>
          </m:r>
          <m:r>
            <m:t>n</m:t>
          </m:r>
          <m:r>
            <m:t>(</m:t>
          </m:r>
          <m:f>
            <m:fPr>
              <m:type m:val="bar"/>
            </m:fPr>
            <m:num>
              <m:r>
                <m:t>11</m:t>
              </m:r>
              <m:r>
                <m:t>D</m:t>
              </m:r>
            </m:num>
            <m:den>
              <m:sSub>
                <m:e>
                  <m:r>
                    <m:t>y</m:t>
                  </m:r>
                </m:e>
                <m:sub>
                  <m:r>
                    <m:t>r</m:t>
                  </m:r>
                </m:sub>
              </m:sSub>
            </m:den>
          </m:f>
          <m:r>
            <m:t>)</m:t>
          </m:r>
          <m:r>
            <m:t>(</m:t>
          </m:r>
          <m:r>
            <m:t>S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r</m:t>
            </m:r>
          </m:sub>
        </m:sSub>
        <m:r>
          <m:t>[</m:t>
        </m:r>
        <m:r>
          <m:t>L</m:t>
        </m:r>
        <m:r>
          <m:t>]</m:t>
        </m:r>
      </m:oMath>
      <w:r>
        <w:t xml:space="preserve"> </w:t>
      </w:r>
      <w:r>
        <w:t xml:space="preserve">is the effective bed roughness height we solved for using the data from</w:t>
      </w:r>
      <w:r>
        <w:t xml:space="preserve"> </w:t>
      </w:r>
      <w:r>
        <w:t xml:space="preserve">(Ulseth et al., 2019)</w:t>
      </w:r>
      <w:r>
        <w:t xml:space="preserve"> </w:t>
      </w:r>
      <w:r>
        <w:t xml:space="preserve">where D is channel depth [L], S is channel slope, g is gravitational acceleration</w:t>
      </w:r>
      <w:r>
        <w:t xml:space="preserve"> </w:t>
      </w:r>
      <m:oMath>
        <m:r>
          <m:t>[</m:t>
        </m:r>
        <m:r>
          <m:t>M</m:t>
        </m:r>
        <m:r>
          <m:t>/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]</m:t>
        </m:r>
      </m:oMath>
      <w:r>
        <w:t xml:space="preserve">, and V is average flow velocity</w:t>
      </w:r>
      <w:r>
        <w:t xml:space="preserve"> </w:t>
      </w:r>
      <m:oMath>
        <m:r>
          <m:t>[</m:t>
        </m:r>
        <m:r>
          <m:t>M</m:t>
        </m:r>
        <m:r>
          <m:t>/</m:t>
        </m:r>
        <m:r>
          <m:t>T</m:t>
        </m:r>
        <m:r>
          <m:t>]</m:t>
        </m:r>
      </m:oMath>
      <w:r>
        <w:t xml:space="preserve">. Because it is an 'effective/equivalent height', this does not necessairly reflect actual roughness elements in the river channel but is a reasonable way to quantify relative differences in bed roughness across data. It is convenient to use here because it provides an actual roughness height and is not simply a coefficient like the conductance coefficients in Manning's and Chezy's velocity~depth relations.</w:t>
      </w:r>
    </w:p>
    <w:p>
      <w:pPr>
        <w:pStyle w:val="BodyText"/>
      </w:pPr>
      <w:r>
        <w:t xml:space="preserve">In Figure S4, this effective roughness height was plotted against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and the data was progressively filtered for steeper and steeper rivers.</w:t>
      </w:r>
    </w:p>
    <w:p>
      <w:pPr>
        <w:pStyle w:val="FigureWithCaption"/>
      </w:pPr>
      <w:r>
        <w:drawing>
          <wp:inline>
            <wp:extent cx="5943600" cy="2377440"/>
            <wp:effectExtent b="0" l="0" r="0" t="0"/>
            <wp:docPr descr="Figure S1 Timeseries of the biweekly CO2 data from Beaulieu et al. (2012). Sampling took place 2008-2009 in the Ohio River (upstream of Cincinnati, OH). Each point here was joined to the 11-day SWOT observations used in this study (section 5.2.4)." title="" id="1" name="Picture"/>
            <a:graphic>
              <a:graphicData uri="http://schemas.openxmlformats.org/drawingml/2006/picture">
                <pic:pic>
                  <pic:nvPicPr>
                    <pic:cNvPr descr="outputs/FCO2/Beaulieu_timeseri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S1 Timeseries of the biweekly CO2 data from Beaulieu et al. (2012). Sampling took place 2008-2009 in the Ohio River (upstream of Cincinnati, OH). Each point here was joined to the 11-day SWOT observations used in this study (section 5.2.4).</w:t>
      </w:r>
    </w:p>
    <w:p>
      <w:pPr>
        <w:pStyle w:val="FigureWithCaption"/>
      </w:pPr>
      <w:r>
        <w:drawing>
          <wp:inline>
            <wp:extent cx="5943600" cy="5283200"/>
            <wp:effectExtent b="0" l="0" r="0" t="0"/>
            <wp:docPr descr="Figure S2. Scaling k_{600} using an effective bed roughness term (see Text S2). This scaling relationship only exists for rivers with very steep slopes, here presented as greater than 0.1" title="" id="1" name="Picture"/>
            <a:graphic>
              <a:graphicData uri="http://schemas.openxmlformats.org/drawingml/2006/picture">
                <pic:pic>
                  <pic:nvPicPr>
                    <pic:cNvPr descr="outputs/k600/roughnes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S2. Scaling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using an effective bed roughness term (see Text S2). This scaling relationship only exists for rivers with very steep slopes, here presented as greater than 0.1</w:t>
      </w:r>
    </w:p>
    <w:p>
      <w:pPr>
        <w:pStyle w:val="BodyText"/>
      </w:pPr>
      <w:r>
        <w:rPr>
          <w:i/>
        </w:rPr>
        <w:t xml:space="preserve">Table S1: Details on the 3 velocity rating curve models used to estimate bulk carbon efflux from the SWOT rivers (section 5.2.4).</w:t>
      </w:r>
    </w:p>
    <w:tbl>
      <w:tblPr>
        <w:tblStyle w:val="TableNormal"/>
        <w:tblW w:type="pct" w:w="4861.111111111111"/>
        <w:tblLook w:firstRow="1"/>
      </w:tblPr>
      <w:tblGrid>
        <w:gridCol w:w="1540"/>
        <w:gridCol w:w="1540"/>
        <w:gridCol w:w="154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Equation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Raymond 2012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r>
                <m:t>V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1.64</m:t>
              </m:r>
              <m:r>
                <m:t>+</m:t>
              </m:r>
              <m:r>
                <m:t>0.285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Trained on their dataset</w:t>
            </w:r>
          </w:p>
        </w:tc>
        <w:tc>
          <w:p>
            <w:pPr>
              <w:pStyle w:val="Compact"/>
              <w:jc w:val="left"/>
            </w:pPr>
            <w:r>
              <w:t xml:space="preserve">Raymond et al. (2012)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Raymond 2013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r>
                <m:t>V</m:t>
              </m:r>
              <m:r>
                <m:t>)</m:t>
              </m:r>
              <m:r>
                <m:t>=</m:t>
              </m:r>
              <m:r>
                <m:t>m</m:t>
              </m:r>
              <m:r>
                <m:t>e</m:t>
              </m:r>
              <m:r>
                <m:t>a</m:t>
              </m:r>
              <m:r>
                <m:t>n</m:t>
              </m:r>
              <m:r>
                <m:t>(</m:t>
              </m:r>
              <m:r>
                <m:t>−</m:t>
              </m:r>
              <m:r>
                <m:t>1.64</m:t>
              </m:r>
              <m:r>
                <m:t>+</m:t>
              </m:r>
              <m:r>
                <m:t>0.285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  <m:r>
                <m:t>,</m:t>
              </m:r>
              <m:r>
                <m:t>−</m:t>
              </m:r>
              <m:r>
                <m:t>1.06</m:t>
              </m:r>
              <m:r>
                <m:t>+</m:t>
              </m:r>
              <m:r>
                <m:t>0.12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Average of the Raymond 2012 equation and one trained on 9,811 USGS streamgauges</w:t>
            </w:r>
          </w:p>
        </w:tc>
        <w:tc>
          <w:p>
            <w:pPr>
              <w:pStyle w:val="Compact"/>
              <w:jc w:val="left"/>
            </w:pPr>
            <w:r>
              <w:t xml:space="preserve">Raymond et al. (2013)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Lauerwald 2015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r>
                <m:t>V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1.06</m:t>
              </m:r>
              <m:r>
                <m:t>+</m:t>
              </m:r>
              <m:r>
                <m:t>0.12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Borrowed from ½ of the Raymond 2013 calculation (trained on 9,811 USGS streamgauges)</w:t>
            </w:r>
          </w:p>
        </w:tc>
        <w:tc>
          <w:p>
            <w:pPr>
              <w:pStyle w:val="Compact"/>
              <w:jc w:val="left"/>
            </w:pPr>
            <w:r>
              <w:t xml:space="preserve">Lauerwald et al. (2015)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Dingman, S.L., 2007. Analytical derivation of at-a-station hydraulicGeometry relations. Journal of Hydrology 334, 17–27.</w:t>
      </w:r>
      <w:r>
        <w:t xml:space="preserve"> </w:t>
      </w:r>
      <w:hyperlink r:id="rId26">
        <w:r>
          <w:rPr>
            <w:rStyle w:val="Hyperlink"/>
          </w:rPr>
          <w:t xml:space="preserve">https://doi.org/10.1016/j.jhydrol.2006.09.021</w:t>
        </w:r>
      </w:hyperlink>
    </w:p>
    <w:p>
      <w:pPr>
        <w:pStyle w:val="Bibliography"/>
      </w:pPr>
      <w:r>
        <w:t xml:space="preserve">Ferguson, R., 1986. Hydraulics and hydraulic geometry. Progress in Physical Geography: Earth and Environment 10, 1–31.</w:t>
      </w:r>
      <w:r>
        <w:t xml:space="preserve"> </w:t>
      </w:r>
      <w:hyperlink r:id="rId27">
        <w:r>
          <w:rPr>
            <w:rStyle w:val="Hyperlink"/>
          </w:rPr>
          <w:t xml:space="preserve">https://doi.org/10.1177/030913338601000101</w:t>
        </w:r>
      </w:hyperlink>
    </w:p>
    <w:p>
      <w:pPr>
        <w:pStyle w:val="Bibliography"/>
      </w:pPr>
      <w:r>
        <w:t xml:space="preserve">Lauerwald, R., Laruelle, G.G., Hartmann, J., Ciais, P., Regnier, P.A.G., 2015. Spatial patterns in CO2 evasion from the global river network. Global Biogeochemical Cycles 29, 534–554.</w:t>
      </w:r>
      <w:r>
        <w:t xml:space="preserve"> </w:t>
      </w:r>
      <w:hyperlink r:id="rId28">
        <w:r>
          <w:rPr>
            <w:rStyle w:val="Hyperlink"/>
          </w:rPr>
          <w:t xml:space="preserve">https://doi.org/10.1002/2014GB004941</w:t>
        </w:r>
      </w:hyperlink>
    </w:p>
    <w:p>
      <w:pPr>
        <w:pStyle w:val="Bibliography"/>
      </w:pPr>
      <w:r>
        <w:t xml:space="preserve">Raymond, P.A., Hartmann, J., Lauerwald, R., Sobek, S., McDonald, C., Hoover, M., Butman, D., Striegl, R., Mayorga, E., Humborg, C., Kortelainen, P., Dürr, H., Meybeck, M., Ciais, P., Guth, P., 2013. Global carbon dioxide emissions from inland waters. Nature 503, 355–359.</w:t>
      </w:r>
      <w:r>
        <w:t xml:space="preserve"> </w:t>
      </w:r>
      <w:hyperlink r:id="rId29">
        <w:r>
          <w:rPr>
            <w:rStyle w:val="Hyperlink"/>
          </w:rPr>
          <w:t xml:space="preserve">https://doi.org/10.1038/nature12760</w:t>
        </w:r>
      </w:hyperlink>
    </w:p>
    <w:p>
      <w:pPr>
        <w:pStyle w:val="Bibliography"/>
      </w:pPr>
      <w:r>
        <w:t xml:space="preserve">Raymond, P.A., Zappa, C.J., Butman, D., Bott, T.L., Potter, J., Mulholland, P., Laursen, A.E., McDowell, W.H., Newbold, D., 2012. Scaling the gas transfer velocity and hydraulic geometry in streams and small rivers. Limnology and Oceanography: Fluids and Environments 2, 41–53.</w:t>
      </w:r>
      <w:r>
        <w:t xml:space="preserve"> </w:t>
      </w:r>
      <w:hyperlink r:id="rId30">
        <w:r>
          <w:rPr>
            <w:rStyle w:val="Hyperlink"/>
          </w:rPr>
          <w:t xml:space="preserve">https://doi.org/10.1215/21573689-1597669</w:t>
        </w:r>
      </w:hyperlink>
    </w:p>
    <w:p>
      <w:pPr>
        <w:pStyle w:val="Bibliography"/>
      </w:pPr>
      <w:r>
        <w:t xml:space="preserve">Tsivoglou, E.C., Neal, L.A., 1976. Tracer Measurement of Reaeration: III. Predicting the Reaeration Capacity of Inland Streams. Journal (Water Pollution Control Federation) 48, 2669–2689.</w:t>
      </w:r>
    </w:p>
    <w:p>
      <w:pPr>
        <w:pStyle w:val="Bibliography"/>
      </w:pPr>
      <w:r>
        <w:t xml:space="preserve">Ulseth, A.J., Hall, R.O., Boix Canadell, M., Madinger, H.L., Niayifar, A., Battin, T.J., 2019. Distinct airWater gas exchange regimes in low- and high-energy streams. Nature Geoscience 12, 259–263.</w:t>
      </w:r>
      <w:r>
        <w:t xml:space="preserve"> </w:t>
      </w:r>
      <w:hyperlink r:id="rId31">
        <w:r>
          <w:rPr>
            <w:rStyle w:val="Hyperlink"/>
          </w:rPr>
          <w:t xml:space="preserve">https://doi.org/10.1038/s41561-019-0324-8</w:t>
        </w:r>
      </w:hyperlink>
    </w:p>
    <w:sectPr w:rsidR="00F3367E" w:rsidRPr="00F3367E" w:rsidSect="00EF1B30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32807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BE606CD" w14:textId="69E5DD97" w:rsidR="002059CC" w:rsidRPr="002059CC" w:rsidRDefault="002059CC">
        <w:pPr>
          <w:pStyle w:val="Footer"/>
          <w:jc w:val="center"/>
          <w:rPr>
            <w:rFonts w:ascii="Times New Roman" w:hAnsi="Times New Roman" w:cs="Times New Roman"/>
          </w:rPr>
        </w:pPr>
        <w:r w:rsidRPr="002059CC">
          <w:rPr>
            <w:rFonts w:ascii="Times New Roman" w:hAnsi="Times New Roman" w:cs="Times New Roman"/>
          </w:rPr>
          <w:fldChar w:fldCharType="begin"/>
        </w:r>
        <w:r w:rsidRPr="002059CC">
          <w:rPr>
            <w:rFonts w:ascii="Times New Roman" w:hAnsi="Times New Roman" w:cs="Times New Roman"/>
          </w:rPr>
          <w:instrText xml:space="preserve"> PAGE   \* MERGEFORMAT </w:instrText>
        </w:r>
        <w:r w:rsidRPr="002059CC">
          <w:rPr>
            <w:rFonts w:ascii="Times New Roman" w:hAnsi="Times New Roman" w:cs="Times New Roman"/>
          </w:rPr>
          <w:fldChar w:fldCharType="separate"/>
        </w:r>
        <w:r w:rsidRPr="002059CC">
          <w:rPr>
            <w:rFonts w:ascii="Times New Roman" w:hAnsi="Times New Roman" w:cs="Times New Roman"/>
            <w:noProof/>
          </w:rPr>
          <w:t>2</w:t>
        </w:r>
        <w:r w:rsidRPr="002059C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0831D15" w14:textId="77777777" w:rsidR="002059CC" w:rsidRDefault="002059C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AE9AF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21679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D6CE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5F85C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D3C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4003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96EC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2F2E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5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1E6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EDCD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0A2284"/>
    <w:multiLevelType w:val="multilevel"/>
    <w:tmpl w:val="B88A1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d7fe3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ind w:firstLine="720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33038"/>
    <w:pPr>
      <w:keepNext/>
      <w:keepLines/>
      <w:spacing w:before="200" w:after="0"/>
      <w:ind w:left="720" w:firstLine="720"/>
      <w:outlineLvl w:val="3"/>
    </w:pPr>
    <w:rPr>
      <w:rFonts w:ascii="Times New Roman" w:eastAsiaTheme="majorEastAsia" w:hAnsi="Times New Roman" w:cs="Times New Roman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2464C"/>
    <w:pPr>
      <w:spacing w:before="180" w:after="180" w:line="480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B2464C"/>
  </w:style>
  <w:style w:type="paragraph" w:customStyle="1" w:styleId="Compact">
    <w:name w:val="Compact"/>
    <w:basedOn w:val="BodyText"/>
    <w:qFormat/>
    <w:rsid w:val="004C334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3D358A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2464C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EF1B30"/>
  </w:style>
  <w:style w:type="table" w:styleId="TableGrid">
    <w:name w:val="Table Grid"/>
    <w:basedOn w:val="TableNormal"/>
    <w:rsid w:val="00F336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9CC"/>
  </w:style>
  <w:style w:type="paragraph" w:styleId="Footer">
    <w:name w:val="footer"/>
    <w:basedOn w:val="Normal"/>
    <w:link w:val="FooterChar"/>
    <w:uiPriority w:val="99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hyperlink" Id="rId28" Target="https://doi.org/10.1002/2014GB004941" TargetMode="External" /><Relationship Type="http://schemas.openxmlformats.org/officeDocument/2006/relationships/hyperlink" Id="rId26" Target="https://doi.org/10.1016/j.jhydrol.2006.09.021" TargetMode="External" /><Relationship Type="http://schemas.openxmlformats.org/officeDocument/2006/relationships/hyperlink" Id="rId29" Target="https://doi.org/10.1038/nature12760" TargetMode="External" /><Relationship Type="http://schemas.openxmlformats.org/officeDocument/2006/relationships/hyperlink" Id="rId31" Target="https://doi.org/10.1038/s41561-019-0324-8" TargetMode="External" /><Relationship Type="http://schemas.openxmlformats.org/officeDocument/2006/relationships/hyperlink" Id="rId27" Target="https://doi.org/10.1177/030913338601000101" TargetMode="External" /><Relationship Type="http://schemas.openxmlformats.org/officeDocument/2006/relationships/hyperlink" Id="rId30" Target="https://doi.org/10.1215/21573689-159766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1002/2014GB004941" TargetMode="External" /><Relationship Type="http://schemas.openxmlformats.org/officeDocument/2006/relationships/hyperlink" Id="rId26" Target="https://doi.org/10.1016/j.jhydrol.2006.09.021" TargetMode="External" /><Relationship Type="http://schemas.openxmlformats.org/officeDocument/2006/relationships/hyperlink" Id="rId29" Target="https://doi.org/10.1038/nature12760" TargetMode="External" /><Relationship Type="http://schemas.openxmlformats.org/officeDocument/2006/relationships/hyperlink" Id="rId31" Target="https://doi.org/10.1038/s41561-019-0324-8" TargetMode="External" /><Relationship Type="http://schemas.openxmlformats.org/officeDocument/2006/relationships/hyperlink" Id="rId27" Target="https://doi.org/10.1177/030913338601000101" TargetMode="External" /><Relationship Type="http://schemas.openxmlformats.org/officeDocument/2006/relationships/hyperlink" Id="rId30" Target="https://doi.org/10.1215/21573689-15976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Information: remote sensing riverine gas exchange and estimating carbon efflux using SWOT observations</dc:title>
  <dc:creator>CB Brinkerhoff, CJ Gleason, PA Raymond, MH Harlan</dc:creator>
  <dcterms:created xsi:type="dcterms:W3CDTF">2021-02-19T19:25:03Z</dcterms:created>
  <dcterms:modified xsi:type="dcterms:W3CDTF">2021-02-19T19:25:03Z</dcterms:modified>
</cp:coreProperties>
</file>