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9.jpg" ContentType="image/jpeg"/>
  <Override PartName="/word/media/rId28.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r>
        <w:t xml:space="preserve"> </w:t>
      </w:r>
      <w:r>
        <w:t xml:space="preserve">Gas</w:t>
      </w:r>
      <w:r>
        <w:t xml:space="preserve"> </w:t>
      </w:r>
      <w:r>
        <w:t xml:space="preserve">exchange</w:t>
      </w:r>
      <w:r>
        <w:t xml:space="preserve"> </w:t>
      </w:r>
      <w:r>
        <w:t xml:space="preserve">in</w:t>
      </w:r>
      <w:r>
        <w:t xml:space="preserve"> </w:t>
      </w:r>
      <w:r>
        <w:t xml:space="preserve">large</w:t>
      </w:r>
      <w:r>
        <w:t xml:space="preserve"> </w:t>
      </w:r>
      <w:r>
        <w:t xml:space="preserve">rivers</w:t>
      </w:r>
      <w:r>
        <w:t xml:space="preserve"> </w:t>
      </w:r>
      <w:r>
        <w:t xml:space="preserve">controlled</w:t>
      </w:r>
      <w:r>
        <w:t xml:space="preserve"> </w:t>
      </w:r>
      <w:r>
        <w:t xml:space="preserve">by</w:t>
      </w:r>
      <w:r>
        <w:t xml:space="preserve"> </w:t>
      </w:r>
      <w:r>
        <w:t xml:space="preserve">largest</w:t>
      </w:r>
      <w:r>
        <w:t xml:space="preserve"> </w:t>
      </w:r>
      <w:r>
        <w:t xml:space="preserve">turbulent</w:t>
      </w:r>
      <w:r>
        <w:t xml:space="preserve"> </w:t>
      </w:r>
      <w:r>
        <w:t xml:space="preserve">eddies:</w:t>
      </w:r>
      <w:r>
        <w:t xml:space="preserve"> </w:t>
      </w:r>
      <w:r>
        <w:t xml:space="preserve">implications</w:t>
      </w:r>
      <w:r>
        <w:t xml:space="preserve"> </w:t>
      </w:r>
      <w:r>
        <w:t xml:space="preserve">for</w:t>
      </w:r>
      <w:r>
        <w:t xml:space="preserve"> </w:t>
      </w:r>
      <w:r>
        <w:t xml:space="preserve">remotely</w:t>
      </w:r>
      <w:r>
        <w:t xml:space="preserve"> </w:t>
      </w:r>
      <w:r>
        <w:t xml:space="preserve">sensing</w:t>
      </w:r>
      <w:r>
        <w:t xml:space="preserve"> </w:t>
      </w:r>
      <w:r>
        <w:t xml:space="preserve">gas</w:t>
      </w:r>
      <w:r>
        <w:t xml:space="preserve"> </w:t>
      </w:r>
      <w:r>
        <w:t xml:space="preserve">exchange</w:t>
      </w:r>
      <w:r>
        <w:t xml:space="preserve"> </w:t>
      </w:r>
      <w:r>
        <w:t xml:space="preserve">via</w:t>
      </w:r>
      <w:r>
        <w:t xml:space="preserve"> </w:t>
      </w:r>
      <w:r>
        <w:t xml:space="preserve">SWOT</w:t>
      </w:r>
    </w:p>
    <w:p>
      <w:pPr>
        <w:pStyle w:val="Author"/>
      </w:pPr>
      <w:r>
        <w:t xml:space="preserve">CB</w:t>
      </w:r>
      <w:r>
        <w:t xml:space="preserve"> </w:t>
      </w:r>
      <w:r>
        <w:t xml:space="preserve">Brinkerhoff,</w:t>
      </w:r>
      <w:r>
        <w:t xml:space="preserve"> </w:t>
      </w:r>
      <w:r>
        <w:t xml:space="preserve">CJ</w:t>
      </w:r>
      <w:r>
        <w:t xml:space="preserve"> </w:t>
      </w:r>
      <w:r>
        <w:t xml:space="preserve">Gleason,</w:t>
      </w:r>
      <w:r>
        <w:t xml:space="preserve"> </w:t>
      </w:r>
      <w:r>
        <w:t xml:space="preserve">PA</w:t>
      </w:r>
      <w:r>
        <w:t xml:space="preserve"> </w:t>
      </w:r>
      <w:r>
        <w:t xml:space="preserve">Raymond,</w:t>
      </w:r>
      <w:r>
        <w:t xml:space="preserve"> </w:t>
      </w:r>
      <w:r>
        <w:t xml:space="preserve">MH</w:t>
      </w:r>
      <w:r>
        <w:t xml:space="preserve"> </w:t>
      </w:r>
      <w:r>
        <w:t xml:space="preserve">Harlan</w:t>
      </w:r>
    </w:p>
    <w:p>
      <w:pPr>
        <w:pStyle w:val="Date"/>
      </w:pPr>
      <w:r>
        <w:t xml:space="preserve">2021-07-22</w:t>
      </w:r>
    </w:p>
    <w:p>
      <w:pPr>
        <w:pStyle w:val="Heading2"/>
      </w:pPr>
      <w:bookmarkStart w:id="21" w:name="contents"/>
      <w:bookmarkEnd w:id="21"/>
      <w:r>
        <w:t xml:space="preserve">Contents</w:t>
      </w:r>
    </w:p>
    <w:p>
      <w:pPr>
        <w:pStyle w:val="FirstParagraph"/>
      </w:pPr>
      <w:r>
        <w:t xml:space="preserve">This supplementary information contains 7 figures and 1 table. Please consult</w:t>
      </w:r>
      <w:r>
        <w:t xml:space="preserve"> </w:t>
      </w:r>
      <w:hyperlink r:id="rId22">
        <w:r>
          <w:rPr>
            <w:rStyle w:val="Hyperlink"/>
          </w:rPr>
          <w:t xml:space="preserve">https://github.com/craigbrinkerhoff/RSK600</w:t>
        </w:r>
      </w:hyperlink>
      <w:r>
        <w:t xml:space="preserve"> </w:t>
      </w:r>
      <w:r>
        <w:t xml:space="preserve">for all code to build and generate results, figures, and the manuscript.</w:t>
      </w:r>
    </w:p>
    <w:p>
      <w:pPr>
        <w:pStyle w:val="Heading2"/>
      </w:pPr>
      <w:bookmarkStart w:id="23" w:name="text-s1-deriving-two-expressions-for-turbulent-kinetic-energy-production"/>
      <w:bookmarkEnd w:id="23"/>
      <w:r>
        <w:t xml:space="preserve">Text S1: Deriving two expressions for turbulent kinetic energy production</w:t>
      </w:r>
    </w:p>
    <w:p>
      <w:pPr>
        <w:pStyle w:val="FirstParagraph"/>
      </w:pPr>
      <w:r>
        <w:t xml:space="preserve">Below we detail how we arrived at our two expressions for a cross-section-averaged turbulent kinetic energy production (</w:t>
      </w:r>
      <w:r>
        <w:rPr>
          <w:i/>
        </w:rPr>
        <w:t xml:space="preserve">G</w:t>
      </w:r>
      <w:r>
        <w:t xml:space="preserve">), or equation 3 in the main text. Please see Appendix A for variable descriptions and notation.</w:t>
      </w:r>
    </w:p>
    <w:p>
      <w:pPr>
        <w:pStyle w:val="BodyText"/>
      </w:pPr>
      <w:r>
        <w:t xml:space="preserve">Nakagawa and Nexu (1993)</w:t>
      </w:r>
      <w:r>
        <w:t xml:space="preserve"> </w:t>
      </w:r>
      <w:r>
        <w:t xml:space="preserve">outline the standard energy budget for turbulent kinetic energy (TKE), at some distance from the bed</w:t>
      </w:r>
      <w:r>
        <w:t xml:space="preserve"> </w:t>
      </w:r>
      <w:r>
        <w:rPr>
          <w:i/>
        </w:rPr>
        <w:t xml:space="preserve">h</w:t>
      </w:r>
      <w:r>
        <w:t xml:space="preserve">, for a 2-dimensional open-channel flow (equation S1).</w:t>
      </w:r>
      <w:r>
        <w:t xml:space="preserve"> </w:t>
      </w:r>
      <w:r>
        <w:rPr>
          <w:i/>
        </w:rPr>
        <w:t xml:space="preserve">G</w:t>
      </w:r>
      <w:r>
        <w:t xml:space="preserve"> </w:t>
      </w:r>
      <w:r>
        <w:t xml:space="preserve">is the TKE produced,</w:t>
      </w:r>
      <w:r>
        <w:t xml:space="preserve"> </w:t>
      </w:r>
      <m:oMath>
        <m:r>
          <m:t>ϵ</m:t>
        </m:r>
      </m:oMath>
      <w:r>
        <w:t xml:space="preserve"> </w:t>
      </w:r>
      <w:r>
        <w:t xml:space="preserve">is the TKE dissipated,</w:t>
      </w:r>
      <w:r>
        <w:t xml:space="preserve"> </w:t>
      </w:r>
      <m:oMath>
        <m:sSub>
          <m:e>
            <m:r>
              <m:t>T</m:t>
            </m:r>
          </m:e>
          <m:sub>
            <m:r>
              <m:t>d</m:t>
            </m:r>
          </m:sub>
        </m:sSub>
      </m:oMath>
      <w:r>
        <w:t xml:space="preserve"> </w:t>
      </w:r>
      <w:r>
        <w:t xml:space="preserve">is TKE transported from the riverbed via turbulent diffusion, and</w:t>
      </w:r>
      <w:r>
        <w:t xml:space="preserve"> </w:t>
      </w:r>
      <m:oMath>
        <m:sSub>
          <m:e>
            <m:r>
              <m:t>V</m:t>
            </m:r>
          </m:e>
          <m:sub>
            <m:r>
              <m:t>d</m:t>
            </m:r>
          </m:sub>
        </m:sSub>
      </m:oMath>
      <w:r>
        <w:t xml:space="preserve"> </w:t>
      </w:r>
      <w:r>
        <w:t xml:space="preserve">is TKE transported via viscous diffusion.</w:t>
      </w:r>
      <w:r>
        <w:t xml:space="preserve"> </w:t>
      </w:r>
      <m:oMath>
        <m:sSub>
          <m:e>
            <m:r>
              <m:t>T</m:t>
            </m:r>
          </m:e>
          <m:sub>
            <m:r>
              <m:t>d</m:t>
            </m:r>
          </m:sub>
        </m:sSub>
      </m:oMath>
      <w:r>
        <w:t xml:space="preserve"> </w:t>
      </w:r>
      <w:r>
        <w:t xml:space="preserve">should always be positive at the free surface, but this is increasingly less true as one moves closer to the riverbed. Since we are interested in the TKE budget at the river surface,</w:t>
      </w:r>
      <w:r>
        <w:t xml:space="preserve"> </w:t>
      </w:r>
      <m:oMath>
        <m:sSub>
          <m:e>
            <m:r>
              <m:t>V</m:t>
            </m:r>
          </m:e>
          <m:sub>
            <m:r>
              <m:t>d</m:t>
            </m:r>
          </m:sub>
        </m:sSub>
      </m:oMath>
      <w:r>
        <w:t xml:space="preserve"> </w:t>
      </w:r>
      <w:r>
        <w:t xml:space="preserve">can be assumed neglible</w:t>
      </w:r>
      <w:r>
        <w:t xml:space="preserve"> </w:t>
      </w:r>
      <w:r>
        <w:t xml:space="preserve">(Nakagawa and Nexu, 1993)</w:t>
      </w:r>
      <w:r>
        <w:t xml:space="preserve">.</w:t>
      </w:r>
    </w:p>
    <w:p>
      <w:pPr>
        <w:pStyle w:val="BodyText"/>
      </w:pPr>
      <m:oMathPara>
        <m:oMathParaPr>
          <m:jc m:val="center"/>
        </m:oMathParaPr>
        <m:oMath>
          <m:r>
            <m:rPr>
              <m:sty m:val="b"/>
            </m:rPr>
            <m:t>(</m:t>
          </m:r>
          <m:r>
            <m:rPr>
              <m:sty m:val="b"/>
            </m:rPr>
            <m:t>S</m:t>
          </m:r>
          <m:r>
            <m:rPr>
              <m:sty m:val="b"/>
            </m:rPr>
            <m:t>1</m:t>
          </m:r>
          <m:r>
            <m:rPr>
              <m:sty m:val="b"/>
            </m:rPr>
            <m:t>)</m:t>
          </m:r>
          <m:r>
            <m:t>G</m:t>
          </m:r>
          <m:r>
            <m:t>+</m:t>
          </m:r>
          <m:sSub>
            <m:e>
              <m:r>
                <m:t>T</m:t>
              </m:r>
            </m:e>
            <m:sub>
              <m:r>
                <m:t>d</m:t>
              </m:r>
            </m:sub>
          </m:sSub>
          <m:r>
            <m:t>+</m:t>
          </m:r>
          <m:sSub>
            <m:e>
              <m:r>
                <m:t>V</m:t>
              </m:r>
            </m:e>
            <m:sub>
              <m:r>
                <m:t>d</m:t>
              </m:r>
            </m:sub>
          </m:sSub>
          <m:r>
            <m:t>=</m:t>
          </m:r>
          <m:r>
            <m:t>ϵ</m:t>
          </m:r>
        </m:oMath>
      </m:oMathPara>
    </w:p>
    <w:p>
      <w:pPr>
        <w:pStyle w:val="FirstParagraph"/>
      </w:pPr>
      <w:r>
        <w:t xml:space="preserve">Nakagawa and Nexu (1993)</w:t>
      </w:r>
      <w:r>
        <w:t xml:space="preserve"> </w:t>
      </w:r>
      <w:r>
        <w:t xml:space="preserve">further define</w:t>
      </w:r>
      <w:r>
        <w:t xml:space="preserve"> </w:t>
      </w:r>
      <w:r>
        <w:rPr>
          <w:i/>
        </w:rPr>
        <w:t xml:space="preserve">G</w:t>
      </w:r>
      <w:r>
        <w:t xml:space="preserve"> </w:t>
      </w:r>
      <w:r>
        <w:t xml:space="preserve">and the direct energy dissipation</w:t>
      </w:r>
      <w:r>
        <w:t xml:space="preserve"> </w:t>
      </w:r>
      <w:r>
        <w:rPr>
          <w:i/>
        </w:rPr>
        <w:t xml:space="preserve">E</w:t>
      </w:r>
      <w:r>
        <w:t xml:space="preserve">, as averaged over the entire river cross-section and integrated over the entire water column, as equation S2 where</w:t>
      </w:r>
      <w:r>
        <w:t xml:space="preserve"> </w:t>
      </w:r>
      <w:r>
        <w:rPr>
          <w:i/>
        </w:rPr>
        <w:t xml:space="preserve">H</w:t>
      </w:r>
      <w:r>
        <w:t xml:space="preserve"> </w:t>
      </w:r>
      <w:r>
        <w:t xml:space="preserve">is the full water-column depth,</w:t>
      </w:r>
      <w:r>
        <w:t xml:space="preserve"> </w:t>
      </w:r>
      <w:r>
        <w:rPr>
          <w:i/>
        </w:rPr>
        <w:t xml:space="preserve">U</w:t>
      </w:r>
      <w:r>
        <w:t xml:space="preserve"> </w:t>
      </w:r>
      <w:r>
        <w:t xml:space="preserve">is the cross-sectional average flow velocity, and</w:t>
      </w:r>
      <w:r>
        <w:t xml:space="preserve"> </w:t>
      </w:r>
      <m:oMath>
        <m:sSub>
          <m:e>
            <m:r>
              <m:t>U</m:t>
            </m:r>
          </m:e>
          <m:sub>
            <m:r>
              <m:t>*</m:t>
            </m:r>
          </m:sub>
        </m:sSub>
      </m:oMath>
      <w:r>
        <w:t xml:space="preserve"> </w:t>
      </w:r>
      <w:r>
        <w:t xml:space="preserve">is the friction velocity.</w:t>
      </w:r>
      <w:r>
        <w:t xml:space="preserve"> </w:t>
      </w:r>
      <m:oMath>
        <m:sSub>
          <m:e>
            <m:r>
              <m:t>U</m:t>
            </m:r>
          </m:e>
          <m:sub>
            <m:r>
              <m:t>*</m:t>
            </m:r>
          </m:sub>
        </m:sSub>
      </m:oMath>
      <w:r>
        <w:t xml:space="preserve"> </w:t>
      </w:r>
      <w:r>
        <w:t xml:space="preserve">is defined by the water surface slope</w:t>
      </w:r>
      <w:r>
        <w:t xml:space="preserve"> </w:t>
      </w:r>
      <w:r>
        <w:rPr>
          <w:i/>
        </w:rPr>
        <w:t xml:space="preserve">S</w:t>
      </w:r>
      <w:r>
        <w:t xml:space="preserve">, gravitational acceleration</w:t>
      </w:r>
      <w:r>
        <w:t xml:space="preserve"> </w:t>
      </w:r>
      <w:r>
        <w:rPr>
          <w:i/>
        </w:rPr>
        <w:t xml:space="preserve">g</w:t>
      </w:r>
      <w:r>
        <w:t xml:space="preserve"> </w:t>
      </w:r>
      <w:r>
        <w:t xml:space="preserve">and the channel hydraulic radius</w:t>
      </w:r>
      <w:r>
        <w:t xml:space="preserve"> </w:t>
      </w:r>
      <m:oMath>
        <m:sSub>
          <m:e>
            <m:r>
              <m:t>R</m:t>
            </m:r>
          </m:e>
          <m:sub>
            <m:r>
              <m:t>h</m:t>
            </m:r>
          </m:sub>
        </m:sSub>
      </m:oMath>
      <w:r>
        <w:t xml:space="preserve"> </w:t>
      </w:r>
      <w:r>
        <w:t xml:space="preserve">as</w:t>
      </w:r>
      <w:r>
        <w:t xml:space="preserve"> </w:t>
      </w:r>
      <m:oMath>
        <m:sSub>
          <m:e>
            <m:r>
              <m:t>U</m:t>
            </m:r>
          </m:e>
          <m:sub>
            <m:r>
              <m:t>*</m:t>
            </m:r>
          </m:sub>
        </m:sSub>
        <m:r>
          <m:t>=</m:t>
        </m:r>
        <m:rad>
          <m:radPr>
            <m:degHide m:val="1"/>
          </m:radPr>
          <m:deg/>
          <m:e>
            <m:r>
              <m:t>g</m:t>
            </m:r>
            <m:r>
              <m:t>S</m:t>
            </m:r>
            <m:sSub>
              <m:e>
                <m:r>
                  <m:t>R</m:t>
                </m:r>
              </m:e>
              <m:sub>
                <m:r>
                  <m:t>h</m:t>
                </m:r>
              </m:sub>
            </m:sSub>
          </m:e>
        </m:rad>
      </m:oMath>
      <w:r>
        <w:t xml:space="preserve">.</w:t>
      </w:r>
    </w:p>
    <w:p>
      <w:pPr>
        <w:pStyle w:val="BodyText"/>
      </w:pPr>
      <m:oMathPara>
        <m:oMathParaPr>
          <m:jc m:val="center"/>
        </m:oMathParaPr>
        <m:oMath>
          <m:r>
            <m:rPr>
              <m:sty m:val="b"/>
            </m:rPr>
            <m:t>(</m:t>
          </m:r>
          <m:r>
            <m:rPr>
              <m:sty m:val="b"/>
            </m:rPr>
            <m:t>S</m:t>
          </m:r>
          <m:r>
            <m:rPr>
              <m:sty m:val="b"/>
            </m:rPr>
            <m:t>2</m:t>
          </m:r>
          <m:r>
            <m:rPr>
              <m:sty m:val="b"/>
            </m:rPr>
            <m:t>)</m:t>
          </m:r>
          <m:nary>
            <m:naryPr>
              <m:chr m:val="∫"/>
              <m:limLoc m:val="subSup"/>
              <m:subHide m:val="0"/>
              <m:supHide m:val="0"/>
            </m:naryPr>
            <m:sub>
              <m:r>
                <m:t>0</m:t>
              </m:r>
            </m:sub>
            <m:sup>
              <m:r>
                <m:t>H</m:t>
              </m:r>
            </m:sup>
            <m:e>
              <m:r>
                <m:t>G</m:t>
              </m:r>
              <m:r>
                <m:t>d</m:t>
              </m:r>
              <m:r>
                <m:t>h</m:t>
              </m:r>
            </m:e>
          </m:nary>
          <m:r>
            <m:t>+</m:t>
          </m:r>
          <m:nary>
            <m:naryPr>
              <m:chr m:val="∫"/>
              <m:limLoc m:val="subSup"/>
              <m:subHide m:val="0"/>
              <m:supHide m:val="0"/>
            </m:naryPr>
            <m:sub>
              <m:r>
                <m:t>0</m:t>
              </m:r>
            </m:sub>
            <m:sup>
              <m:r>
                <m:t>H</m:t>
              </m:r>
            </m:sup>
            <m:e>
              <m:r>
                <m:t>E</m:t>
              </m:r>
              <m:r>
                <m:t>d</m:t>
              </m:r>
              <m:r>
                <m:t>h</m:t>
              </m:r>
            </m:e>
          </m:nary>
          <m:r>
            <m:t>=</m:t>
          </m:r>
          <m:r>
            <m:t>U</m:t>
          </m:r>
          <m:sSubSup>
            <m:e>
              <m:r>
                <m:t>U</m:t>
              </m:r>
            </m:e>
            <m:sub>
              <m:r>
                <m:t>*</m:t>
              </m:r>
            </m:sub>
            <m:sup>
              <m:r>
                <m:t>2</m:t>
              </m:r>
            </m:sup>
          </m:sSubSup>
        </m:oMath>
      </m:oMathPara>
    </w:p>
    <w:p>
      <w:pPr>
        <w:pStyle w:val="FirstParagraph"/>
      </w:pPr>
      <m:oMath>
        <m:nary>
          <m:naryPr>
            <m:chr m:val="∫"/>
            <m:limLoc m:val="subSup"/>
            <m:subHide m:val="0"/>
            <m:supHide m:val="0"/>
          </m:naryPr>
          <m:sub>
            <m:r>
              <m:t>0</m:t>
            </m:r>
          </m:sub>
          <m:sup>
            <m:r>
              <m:t>H</m:t>
            </m:r>
          </m:sup>
          <m:e>
            <m:r>
              <m:t>E</m:t>
            </m:r>
            <m:r>
              <m:t>d</m:t>
            </m:r>
            <m:r>
              <m:t>h</m:t>
            </m:r>
          </m:e>
        </m:nary>
      </m:oMath>
      <w:r>
        <w:t xml:space="preserve"> </w:t>
      </w:r>
      <w:r>
        <w:t xml:space="preserve">can also be assumed neglible at the free surface</w:t>
      </w:r>
      <w:r>
        <w:t xml:space="preserve"> </w:t>
      </w:r>
      <w:r>
        <w:t xml:space="preserve">(Nakagawa and Nexu, 1993)</w:t>
      </w:r>
      <w:r>
        <w:t xml:space="preserve">. We then integrate over the full water-column depth</w:t>
      </w:r>
      <w:r>
        <w:t xml:space="preserve"> </w:t>
      </w:r>
      <w:r>
        <w:rPr>
          <w:i/>
        </w:rPr>
        <w:t xml:space="preserve">H</w:t>
      </w:r>
      <w:r>
        <w:t xml:space="preserve"> </w:t>
      </w:r>
      <w:r>
        <w:t xml:space="preserve">to arrive at an expression for</w:t>
      </w:r>
      <w:r>
        <w:t xml:space="preserve"> </w:t>
      </w:r>
      <w:r>
        <w:rPr>
          <w:i/>
        </w:rPr>
        <w:t xml:space="preserve">G</w:t>
      </w:r>
      <w:r>
        <w:t xml:space="preserve"> </w:t>
      </w:r>
      <w:r>
        <w:t xml:space="preserve">at the free surface that reduces to equation S5. Equations S3 to S4 show the algebra.</w:t>
      </w:r>
    </w:p>
    <w:p>
      <w:pPr>
        <w:pStyle w:val="BodyText"/>
      </w:pPr>
      <m:oMathPara>
        <m:oMathParaPr>
          <m:jc m:val="center"/>
        </m:oMathParaPr>
        <m:oMath>
          <m:r>
            <m:rPr>
              <m:sty m:val="b"/>
            </m:rPr>
            <m:t>(</m:t>
          </m:r>
          <m:r>
            <m:rPr>
              <m:sty m:val="b"/>
            </m:rPr>
            <m:t>S</m:t>
          </m:r>
          <m:r>
            <m:rPr>
              <m:sty m:val="b"/>
            </m:rPr>
            <m:t>3</m:t>
          </m:r>
          <m:r>
            <m:rPr>
              <m:sty m:val="b"/>
            </m:rPr>
            <m:t>)</m:t>
          </m:r>
          <m:nary>
            <m:naryPr>
              <m:chr m:val="∫"/>
              <m:limLoc m:val="subSup"/>
              <m:subHide m:val="0"/>
              <m:supHide m:val="0"/>
            </m:naryPr>
            <m:sub>
              <m:r>
                <m:t>0</m:t>
              </m:r>
            </m:sub>
            <m:sup>
              <m:r>
                <m:t>H</m:t>
              </m:r>
            </m:sup>
            <m:e>
              <m:r>
                <m:t>G</m:t>
              </m:r>
              <m:r>
                <m:t>d</m:t>
              </m:r>
              <m:r>
                <m:t>h</m:t>
              </m:r>
            </m:e>
          </m:nary>
          <m:r>
            <m:t>=</m:t>
          </m:r>
          <m:r>
            <m:t>U</m:t>
          </m:r>
          <m:sSup>
            <m:e>
              <m:rad>
                <m:radPr>
                  <m:degHide m:val="1"/>
                </m:radPr>
                <m:deg/>
                <m:e>
                  <m:r>
                    <m:t>g</m:t>
                  </m:r>
                  <m:r>
                    <m:t>S</m:t>
                  </m:r>
                  <m:sSub>
                    <m:e>
                      <m:r>
                        <m:t>R</m:t>
                      </m:r>
                    </m:e>
                    <m:sub>
                      <m:r>
                        <m:t>h</m:t>
                      </m:r>
                    </m:sub>
                  </m:sSub>
                </m:e>
              </m:rad>
            </m:e>
            <m:sup>
              <m:r>
                <m:t>2</m:t>
              </m:r>
            </m:sup>
          </m:sSup>
        </m:oMath>
      </m:oMathPara>
    </w:p>
    <w:p>
      <w:pPr>
        <w:pStyle w:val="FirstParagraph"/>
      </w:pPr>
      <m:oMathPara>
        <m:oMathParaPr>
          <m:jc m:val="center"/>
        </m:oMathParaPr>
        <m:oMath>
          <m:r>
            <m:rPr>
              <m:sty m:val="b"/>
            </m:rPr>
            <m:t>(</m:t>
          </m:r>
          <m:r>
            <m:rPr>
              <m:sty m:val="b"/>
            </m:rPr>
            <m:t>S</m:t>
          </m:r>
          <m:r>
            <m:rPr>
              <m:sty m:val="b"/>
            </m:rPr>
            <m:t>4</m:t>
          </m:r>
          <m:r>
            <m:rPr>
              <m:sty m:val="b"/>
            </m:rPr>
            <m:t>)</m:t>
          </m:r>
          <m:r>
            <m:t>G</m:t>
          </m:r>
          <m:r>
            <m:t>H</m:t>
          </m:r>
          <m:r>
            <m:t>=</m:t>
          </m:r>
          <m:r>
            <m:t>U</m:t>
          </m:r>
          <m:r>
            <m:t>g</m:t>
          </m:r>
          <m:r>
            <m:t>S</m:t>
          </m:r>
          <m:sSub>
            <m:e>
              <m:r>
                <m:t>R</m:t>
              </m:r>
            </m:e>
            <m:sub>
              <m:r>
                <m:t>h</m:t>
              </m:r>
            </m:sub>
          </m:sSub>
        </m:oMath>
      </m:oMathPara>
    </w:p>
    <w:p>
      <w:pPr>
        <w:pStyle w:val="FirstParagraph"/>
      </w:pPr>
      <m:oMathPara>
        <m:oMathParaPr>
          <m:jc m:val="center"/>
        </m:oMathParaPr>
        <m:oMath>
          <m:r>
            <m:rPr>
              <m:sty m:val="b"/>
            </m:rPr>
            <m:t>(</m:t>
          </m:r>
          <m:r>
            <m:rPr>
              <m:sty m:val="b"/>
            </m:rPr>
            <m:t>S</m:t>
          </m:r>
          <m:r>
            <m:rPr>
              <m:sty m:val="b"/>
            </m:rPr>
            <m:t>5</m:t>
          </m:r>
          <m:r>
            <m:rPr>
              <m:sty m:val="b"/>
            </m:rPr>
            <m:t>)</m:t>
          </m:r>
          <m:r>
            <m:t>G</m:t>
          </m:r>
          <m:r>
            <m:t>=</m:t>
          </m:r>
          <m:r>
            <m:t>g</m:t>
          </m:r>
          <m:r>
            <m:t>S</m:t>
          </m:r>
          <m:r>
            <m:t>U</m:t>
          </m:r>
          <m:f>
            <m:fPr>
              <m:type m:val="bar"/>
            </m:fPr>
            <m:num>
              <m:sSub>
                <m:e>
                  <m:r>
                    <m:t>R</m:t>
                  </m:r>
                </m:e>
                <m:sub>
                  <m:r>
                    <m:t>h</m:t>
                  </m:r>
                </m:sub>
              </m:sSub>
            </m:num>
            <m:den>
              <m:r>
                <m:t>H</m:t>
              </m:r>
            </m:den>
          </m:f>
        </m:oMath>
      </m:oMathPara>
    </w:p>
    <w:p>
      <w:pPr>
        <w:pStyle w:val="FirstParagraph"/>
      </w:pPr>
      <w:r>
        <w:t xml:space="preserve">Alternatively, we can derive another expression for</w:t>
      </w:r>
      <w:r>
        <w:t xml:space="preserve"> </w:t>
      </w:r>
      <w:r>
        <w:rPr>
          <w:i/>
        </w:rPr>
        <w:t xml:space="preserve">G</w:t>
      </w:r>
      <w:r>
        <w:t xml:space="preserve"> </w:t>
      </w:r>
      <w:r>
        <w:t xml:space="preserve">from equation S2. This is provided as equation S8 with the necessary algebra in equations S6-S7.</w:t>
      </w:r>
    </w:p>
    <w:p>
      <w:pPr>
        <w:pStyle w:val="BodyText"/>
      </w:pPr>
      <m:oMathPara>
        <m:oMathParaPr>
          <m:jc m:val="center"/>
        </m:oMathParaPr>
        <m:oMath>
          <m:r>
            <m:rPr>
              <m:sty m:val="b"/>
            </m:rPr>
            <m:t>(</m:t>
          </m:r>
          <m:r>
            <m:rPr>
              <m:sty m:val="b"/>
            </m:rPr>
            <m:t>S</m:t>
          </m:r>
          <m:r>
            <m:rPr>
              <m:sty m:val="b"/>
            </m:rPr>
            <m:t>6</m:t>
          </m:r>
          <m:r>
            <m:rPr>
              <m:sty m:val="b"/>
            </m:rPr>
            <m:t>)</m:t>
          </m:r>
          <m:nary>
            <m:naryPr>
              <m:chr m:val="∫"/>
              <m:limLoc m:val="subSup"/>
              <m:subHide m:val="0"/>
              <m:supHide m:val="0"/>
            </m:naryPr>
            <m:sub>
              <m:r>
                <m:t>0</m:t>
              </m:r>
            </m:sub>
            <m:sup>
              <m:r>
                <m:t>H</m:t>
              </m:r>
            </m:sup>
            <m:e>
              <m:r>
                <m:t>G</m:t>
              </m:r>
              <m:r>
                <m:t>d</m:t>
              </m:r>
              <m:r>
                <m:t>h</m:t>
              </m:r>
            </m:e>
          </m:nary>
          <m:r>
            <m:t>=</m:t>
          </m:r>
          <m:r>
            <m:t>U</m:t>
          </m:r>
          <m:sSubSup>
            <m:e>
              <m:r>
                <m:t>U</m:t>
              </m:r>
            </m:e>
            <m:sub>
              <m:r>
                <m:t>*</m:t>
              </m:r>
            </m:sub>
            <m:sup>
              <m:r>
                <m:t>2</m:t>
              </m:r>
            </m:sup>
          </m:sSubSup>
        </m:oMath>
      </m:oMathPara>
    </w:p>
    <w:p>
      <w:pPr>
        <w:pStyle w:val="FirstParagraph"/>
      </w:pPr>
      <m:oMathPara>
        <m:oMathParaPr>
          <m:jc m:val="center"/>
        </m:oMathParaPr>
        <m:oMath>
          <m:r>
            <m:rPr>
              <m:sty m:val="b"/>
            </m:rPr>
            <m:t>(</m:t>
          </m:r>
          <m:r>
            <m:rPr>
              <m:sty m:val="b"/>
            </m:rPr>
            <m:t>S</m:t>
          </m:r>
          <m:r>
            <m:rPr>
              <m:sty m:val="b"/>
            </m:rPr>
            <m:t>7</m:t>
          </m:r>
          <m:r>
            <m:rPr>
              <m:sty m:val="b"/>
            </m:rPr>
            <m:t>)</m:t>
          </m:r>
          <m:r>
            <m:t>G</m:t>
          </m:r>
          <m:r>
            <m:t>H</m:t>
          </m:r>
          <m:r>
            <m:t>=</m:t>
          </m:r>
          <m:r>
            <m:t>U</m:t>
          </m:r>
          <m:sSubSup>
            <m:e>
              <m:r>
                <m:t>U</m:t>
              </m:r>
            </m:e>
            <m:sub>
              <m:r>
                <m:t>*</m:t>
              </m:r>
            </m:sub>
            <m:sup>
              <m:r>
                <m:t>2</m:t>
              </m:r>
            </m:sup>
          </m:sSubSup>
        </m:oMath>
      </m:oMathPara>
    </w:p>
    <w:p>
      <w:pPr>
        <w:pStyle w:val="FirstParagraph"/>
      </w:pPr>
      <m:oMathPara>
        <m:oMathParaPr>
          <m:jc m:val="center"/>
        </m:oMathParaPr>
        <m:oMath>
          <m:r>
            <m:rPr>
              <m:sty m:val="b"/>
            </m:rPr>
            <m:t>(</m:t>
          </m:r>
          <m:r>
            <m:rPr>
              <m:sty m:val="b"/>
            </m:rPr>
            <m:t>S</m:t>
          </m:r>
          <m:r>
            <m:rPr>
              <m:sty m:val="b"/>
            </m:rPr>
            <m:t>8</m:t>
          </m:r>
          <m:r>
            <m:rPr>
              <m:sty m:val="b"/>
            </m:rPr>
            <m:t>)</m:t>
          </m:r>
          <m:r>
            <m:t>G</m:t>
          </m:r>
          <m:r>
            <m:t>=</m:t>
          </m:r>
          <m:f>
            <m:fPr>
              <m:type m:val="bar"/>
            </m:fPr>
            <m:num>
              <m:r>
                <m:t>U</m:t>
              </m:r>
              <m:sSubSup>
                <m:e>
                  <m:r>
                    <m:t>U</m:t>
                  </m:r>
                </m:e>
                <m:sub>
                  <m:r>
                    <m:t>*</m:t>
                  </m:r>
                </m:sub>
                <m:sup>
                  <m:r>
                    <m:t>2</m:t>
                  </m:r>
                </m:sup>
              </m:sSubSup>
            </m:num>
            <m:den>
              <m:r>
                <m:t>H</m:t>
              </m:r>
            </m:den>
          </m:f>
        </m:oMath>
      </m:oMathPara>
    </w:p>
    <w:p>
      <w:pPr>
        <w:pStyle w:val="Heading2"/>
      </w:pPr>
      <w:bookmarkStart w:id="24" w:name="text-s2-biker-hyperparameterization"/>
      <w:bookmarkEnd w:id="24"/>
      <w:r>
        <w:t xml:space="preserve">Text S2: BIKER hyperparameterization</w:t>
      </w:r>
    </w:p>
    <w:p>
      <w:pPr>
        <w:pStyle w:val="FirstParagraph"/>
      </w:pPr>
      <w:r>
        <w:t xml:space="preserve">We assign prior hyperparameters using SWOT data only. All priors are formalized within the model as truncated normal distributions of the log-transformed terms such that</w:t>
      </w:r>
      <w:r>
        <w:t xml:space="preserve"> </w:t>
      </w:r>
      <m:oMath>
        <m:r>
          <m:t>l</m:t>
        </m:r>
        <m:r>
          <m:t>o</m:t>
        </m:r>
        <m:r>
          <m:t>g</m:t>
        </m:r>
        <m:r>
          <m:t>(</m:t>
        </m:r>
        <m:r>
          <m:t>X</m:t>
        </m:r>
        <m:r>
          <m:t>)</m:t>
        </m:r>
        <m:r>
          <m:t>∼</m:t>
        </m:r>
        <m:r>
          <m:rPr>
            <m:sty m:val="p"/>
            <m:scr m:val="script"/>
          </m:rPr>
          <m:t>N</m:t>
        </m:r>
        <m:r>
          <m:t>(</m:t>
        </m:r>
        <m:r>
          <m:t>μ</m:t>
        </m:r>
        <m:r>
          <m:t>,</m:t>
        </m:r>
        <m:sSup>
          <m:e>
            <m:r>
              <m:t>σ</m:t>
            </m:r>
          </m:e>
          <m:sup>
            <m:r>
              <m:t>2</m:t>
            </m:r>
          </m:sup>
        </m:sSup>
        <m:r>
          <m:t>)</m:t>
        </m:r>
      </m:oMath>
      <w:r>
        <w:t xml:space="preserve"> </w:t>
      </w:r>
      <w:r>
        <w:t xml:space="preserve">for</w:t>
      </w:r>
      <w:r>
        <w:t xml:space="preserve"> </w:t>
      </w:r>
      <m:oMath>
        <m:r>
          <m:t>λ</m:t>
        </m:r>
        <m:r>
          <m:t>&lt;</m:t>
        </m:r>
        <m:r>
          <m:t>l</m:t>
        </m:r>
        <m:r>
          <m:t>o</m:t>
        </m:r>
        <m:r>
          <m:t>g</m:t>
        </m:r>
        <m:r>
          <m:t>(</m:t>
        </m:r>
        <m:r>
          <m:t>X</m:t>
        </m:r>
        <m:r>
          <m:t>)</m:t>
        </m:r>
        <m:r>
          <m:t>&lt;</m:t>
        </m:r>
        <m:r>
          <m:t>γ</m:t>
        </m:r>
      </m:oMath>
      <w:r>
        <w:t xml:space="preserve">, using prior hyperparameters mean (</w:t>
      </w:r>
      <m:oMath>
        <m:r>
          <m:t>μ</m:t>
        </m:r>
      </m:oMath>
      <w:r>
        <w:t xml:space="preserve">), standard deviation (</w:t>
      </w:r>
      <m:oMath>
        <m:r>
          <m:t>σ</m:t>
        </m:r>
      </m:oMath>
      <w:r>
        <w:t xml:space="preserve">), and upper (</w:t>
      </w:r>
      <m:oMath>
        <m:r>
          <m:t>γ</m:t>
        </m:r>
      </m:oMath>
      <w:r>
        <w:t xml:space="preserve">) and lower bounds (</w:t>
      </w:r>
      <m:oMath>
        <m:r>
          <m:t>λ</m:t>
        </m:r>
      </m:oMath>
      <w:r>
        <w:t xml:space="preserve">) for any parameter</w:t>
      </w:r>
      <w:r>
        <w:t xml:space="preserve"> </w:t>
      </w:r>
      <w:r>
        <w:rPr>
          <w:i/>
        </w:rPr>
        <w:t xml:space="preserve">X</w:t>
      </w:r>
      <w:r>
        <w:t xml:space="preserve">.</w:t>
      </w:r>
    </w:p>
    <w:p>
      <w:pPr>
        <w:pStyle w:val="BodyText"/>
      </w:pPr>
      <m:oMath>
        <m:sSub>
          <m:e>
            <m:r>
              <m:t>A</m:t>
            </m:r>
          </m:e>
          <m:sub>
            <m:r>
              <m:t>0</m:t>
            </m:r>
          </m:sub>
        </m:sSub>
      </m:oMath>
      <w:r>
        <w:t xml:space="preserve"> </w:t>
      </w:r>
      <w:r>
        <w:t xml:space="preserve">prior hyperparameters were assigned following an updated version of the method developed by</w:t>
      </w:r>
      <w:r>
        <w:t xml:space="preserve"> </w:t>
      </w:r>
      <w:r>
        <w:t xml:space="preserve">Brinkerhoff et al. (2020)</w:t>
      </w:r>
      <w:r>
        <w:t xml:space="preserve">. They developed a set of river channel prior hyperparameters for McFLI algorithms that are entirely RS-able and reflect differential channel hydraulics as a function of river geomorphology. They used an extensive database of field measurements and machine learning to identify patterns that associate river width with the hydraulic priors needed to run McFLIs so that prior hyperparameters may be assigned to rivers using only the existing remotely sensed data. For this study, we extracted</w:t>
      </w:r>
      <w:r>
        <w:t xml:space="preserve"> </w:t>
      </w:r>
      <m:oMath>
        <m:sSub>
          <m:e>
            <m:r>
              <m:t>λ</m:t>
            </m:r>
          </m:e>
          <m:sub>
            <m:sSub>
              <m:e>
                <m:r>
                  <m:t>A</m:t>
                </m:r>
              </m:e>
              <m:sub>
                <m:r>
                  <m:t>0</m:t>
                </m:r>
              </m:sub>
            </m:sSub>
          </m:sub>
        </m:sSub>
      </m:oMath>
      <w:r>
        <w:t xml:space="preserve"> </w:t>
      </w:r>
      <w:r>
        <w:t xml:space="preserve">and</w:t>
      </w:r>
      <w:r>
        <w:t xml:space="preserve"> </w:t>
      </w:r>
      <m:oMath>
        <m:sSub>
          <m:e>
            <m:r>
              <m:t>γ</m:t>
            </m:r>
          </m:e>
          <m:sub>
            <m:sSub>
              <m:e>
                <m:r>
                  <m:t>A</m:t>
                </m:r>
              </m:e>
              <m:sub>
                <m:r>
                  <m:t>0</m:t>
                </m:r>
              </m:sub>
            </m:sSub>
          </m:sub>
        </m:sSub>
      </m:oMath>
      <w:r>
        <w:t xml:space="preserve"> </w:t>
      </w:r>
      <w:r>
        <w:t xml:space="preserve">as the</w:t>
      </w:r>
      <w:r>
        <w:t xml:space="preserve"> </w:t>
      </w:r>
      <w:r>
        <w:rPr>
          <w:b/>
        </w:rPr>
        <w:t xml:space="preserve">Xth</w:t>
      </w:r>
      <w:r>
        <w:t xml:space="preserve"> </w:t>
      </w:r>
      <w:r>
        <w:t xml:space="preserve">percentile values rather than the absolute maximum and minimum values to avoid physically impossible bounds on</w:t>
      </w:r>
      <w:r>
        <w:t xml:space="preserve"> </w:t>
      </w:r>
      <m:oMath>
        <m:sSub>
          <m:e>
            <m:r>
              <m:t>A</m:t>
            </m:r>
          </m:e>
          <m:sub>
            <m:r>
              <m:t>0</m:t>
            </m:r>
          </m:sub>
        </m:sSub>
      </m:oMath>
      <w:r>
        <w:t xml:space="preserve">.</w:t>
      </w:r>
    </w:p>
    <w:p>
      <w:pPr>
        <w:pStyle w:val="BodyText"/>
      </w:pPr>
      <w:r>
        <w:t xml:space="preserve">This leaves the</w:t>
      </w:r>
      <w:r>
        <w:t xml:space="preserve"> </w:t>
      </w:r>
      <m:oMath>
        <m:sSub>
          <m:e>
            <m:r>
              <m:t>k</m:t>
            </m:r>
          </m:e>
          <m:sub>
            <m:r>
              <m:t>600</m:t>
            </m:r>
          </m:sub>
        </m:sSub>
      </m:oMath>
      <w:r>
        <w:t xml:space="preserve"> </w:t>
      </w:r>
      <w:r>
        <w:t xml:space="preserve">hyperparameters to be defined. We assigned those by using a simple slope regression model to predict</w:t>
      </w:r>
      <w:r>
        <w:t xml:space="preserve"> </w:t>
      </w:r>
      <m:oMath>
        <m:sSub>
          <m:e>
            <m:r>
              <m:t>U</m:t>
            </m:r>
          </m:e>
          <m:sub>
            <m:r>
              <m:t>*</m:t>
            </m:r>
          </m:sub>
        </m:sSub>
      </m:oMath>
      <w:r>
        <w:t xml:space="preserve"> </w:t>
      </w:r>
      <w:r>
        <w:t xml:space="preserve">solely from a SWOT-observable value. It was trained on the</w:t>
      </w:r>
      <w:r>
        <w:t xml:space="preserve"> </w:t>
      </w:r>
      <w:r>
        <w:t xml:space="preserve">Ulseth et al. (2019)</w:t>
      </w:r>
      <w:r>
        <w:t xml:space="preserve"> </w:t>
      </w:r>
      <w:r>
        <w:t xml:space="preserve">dataset. Equation S9 assigns</w:t>
      </w:r>
      <w:r>
        <w:t xml:space="preserve"> </w:t>
      </w:r>
      <m:oMath>
        <m:sSub>
          <m:e>
            <m:r>
              <m:t>μ</m:t>
            </m:r>
          </m:e>
          <m:sub>
            <m:sSub>
              <m:e>
                <m:r>
                  <m:t>k</m:t>
                </m:r>
              </m:e>
              <m:sub>
                <m:r>
                  <m:t>600</m:t>
                </m:r>
              </m:sub>
            </m:sSub>
          </m:sub>
        </m:sSub>
      </m:oMath>
      <w:r>
        <w:t xml:space="preserve"> </w:t>
      </w:r>
      <w:r>
        <w:t xml:space="preserve">while</w:t>
      </w:r>
      <w:r>
        <w:t xml:space="preserve"> </w:t>
      </w:r>
      <m:oMath>
        <m:sSubSup>
          <m:e>
            <m:r>
              <m:t>σ</m:t>
            </m:r>
          </m:e>
          <m:sub>
            <m:sSub>
              <m:e>
                <m:r>
                  <m:t>k</m:t>
                </m:r>
              </m:e>
              <m:sub>
                <m:r>
                  <m:t>600</m:t>
                </m:r>
              </m:sub>
            </m:sSub>
          </m:sub>
          <m:sup>
            <m:r>
              <m:t>2</m:t>
            </m:r>
          </m:sup>
        </m:sSubSup>
      </m:oMath>
      <w:r>
        <w:t xml:space="preserve"> </w:t>
      </w:r>
      <w:r>
        <w:t xml:space="preserve">was set to equation S9's log-transformed standard error after propogation of errors for both equation S9 and equation 6 in the main text. This amounted to a value of 1.12.</w:t>
      </w:r>
      <w:r>
        <w:t xml:space="preserve"> </w:t>
      </w:r>
      <m:oMath>
        <m:sSub>
          <m:e>
            <m:r>
              <m:t>λ</m:t>
            </m:r>
          </m:e>
          <m:sub>
            <m:sSub>
              <m:e>
                <m:r>
                  <m:t>k</m:t>
                </m:r>
              </m:e>
              <m:sub>
                <m:r>
                  <m:t>600</m:t>
                </m:r>
              </m:sub>
            </m:sSub>
          </m:sub>
        </m:sSub>
      </m:oMath>
      <w:r>
        <w:t xml:space="preserve"> </w:t>
      </w:r>
      <w:r>
        <w:t xml:space="preserve">and</w:t>
      </w:r>
      <w:r>
        <w:t xml:space="preserve"> </w:t>
      </w:r>
      <w:r>
        <w:t xml:space="preserve">$\gamma_{k_600}}$</w:t>
      </w:r>
      <w:r>
        <w:t xml:space="preserve"> </w:t>
      </w:r>
      <w:r>
        <w:t xml:space="preserve">were set to log(0.001) m/day and log(500) m/day, respectively. Finally, we estimate</w:t>
      </w:r>
      <w:r>
        <w:t xml:space="preserve"> </w:t>
      </w:r>
      <m:oMath>
        <m:sSub>
          <m:e>
            <m:r>
              <m:t>σ</m:t>
            </m:r>
          </m:e>
          <m:sub>
            <m:sSub>
              <m:e>
                <m:r>
                  <m:t>k</m:t>
                </m:r>
              </m:e>
              <m:sub>
                <m:r>
                  <m:t>600</m:t>
                </m:r>
              </m:sub>
            </m:sSub>
          </m:sub>
        </m:sSub>
      </m:oMath>
      <w:r>
        <w:t xml:space="preserve"> </w:t>
      </w:r>
      <w:r>
        <w:t xml:space="preserve">using the standard model error from equation 6 in the main text and as fit on the data shown in Figure 3a.</w:t>
      </w:r>
    </w:p>
    <w:p>
      <w:pPr>
        <w:pStyle w:val="BodyText"/>
      </w:pPr>
      <m:oMathPara>
        <m:oMathParaPr>
          <m:jc m:val="center"/>
        </m:oMathParaPr>
        <m:oMath>
          <m:r>
            <m:rPr>
              <m:sty m:val="b"/>
            </m:rPr>
            <m:t>(</m:t>
          </m:r>
          <m:r>
            <m:rPr>
              <m:sty m:val="b"/>
            </m:rPr>
            <m:t>S</m:t>
          </m:r>
          <m:r>
            <m:rPr>
              <m:sty m:val="b"/>
            </m:rPr>
            <m:t>9</m:t>
          </m:r>
          <m:r>
            <m:rPr>
              <m:sty m:val="b"/>
            </m:rPr>
            <m:t>)</m:t>
          </m:r>
          <m:sSub>
            <m:e>
              <m:r>
                <m:t>μ</m:t>
              </m:r>
            </m:e>
            <m:sub>
              <m:sSub>
                <m:e>
                  <m:r>
                    <m:t>k</m:t>
                  </m:r>
                </m:e>
                <m:sub>
                  <m:r>
                    <m:t>600</m:t>
                  </m:r>
                </m:sub>
              </m:sSub>
            </m:sub>
          </m:sSub>
          <m:r>
            <m:t>=</m:t>
          </m:r>
          <m:r>
            <m:t>56.0294</m:t>
          </m:r>
          <m:r>
            <m:t>*</m:t>
          </m:r>
          <m:r>
            <m:t>a</m:t>
          </m:r>
          <m:r>
            <m:t>(</m:t>
          </m:r>
          <m:r>
            <m:t>l</m:t>
          </m:r>
          <m:r>
            <m:t>n</m:t>
          </m:r>
          <m:r>
            <m:t>(</m:t>
          </m:r>
          <m:sSub>
            <m:e>
              <m:r>
                <m:t>S</m:t>
              </m:r>
            </m:e>
            <m:sub>
              <m:r>
                <m:t>h</m:t>
              </m:r>
            </m:sub>
          </m:sSub>
          <m:r>
            <m:t>)</m:t>
          </m:r>
          <m:sSup>
            <m:e>
              <m:r>
                <m:t>)</m:t>
              </m:r>
            </m:e>
            <m:sup>
              <m:r>
                <m:t>b</m:t>
              </m:r>
            </m:sup>
          </m:sSup>
        </m:oMath>
      </m:oMathPara>
    </w:p>
    <w:p>
      <w:pPr>
        <w:pStyle w:val="Heading2"/>
      </w:pPr>
      <w:bookmarkStart w:id="25" w:name="text-s3-biker-validation-setup"/>
      <w:bookmarkEnd w:id="25"/>
      <w:r>
        <w:t xml:space="preserve">Text S3: BIKER validation setup</w:t>
      </w:r>
    </w:p>
    <w:p>
      <w:pPr>
        <w:pStyle w:val="FirstParagraph"/>
      </w:pPr>
      <w:r>
        <w:t xml:space="preserve">Regardless of the validation setup or SWOT error budget used, we do not have observed</w:t>
      </w:r>
      <w:r>
        <w:t xml:space="preserve"> </w:t>
      </w:r>
      <m:oMath>
        <m:sSub>
          <m:e>
            <m:r>
              <m:t>k</m:t>
            </m:r>
          </m:e>
          <m:sub>
            <m:r>
              <m:t>600</m:t>
            </m:r>
          </m:sub>
        </m:sSub>
      </m:oMath>
      <w:r>
        <w:t xml:space="preserve"> </w:t>
      </w:r>
      <w:r>
        <w:t xml:space="preserve">data for these rivers, and to our knowledge no field dataset of</w:t>
      </w:r>
      <w:r>
        <w:t xml:space="preserve"> </w:t>
      </w:r>
      <m:oMath>
        <m:sSub>
          <m:e>
            <m:r>
              <m:t>k</m:t>
            </m:r>
          </m:e>
          <m:sub>
            <m:r>
              <m:t>600</m:t>
            </m:r>
          </m:sub>
        </m:sSub>
      </m:oMath>
      <w:r>
        <w:t xml:space="preserve"> </w:t>
      </w:r>
      <w:r>
        <w:t xml:space="preserve">exists in the type of temporal and spatial frequency that SWOT (and therefore the BIKER algorithm) provides. Therefore, we take the model outlined in row 1 of Table 1 in the main text and use that to calculate the observed</w:t>
      </w:r>
      <w:r>
        <w:t xml:space="preserve"> </w:t>
      </w:r>
      <m:oMath>
        <m:sSub>
          <m:e>
            <m:r>
              <m:t>k</m:t>
            </m:r>
          </m:e>
          <m:sub>
            <m:r>
              <m:t>600</m:t>
            </m:r>
          </m:sub>
        </m:sSub>
      </m:oMath>
      <w:r>
        <w:t xml:space="preserve">, that BIKER is validated against (equation S10).</w:t>
      </w:r>
    </w:p>
    <w:p>
      <w:pPr>
        <w:pStyle w:val="BodyText"/>
      </w:pPr>
      <m:oMathPara>
        <m:oMathParaPr>
          <m:jc m:val="center"/>
        </m:oMathParaPr>
        <m:oMath>
          <m:r>
            <m:rPr>
              <m:sty m:val="b"/>
            </m:rPr>
            <m:t>(</m:t>
          </m:r>
          <m:r>
            <m:rPr>
              <m:sty m:val="b"/>
            </m:rPr>
            <m:t>S</m:t>
          </m:r>
          <m:r>
            <m:rPr>
              <m:sty m:val="b"/>
            </m:rPr>
            <m:t>10</m:t>
          </m:r>
          <m:r>
            <m:rPr>
              <m:sty m:val="b"/>
            </m:rPr>
            <m:t>)</m:t>
          </m:r>
          <m:sSub>
            <m:e>
              <m:r>
                <m:t>k</m:t>
              </m:r>
            </m:e>
            <m:sub>
              <m:r>
                <m:t>600</m:t>
              </m:r>
              <m:r>
                <m:t>,</m:t>
              </m:r>
              <m:r>
                <m:t>o</m:t>
              </m:r>
              <m:r>
                <m:t>b</m:t>
              </m:r>
              <m:r>
                <m:t>s</m:t>
              </m:r>
            </m:sub>
          </m:sSub>
          <m:r>
            <m:t>=</m:t>
          </m:r>
          <m:r>
            <m:t>56.0294</m:t>
          </m:r>
          <m:rad>
            <m:radPr>
              <m:degHide m:val="1"/>
            </m:radPr>
            <m:deg/>
            <m:e>
              <m:r>
                <m:t>g</m:t>
              </m:r>
              <m:sSub>
                <m:e>
                  <m:r>
                    <m:t>S</m:t>
                  </m:r>
                </m:e>
                <m:sub>
                  <m:r>
                    <m:t>h</m:t>
                  </m:r>
                </m:sub>
              </m:sSub>
              <m:sSub>
                <m:e>
                  <m:r>
                    <m:t>R</m:t>
                  </m:r>
                </m:e>
                <m:sub>
                  <m:r>
                    <m:t>h</m:t>
                  </m:r>
                  <m:r>
                    <m:t>,</m:t>
                  </m:r>
                  <m:r>
                    <m:t>o</m:t>
                  </m:r>
                  <m:r>
                    <m:t>b</m:t>
                  </m:r>
                  <m:r>
                    <m:t>s</m:t>
                  </m:r>
                </m:sub>
              </m:sSub>
            </m:e>
          </m:rad>
        </m:oMath>
      </m:oMathPara>
    </w:p>
    <w:p>
      <w:pPr>
        <w:pStyle w:val="FirstParagraph"/>
      </w:pPr>
      <w:r>
        <w:t xml:space="preserve">It also means that, for a fair validation scheme,</w:t>
      </w:r>
      <w:r>
        <w:t xml:space="preserve"> </w:t>
      </w:r>
      <m:oMath>
        <m:sSubSup>
          <m:e>
            <m:r>
              <m:t>σ</m:t>
            </m:r>
          </m:e>
          <m:sub>
            <m:sSub>
              <m:e>
                <m:r>
                  <m:t>k</m:t>
                </m:r>
              </m:e>
              <m:sub>
                <m:r>
                  <m:t>600</m:t>
                </m:r>
              </m:sub>
            </m:sSub>
          </m:sub>
          <m:sup>
            <m:r>
              <m:t>2</m:t>
            </m:r>
          </m:sup>
        </m:sSubSup>
      </m:oMath>
      <w:r>
        <w:t xml:space="preserve"> </w:t>
      </w:r>
      <w:r>
        <w:t xml:space="preserve">in equation 7 in the main text must be set to reflect only error from our assumptions about calculating</w:t>
      </w:r>
      <w:r>
        <w:t xml:space="preserve"> </w:t>
      </w:r>
      <w:r>
        <w:rPr>
          <w:i/>
        </w:rPr>
        <w:t xml:space="preserve">dA</w:t>
      </w:r>
      <w:r>
        <w:t xml:space="preserve"> </w:t>
      </w:r>
      <w:r>
        <w:t xml:space="preserve">and not the parameter uncertainity inherent in the model coefficient (i.e. the 56.0294 in equation 6 in the main text). Because this model is only theoretically valid when</w:t>
      </w:r>
      <w:r>
        <w:t xml:space="preserve"> </w:t>
      </w:r>
      <m:oMath>
        <m:sSub>
          <m:e>
            <m:r>
              <m:t>R</m:t>
            </m:r>
          </m:e>
          <m:sub>
            <m:r>
              <m:t>h</m:t>
            </m:r>
          </m:sub>
        </m:sSub>
        <m:r>
          <m:t>=</m:t>
        </m:r>
        <m:r>
          <m:t>H</m:t>
        </m:r>
      </m:oMath>
      <w:r>
        <w:t xml:space="preserve">, we convientantly do not need to account for uncertanties associated with assuming that</w:t>
      </w:r>
      <w:r>
        <w:t xml:space="preserve"> </w:t>
      </w:r>
      <m:oMath>
        <m:sSub>
          <m:e>
            <m:r>
              <m:t>R</m:t>
            </m:r>
          </m:e>
          <m:sub>
            <m:r>
              <m:t>h</m:t>
            </m:r>
          </m:sub>
        </m:sSub>
        <m:r>
          <m:t>=</m:t>
        </m:r>
        <m:r>
          <m:t>H</m:t>
        </m:r>
      </m:oMath>
      <w:r>
        <w:t xml:space="preserve">. So for this validation,</w:t>
      </w:r>
      <w:r>
        <w:t xml:space="preserve"> </w:t>
      </w:r>
      <m:oMath>
        <m:sSubSup>
          <m:e>
            <m:r>
              <m:t>σ</m:t>
            </m:r>
          </m:e>
          <m:sub>
            <m:sSub>
              <m:e>
                <m:r>
                  <m:t>k</m:t>
                </m:r>
              </m:e>
              <m:sub>
                <m:r>
                  <m:t>600</m:t>
                </m:r>
              </m:sub>
            </m:sSub>
          </m:sub>
          <m:sup>
            <m:r>
              <m:t>2</m:t>
            </m:r>
          </m:sup>
        </m:sSubSup>
      </m:oMath>
      <w:r>
        <w:t xml:space="preserve"> </w:t>
      </w:r>
      <w:r>
        <w:t xml:space="preserve">is set to 0.20 (natural-log space) to reflect a small degree of uncertainity that could arise from assuming a rectangular river channel. However once SWOT launches, it should reflect the total uncertainty described in Text S3 (1.12).</w:t>
      </w:r>
    </w:p>
    <w:p>
      <w:pPr>
        <w:pStyle w:val="BodyText"/>
      </w:pPr>
      <w:r>
        <w:t xml:space="preserve">Validation is performed using the BIKER posterior means. Validation metrics take two forms (and are detailed in Table S1). To validate across all rivers and timesteps, we used the coefficient of determination</w:t>
      </w:r>
      <w:r>
        <w:t xml:space="preserve"> </w:t>
      </w:r>
      <m:oMath>
        <m:sSup>
          <m:e>
            <m:r>
              <m:t>r</m:t>
            </m:r>
          </m:e>
          <m:sup>
            <m:r>
              <m:t>2</m:t>
            </m:r>
          </m:sup>
        </m:sSup>
      </m:oMath>
      <w:r>
        <w:t xml:space="preserve"> </w:t>
      </w:r>
      <w:r>
        <w:t xml:space="preserve">and the root mean square error RMSE. Four normalized metrics were used for by-river validation: RRMSE and NRMSE are normalized root mean square errors that have been normalized by the observed value and the mean observed value (respectively). rBIAS is a measure of prediction bias that is normalized by the mean observed value. r2 is again used on the by-river case too.</w:t>
      </w:r>
    </w:p>
    <w:p>
      <w:pPr>
        <w:pStyle w:val="Heading2"/>
      </w:pPr>
      <w:bookmarkStart w:id="26" w:name="text-s4-biker-fco2-workflow"/>
      <w:bookmarkEnd w:id="26"/>
      <w:r>
        <w:t xml:space="preserve">Text S4: BIKER FCO2 workflow</w:t>
      </w:r>
    </w:p>
    <w:p>
      <w:pPr>
        <w:pStyle w:val="FirstParagraph"/>
      </w:pPr>
      <w:r>
        <w:t xml:space="preserve">To calculate</w:t>
      </w:r>
      <w:r>
        <w:t xml:space="preserve"> </w:t>
      </w:r>
      <m:oMath>
        <m:r>
          <m:t>C</m:t>
        </m:r>
        <m:sSub>
          <m:e>
            <m:r>
              <m:t>O</m:t>
            </m:r>
          </m:e>
          <m:sub>
            <m:r>
              <m:t>2</m:t>
            </m:r>
          </m:sub>
        </m:sSub>
      </m:oMath>
      <w:r>
        <w:t xml:space="preserve"> </w:t>
      </w:r>
      <w:r>
        <w:t xml:space="preserve">fluxes and carbon efflux, we pair</w:t>
      </w:r>
      <w:r>
        <w:t xml:space="preserve"> </w:t>
      </w:r>
      <w:r>
        <w:t xml:space="preserve">Beaulieu et al. (2012)</w:t>
      </w:r>
      <w:r>
        <w:t xml:space="preserve">'s biweekly 26</w:t>
      </w:r>
      <w:r>
        <w:t xml:space="preserve"> </w:t>
      </w:r>
      <m:oMath>
        <m:r>
          <m:t>C</m:t>
        </m:r>
        <m:sSub>
          <m:e>
            <m:r>
              <m:t>O</m:t>
            </m:r>
          </m:e>
          <m:sub>
            <m:r>
              <m:t>2</m:t>
            </m:r>
          </m:sub>
        </m:sSub>
      </m:oMath>
      <w:r>
        <w:t xml:space="preserve"> </w:t>
      </w:r>
      <w:r>
        <w:t xml:space="preserve">and water temperature samples with every 11th SWOT observation by date, ignoring the timesteps beyond 26. This amounts to only ~15% of the SWOT observations and we deem this acceptable. We sample every 11 days as this is the average sampling resolution for SWOT and the</w:t>
      </w:r>
      <w:r>
        <w:t xml:space="preserve"> </w:t>
      </w:r>
      <m:oMath>
        <m:r>
          <m:t>C</m:t>
        </m:r>
        <m:sSub>
          <m:e>
            <m:r>
              <m:t>O</m:t>
            </m:r>
          </m:e>
          <m:sub>
            <m:r>
              <m:t>2</m:t>
            </m:r>
          </m:sub>
        </m:sSub>
      </m:oMath>
      <w:r>
        <w:t xml:space="preserve"> </w:t>
      </w:r>
      <w:r>
        <w:t xml:space="preserve">and water temperature data are approximately the same at a 14 day resolution. Not all of the SWOT rivers have observations for a full year, and when simulation dates are not available they are assumed to start on January 1st. We then pair the modeled</w:t>
      </w:r>
      <w:r>
        <w:t xml:space="preserve"> </w:t>
      </w:r>
      <m:oMath>
        <m:sSub>
          <m:e>
            <m:r>
              <m:t>k</m:t>
            </m:r>
          </m:e>
          <m:sub>
            <m:r>
              <m:t>C</m:t>
            </m:r>
            <m:sSub>
              <m:e>
                <m:r>
                  <m:t>O</m:t>
                </m:r>
              </m:e>
              <m:sub>
                <m:r>
                  <m:t>2</m:t>
                </m:r>
              </m:sub>
            </m:sSub>
          </m:sub>
        </m:sSub>
      </m:oMath>
      <w:r>
        <w:t xml:space="preserve"> </w:t>
      </w:r>
      <w:r>
        <w:t xml:space="preserve">values (obtained from</w:t>
      </w:r>
      <w:r>
        <w:t xml:space="preserve"> </w:t>
      </w:r>
      <m:oMath>
        <m:sSub>
          <m:e>
            <m:r>
              <m:t>k</m:t>
            </m:r>
          </m:e>
          <m:sub>
            <m:r>
              <m:t>600</m:t>
            </m:r>
          </m:sub>
        </m:sSub>
      </m:oMath>
      <w:r>
        <w:t xml:space="preserve"> </w:t>
      </w:r>
      <w:r>
        <w:t xml:space="preserve">and equation S11) with these water-side</w:t>
      </w:r>
      <w:r>
        <w:t xml:space="preserve"> </w:t>
      </w:r>
      <m:oMath>
        <m:r>
          <m:t>C</m:t>
        </m:r>
        <m:sSub>
          <m:e>
            <m:r>
              <m:t>O</m:t>
            </m:r>
          </m:e>
          <m:sub>
            <m:r>
              <m:t>2</m:t>
            </m:r>
          </m:sub>
        </m:sSub>
      </m:oMath>
      <w:r>
        <w:t xml:space="preserve"> </w:t>
      </w:r>
      <w:r>
        <w:t xml:space="preserve">concentrations and water temperatures. In equation S11,</w:t>
      </w:r>
      <w:r>
        <w:t xml:space="preserve"> </w:t>
      </w:r>
      <w:r>
        <w:rPr>
          <w:i/>
        </w:rPr>
        <w:t xml:space="preserve">Sc</w:t>
      </w:r>
      <w:r>
        <w:t xml:space="preserve"> </w:t>
      </w:r>
      <w:r>
        <w:t xml:space="preserve">is the Schmidt number at the observed water temperature. This was calculated following</w:t>
      </w:r>
      <w:r>
        <w:t xml:space="preserve"> </w:t>
      </w:r>
      <w:r>
        <w:t xml:space="preserve">Raymond et al. (2012)</w:t>
      </w:r>
      <w:r>
        <w:t xml:space="preserve"> </w:t>
      </w:r>
      <w:r>
        <w:t xml:space="preserve">and</w:t>
      </w:r>
      <w:r>
        <w:t xml:space="preserve"> </w:t>
      </w:r>
      <w:r>
        <w:t xml:space="preserve">Wanninkhof (1992)</w:t>
      </w:r>
      <w:r>
        <w:t xml:space="preserve">. Atmospheric</w:t>
      </w:r>
      <w:r>
        <w:t xml:space="preserve"> </w:t>
      </w:r>
      <m:oMath>
        <m:r>
          <m:t>C</m:t>
        </m:r>
        <m:sSub>
          <m:e>
            <m:r>
              <m:t>O</m:t>
            </m:r>
          </m:e>
          <m:sub>
            <m:r>
              <m:t>2</m:t>
            </m:r>
          </m:sub>
        </m:sSub>
      </m:oMath>
      <w:r>
        <w:t xml:space="preserve"> </w:t>
      </w:r>
      <w:r>
        <w:t xml:space="preserve">was assumed 390 uatm.</w:t>
      </w:r>
      <w:r>
        <w:t xml:space="preserve"> </w:t>
      </w:r>
      <m:oMath>
        <m:r>
          <m:t>F</m:t>
        </m:r>
        <m:r>
          <m:t>C</m:t>
        </m:r>
        <m:sSub>
          <m:e>
            <m:r>
              <m:t>O</m:t>
            </m:r>
          </m:e>
          <m:sub>
            <m:r>
              <m:t>2</m:t>
            </m:r>
          </m:sub>
        </m:sSub>
      </m:oMath>
      <w:r>
        <w:t xml:space="preserve"> </w:t>
      </w:r>
      <w:r>
        <w:t xml:space="preserve">validation was performed using the same metrics as</w:t>
      </w:r>
      <w:r>
        <w:t xml:space="preserve"> </w:t>
      </w:r>
      <m:oMath>
        <m:sSub>
          <m:e>
            <m:r>
              <m:t>k</m:t>
            </m:r>
          </m:e>
          <m:sub>
            <m:r>
              <m:t>600</m:t>
            </m:r>
          </m:sub>
        </m:sSub>
      </m:oMath>
      <w:r>
        <w:t xml:space="preserve"> </w:t>
      </w:r>
      <w:r>
        <w:t xml:space="preserve">validation (Table 1).</w:t>
      </w:r>
    </w:p>
    <w:p>
      <w:pPr>
        <w:pStyle w:val="BodyText"/>
      </w:pPr>
      <m:oMathPara>
        <m:oMathParaPr>
          <m:jc m:val="center"/>
        </m:oMathParaPr>
        <m:oMath>
          <m:r>
            <m:rPr>
              <m:sty m:val="b"/>
            </m:rPr>
            <m:t>(</m:t>
          </m:r>
          <m:r>
            <m:rPr>
              <m:sty m:val="b"/>
            </m:rPr>
            <m:t>S</m:t>
          </m:r>
          <m:r>
            <m:rPr>
              <m:sty m:val="b"/>
            </m:rPr>
            <m:t>11</m:t>
          </m:r>
          <m:r>
            <m:rPr>
              <m:sty m:val="b"/>
            </m:rPr>
            <m:t>)</m:t>
          </m:r>
          <m:sSub>
            <m:e>
              <m:r>
                <m:t>k</m:t>
              </m:r>
            </m:e>
            <m:sub>
              <m:r>
                <m:t>C</m:t>
              </m:r>
              <m:r>
                <m:t>O</m:t>
              </m:r>
              <m:r>
                <m:t>2</m:t>
              </m:r>
              <m:r>
                <m:t>,</m:t>
              </m:r>
              <m:r>
                <m:t>t</m:t>
              </m:r>
              <m:r>
                <m:t>e</m:t>
              </m:r>
              <m:r>
                <m:t>m</m:t>
              </m:r>
              <m:r>
                <m:t>p</m:t>
              </m:r>
            </m:sub>
          </m:sSub>
          <m:r>
            <m:t>=</m:t>
          </m:r>
          <m:sSub>
            <m:e>
              <m:r>
                <m:t>k</m:t>
              </m:r>
            </m:e>
            <m:sub>
              <m:r>
                <m:t>600</m:t>
              </m:r>
            </m:sub>
          </m:sSub>
          <m:r>
            <m:t>*</m:t>
          </m:r>
          <m:r>
            <m:t>(</m:t>
          </m:r>
          <m:r>
            <m:t>S</m:t>
          </m:r>
          <m:r>
            <m:t>c</m:t>
          </m:r>
          <m:r>
            <m:t>/</m:t>
          </m:r>
          <m:r>
            <m:t>600</m:t>
          </m:r>
          <m:sSup>
            <m:e>
              <m:r>
                <m:t>)</m:t>
              </m:r>
            </m:e>
            <m:sup>
              <m:r>
                <m:t>−</m:t>
              </m:r>
              <m:r>
                <m:t>1</m:t>
              </m:r>
              <m:r>
                <m:t>/</m:t>
              </m:r>
              <m:r>
                <m:t>2</m:t>
              </m:r>
            </m:sup>
          </m:sSup>
        </m:oMath>
      </m:oMathPara>
    </w:p>
    <w:p>
      <w:pPr>
        <w:pStyle w:val="FirstParagraph"/>
      </w:pPr>
      <w:r>
        <w:t xml:space="preserve">To calculate the bulk carbon efflux, we multiply the median</w:t>
      </w:r>
      <w:r>
        <w:t xml:space="preserve"> </w:t>
      </w:r>
      <m:oMath>
        <m:r>
          <m:t>F</m:t>
        </m:r>
        <m:r>
          <m:t>C</m:t>
        </m:r>
        <m:sSub>
          <m:e>
            <m:r>
              <m:t>O</m:t>
            </m:r>
          </m:e>
          <m:sub>
            <m:r>
              <m:t>2</m:t>
            </m:r>
          </m:sub>
        </m:sSub>
      </m:oMath>
      <w:r>
        <w:t xml:space="preserve"> </w:t>
      </w:r>
      <w:r>
        <w:t xml:space="preserve">value across all rivers and timesteps (in Tg-C/yr) by the total average surface area of all 47 rivers.</w:t>
      </w:r>
    </w:p>
    <w:p>
      <w:pPr>
        <w:pStyle w:val="Heading2"/>
      </w:pPr>
      <w:bookmarkStart w:id="27" w:name="figures"/>
      <w:bookmarkEnd w:id="27"/>
      <w:r>
        <w:t xml:space="preserve">Figures</w:t>
      </w:r>
    </w:p>
    <w:p>
      <w:pPr>
        <w:pStyle w:val="FigureWithCaption"/>
      </w:pPr>
      <w:r>
        <w:drawing>
          <wp:inline>
            <wp:extent cx="5943600" cy="7744475"/>
            <wp:effectExtent b="0" l="0" r="0" t="0"/>
            <wp:docPr descr="Figure S1: Flowchart of the entire study's workflow" title="" id="1" name="Picture"/>
            <a:graphic>
              <a:graphicData uri="http://schemas.openxmlformats.org/drawingml/2006/picture">
                <pic:pic>
                  <pic:nvPicPr>
                    <pic:cNvPr descr="cache/flowchart.jpg" id="0" name="Picture"/>
                    <pic:cNvPicPr>
                      <a:picLocks noChangeArrowheads="1" noChangeAspect="1"/>
                    </pic:cNvPicPr>
                  </pic:nvPicPr>
                  <pic:blipFill>
                    <a:blip r:embed="rId28"/>
                    <a:stretch>
                      <a:fillRect/>
                    </a:stretch>
                  </pic:blipFill>
                  <pic:spPr bwMode="auto">
                    <a:xfrm>
                      <a:off x="0" y="0"/>
                      <a:ext cx="5943600" cy="7744475"/>
                    </a:xfrm>
                    <a:prstGeom prst="rect">
                      <a:avLst/>
                    </a:prstGeom>
                    <a:noFill/>
                    <a:ln w="9525">
                      <a:noFill/>
                      <a:headEnd/>
                      <a:tailEnd/>
                    </a:ln>
                  </pic:spPr>
                </pic:pic>
              </a:graphicData>
            </a:graphic>
          </wp:inline>
        </w:drawing>
      </w:r>
    </w:p>
    <w:p>
      <w:pPr>
        <w:pStyle w:val="ImageCaption"/>
      </w:pPr>
      <w:r>
        <w:t xml:space="preserve">Figure S1: Flowchart of the entire study's workflow</w:t>
      </w:r>
    </w:p>
    <w:p>
      <w:pPr>
        <w:pStyle w:val="FigureWithCaption"/>
      </w:pPr>
      <w:r>
        <w:drawing>
          <wp:inline>
            <wp:extent cx="5943600" cy="2377440"/>
            <wp:effectExtent b="0" l="0" r="0" t="0"/>
            <wp:docPr descr="Figure S2 Timeseries of the biweekly CO2 data from Beaulieu et al. (2012). Sampling took place 2008-2009 in the Ohio River (upstream of Cincinnati, Ohio, United States). Each point here was joined to the 11-day SWOT observations used in this study (section 2.4)."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9"/>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S2 Timeseries of the biweekly CO2 data from</w:t>
      </w:r>
      <w:r>
        <w:t xml:space="preserve"> </w:t>
      </w:r>
      <w:r>
        <w:t xml:space="preserve">Beaulieu et al. (2012)</w:t>
      </w:r>
      <w:r>
        <w:t xml:space="preserve">. Sampling took place 2008-2009 in the Ohio River (upstream of Cincinnati, Ohio, United States). Each point here was joined to the 11-day SWOT observations used in this study (section 2.4).</w:t>
      </w:r>
    </w:p>
    <w:p>
      <w:pPr>
        <w:pStyle w:val="FigureWithCaption"/>
      </w:pPr>
      <w:r>
        <w:drawing>
          <wp:inline>
            <wp:extent cx="5943600" cy="4322618"/>
            <wp:effectExtent b="0" l="0" r="0" t="0"/>
            <wp:docPr descr="Figure S3 Cummulative density functions (CDFs) of river width measurements, as binned by their dataset and and whether or not they meet the 'large river' condition (Rh=H). The dashed black line indicates the minimum river width that the SWOT satellite will observe (100m). This brief analysis indicates that the vast majority of SWOT-observable rivers should meet the 'large river' condition." title="" id="1" name="Picture"/>
            <a:graphic>
              <a:graphicData uri="http://schemas.openxmlformats.org/drawingml/2006/picture">
                <pic:pic>
                  <pic:nvPicPr>
                    <pic:cNvPr descr="cache/k600_theory/swotPlot.jpg" id="0" name="Picture"/>
                    <pic:cNvPicPr>
                      <a:picLocks noChangeArrowheads="1" noChangeAspect="1"/>
                    </pic:cNvPicPr>
                  </pic:nvPicPr>
                  <pic:blipFill>
                    <a:blip r:embed="rId30"/>
                    <a:stretch>
                      <a:fillRect/>
                    </a:stretch>
                  </pic:blipFill>
                  <pic:spPr bwMode="auto">
                    <a:xfrm>
                      <a:off x="0" y="0"/>
                      <a:ext cx="5943600" cy="4322618"/>
                    </a:xfrm>
                    <a:prstGeom prst="rect">
                      <a:avLst/>
                    </a:prstGeom>
                    <a:noFill/>
                    <a:ln w="9525">
                      <a:noFill/>
                      <a:headEnd/>
                      <a:tailEnd/>
                    </a:ln>
                  </pic:spPr>
                </pic:pic>
              </a:graphicData>
            </a:graphic>
          </wp:inline>
        </w:drawing>
      </w:r>
    </w:p>
    <w:p>
      <w:pPr>
        <w:pStyle w:val="ImageCaption"/>
      </w:pPr>
      <w:r>
        <w:t xml:space="preserve">Figure S3 Cummulative density functions (CDFs) of river width measurements, as binned by their dataset and and whether or not they meet the 'large river' condition (Rh=H). The dashed black line indicates the minimum river width that the SWOT satellite will observe (100m). This brief analysis indicates that the vast majority of SWOT-observable rivers should meet the 'large river' condition.</w:t>
      </w:r>
    </w:p>
    <w:p>
      <w:pPr>
        <w:pStyle w:val="FigureWithCaption"/>
      </w:pPr>
      <w:r>
        <w:drawing>
          <wp:inline>
            <wp:extent cx="5943600" cy="3396342"/>
            <wp:effectExtent b="0" l="0" r="0" t="0"/>
            <wp:docPr descr="Figure S4 Mean river properties (observed k600, width, and slope) for the 47 rivers versus their BIKER performance as defined by NRMSE (see Table S1 for this metric's definition). The dashed black line is the median NRMSE score. The poorly performing rivers are universally the narrowest and steepest of the set." title="" id="1" name="Picture"/>
            <a:graphic>
              <a:graphicData uri="http://schemas.openxmlformats.org/drawingml/2006/picture">
                <pic:pic>
                  <pic:nvPicPr>
                    <pic:cNvPr descr="cache/validation/riverProperties_nrmse.jp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S4 Mean river properties (observed k600, width, and slope) for the 47 rivers versus their BIKER performance as defined by NRMSE (see Table S1 for this metric's definition). The dashed black line is the median NRMSE score. The poorly performing rivers are universally the narrowest and steepest of the set.</w:t>
      </w:r>
    </w:p>
    <w:p>
      <w:pPr>
        <w:pStyle w:val="Heading2"/>
      </w:pPr>
      <w:bookmarkStart w:id="32" w:name="tables"/>
      <w:bookmarkEnd w:id="32"/>
      <w:r>
        <w:t xml:space="preserve">Tables</w:t>
      </w:r>
    </w:p>
    <w:p>
      <w:pPr>
        <w:pStyle w:val="FirstParagraph"/>
      </w:pPr>
      <w:r>
        <w:rPr>
          <w:i/>
        </w:rPr>
        <w:t xml:space="preserve">Table S1: Validation metrics used in this study, where r is the correlation coefficient, Nt is number of observations and i is the specific observation. σ refers to the variance of the sample and μ refers to the mean of the sample. As is standard, a carrot accent indicates the predicted value.</w:t>
      </w:r>
    </w:p>
    <w:tbl>
      <w:tblPr>
        <w:tblStyle w:val="TableNormal"/>
        <w:tblW w:type="pct" w:w="4999.999999999999"/>
        <w:tblLook w:firstRow="1"/>
      </w:tblPr>
      <w:tblGrid>
        <w:gridCol w:w="1250"/>
        <w:gridCol w:w="833"/>
        <w:gridCol w:w="1146"/>
        <w:gridCol w:w="1250"/>
        <w:gridCol w:w="1563"/>
        <w:gridCol w:w="1875"/>
      </w:tblGrid>
      <w:tr>
        <w:trPr>
          <w:cnfStyle w:firstRow="1"/>
        </w:trPr>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Acronym</w:t>
            </w:r>
          </w:p>
        </w:tc>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rPr>
                <w:b/>
              </w:rPr>
              <w:t xml:space="preserve">Ideal Score</w:t>
            </w:r>
          </w:p>
        </w:tc>
        <w:tc>
          <w:tcPr>
            <w:tcBorders>
              <w:bottom w:val="single"/>
            </w:tcBorders>
            <w:vAlign w:val="bottom"/>
          </w:tcPr>
          <w:p>
            <w:pPr>
              <w:pStyle w:val="Compact"/>
              <w:jc w:val="left"/>
            </w:pPr>
            <w:r>
              <w:rPr>
                <w:b/>
              </w:rPr>
              <w:t xml:space="preserve">Possible Range</w:t>
            </w:r>
          </w:p>
        </w:tc>
        <w:tc>
          <w:tcPr>
            <w:tcBorders>
              <w:bottom w:val="single"/>
            </w:tcBorders>
            <w:vAlign w:val="bottom"/>
          </w:tcPr>
          <w:p>
            <w:pPr>
              <w:pStyle w:val="Compact"/>
              <w:jc w:val="left"/>
            </w:pPr>
            <w:r>
              <w:rPr>
                <w:b/>
              </w:rPr>
              <w:t xml:space="preserve">Validation Scheme</w:t>
            </w:r>
          </w:p>
        </w:tc>
      </w:tr>
      <w:tr>
        <w:tc>
          <w:p>
            <w:pPr>
              <w:pStyle w:val="Compact"/>
              <w:jc w:val="left"/>
            </w:pPr>
            <w:r>
              <w:t xml:space="preserve">Coefficient of determination</w:t>
            </w:r>
          </w:p>
        </w:tc>
        <w:tc>
          <w:p>
            <w:pPr>
              <w:pStyle w:val="Compact"/>
              <w:jc w:val="left"/>
            </w:pPr>
            <m:oMath>
              <m:sSup>
                <m:e>
                  <m:r>
                    <m:t>r</m:t>
                  </m:r>
                </m:e>
                <m:sup>
                  <m:r>
                    <m:t>2</m:t>
                  </m:r>
                </m:sup>
              </m:sSup>
            </m:oMath>
          </w:p>
        </w:tc>
        <w:tc>
          <w:p>
            <w:pPr>
              <w:pStyle w:val="Compact"/>
              <w:jc w:val="left"/>
            </w:pPr>
            <m:oMath>
              <m:r>
                <m:t>1</m:t>
              </m:r>
              <m:r>
                <m:t>−</m:t>
              </m:r>
              <m:r>
                <m:t>(</m:t>
              </m:r>
              <m:f>
                <m:fPr>
                  <m:type m:val="bar"/>
                </m:fPr>
                <m:num>
                  <m:nary>
                    <m:naryPr>
                      <m:chr m:val="∑"/>
                      <m:limLoc m:val="undOvr"/>
                      <m:subHide m:val="0"/>
                      <m:supHide m:val="0"/>
                    </m:naryPr>
                    <m:sub>
                      <m:r>
                        <m:t>i</m:t>
                      </m:r>
                      <m:r>
                        <m:t>=</m:t>
                      </m:r>
                      <m:r>
                        <m:t>1</m:t>
                      </m:r>
                    </m:sub>
                    <m:sup>
                      <m:sSub>
                        <m:e>
                          <m:r>
                            <m:t>N</m:t>
                          </m:r>
                        </m:e>
                        <m:sub>
                          <m:r>
                            <m:t>t</m:t>
                          </m:r>
                        </m:sub>
                      </m:sSub>
                    </m:sup>
                    <m:e>
                      <m:r>
                        <m:t>(</m:t>
                      </m:r>
                      <m:sSub>
                        <m:e>
                          <m:r>
                            <m:t>k</m:t>
                          </m:r>
                        </m:e>
                        <m:sub>
                          <m:r>
                            <m:t>600</m:t>
                          </m:r>
                          <m:r>
                            <m:t>,</m:t>
                          </m:r>
                          <m:r>
                            <m:t>i</m:t>
                          </m:r>
                        </m:sub>
                      </m:sSub>
                      <m:r>
                        <m:t>−</m:t>
                      </m:r>
                      <m:groupChr>
                        <m:groupChrPr>
                          <m:chr m:val="^"/>
                          <m:pos m:val="top"/>
                          <m:vertJc m:val="bot"/>
                        </m:groupChrPr>
                        <m:e>
                          <m:sSub>
                            <m:e>
                              <m:r>
                                <m:t>k</m:t>
                              </m:r>
                            </m:e>
                            <m:sub>
                              <m:r>
                                <m:t>600</m:t>
                              </m:r>
                            </m:sub>
                          </m:sSub>
                        </m:e>
                      </m:groupChr>
                      <m:sSup>
                        <m:e>
                          <m:r>
                            <m:t>)</m:t>
                          </m:r>
                        </m:e>
                        <m:sup>
                          <m:r>
                            <m:t>2</m:t>
                          </m:r>
                        </m:sup>
                      </m:sSup>
                    </m:e>
                  </m:nary>
                </m:num>
                <m:den>
                  <m:r>
                    <m:t>∑</m:t>
                  </m:r>
                  <m:r>
                    <m:t>(</m:t>
                  </m:r>
                  <m:sSub>
                    <m:e>
                      <m:r>
                        <m:t>k</m:t>
                      </m:r>
                    </m:e>
                    <m:sub>
                      <m:r>
                        <m:t>600</m:t>
                      </m:r>
                      <m:r>
                        <m:t>,</m:t>
                      </m:r>
                      <m:r>
                        <m:t>i</m:t>
                      </m:r>
                    </m:sub>
                  </m:sSub>
                  <m:r>
                    <m:t>−</m:t>
                  </m:r>
                  <m:bar>
                    <m:barPr>
                      <m:pos m:val="top"/>
                    </m:barPr>
                    <m:e>
                      <m:sSub>
                        <m:e>
                          <m:r>
                            <m:t>k</m:t>
                          </m:r>
                        </m:e>
                        <m:sub>
                          <m:r>
                            <m:t>600</m:t>
                          </m:r>
                        </m:sub>
                      </m:sSub>
                    </m:e>
                  </m:bar>
                  <m:sSup>
                    <m:e>
                      <m:r>
                        <m:t>)</m:t>
                      </m:r>
                    </m:e>
                    <m:sup>
                      <m:r>
                        <m:t>2</m:t>
                      </m:r>
                    </m:sup>
                  </m:sSup>
                </m:den>
              </m:f>
              <m:r>
                <m:t>)</m:t>
              </m:r>
            </m:oMath>
          </w:p>
        </w:tc>
        <w:tc>
          <w:p>
            <w:pPr>
              <w:pStyle w:val="Compact"/>
              <w:jc w:val="left"/>
            </w:pPr>
            <w:r>
              <w:t xml:space="preserve">1</w:t>
            </w:r>
          </w:p>
        </w:tc>
        <w:tc>
          <w:p>
            <w:pPr>
              <w:pStyle w:val="Compact"/>
              <w:jc w:val="left"/>
            </w:pPr>
            <w:r>
              <w:t xml:space="preserve">0 to 1</w:t>
            </w:r>
          </w:p>
        </w:tc>
        <w:tc>
          <w:p>
            <w:pPr>
              <w:pStyle w:val="Compact"/>
              <w:jc w:val="left"/>
            </w:pPr>
            <w:r>
              <w:t xml:space="preserve">All rivers and all timesteps</w:t>
            </w:r>
          </w:p>
        </w:tc>
      </w:tr>
      <w:tr>
        <w:tc>
          <w:p>
            <w:pPr>
              <w:pStyle w:val="Compact"/>
              <w:jc w:val="left"/>
            </w:pPr>
            <w:r>
              <w:t xml:space="preserve">Root-mean-square-error</w:t>
            </w:r>
          </w:p>
        </w:tc>
        <w:tc>
          <w:p>
            <w:pPr>
              <w:pStyle w:val="Compact"/>
              <w:jc w:val="left"/>
            </w:pPr>
            <w:r>
              <w:t xml:space="preserve">RMSE</w:t>
            </w:r>
          </w:p>
        </w:tc>
        <w:tc>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t>=</m:t>
                      </m:r>
                      <m:r>
                        <m:t>1</m:t>
                      </m:r>
                    </m:sub>
                    <m:sup>
                      <m:sSub>
                        <m:e>
                          <m:r>
                            <m:t>N</m:t>
                          </m:r>
                        </m:e>
                        <m:sub>
                          <m:r>
                            <m:t>t</m:t>
                          </m:r>
                        </m:sub>
                      </m:sSub>
                    </m:sup>
                    <m:e>
                      <m:r>
                        <m:t>(</m:t>
                      </m:r>
                    </m:e>
                  </m:nary>
                  <m:groupChr>
                    <m:groupChrPr>
                      <m:chr m:val="^"/>
                      <m:pos m:val="top"/>
                      <m:vertJc m:val="bot"/>
                    </m:groupChrPr>
                    <m:e>
                      <m:sSub>
                        <m:e>
                          <m:r>
                            <m:t>k</m:t>
                          </m:r>
                        </m:e>
                        <m:sub>
                          <m:r>
                            <m:t>600</m:t>
                          </m:r>
                          <m:r>
                            <m:t>,</m:t>
                          </m:r>
                          <m:r>
                            <m:t>i</m:t>
                          </m:r>
                        </m:sub>
                      </m:sSub>
                    </m:e>
                  </m:groupChr>
                  <m:r>
                    <m:t>−</m:t>
                  </m:r>
                  <m:sSub>
                    <m:e>
                      <m:r>
                        <m:t>k</m:t>
                      </m:r>
                    </m:e>
                    <m:sub>
                      <m:r>
                        <m:t>600</m:t>
                      </m:r>
                      <m:r>
                        <m:t>,</m:t>
                      </m:r>
                      <m:r>
                        <m:t>i</m:t>
                      </m:r>
                    </m:sub>
                  </m:sSub>
                  <m:sSup>
                    <m:e>
                      <m:r>
                        <m:t>)</m:t>
                      </m:r>
                    </m:e>
                    <m:sup>
                      <m:r>
                        <m:t>2</m:t>
                      </m:r>
                    </m:sup>
                  </m:sSup>
                </m:e>
              </m:rad>
            </m:oMath>
          </w:p>
        </w:tc>
        <w:tc>
          <w:p>
            <w:pPr>
              <w:pStyle w:val="Compact"/>
              <w:jc w:val="left"/>
            </w:pPr>
            <w:r>
              <w:t xml:space="preserve">0</w:t>
            </w:r>
          </w:p>
        </w:tc>
        <w:tc>
          <w:p>
            <w:pPr>
              <w:pStyle w:val="Compact"/>
              <w:jc w:val="left"/>
            </w:pPr>
            <w:r>
              <w:t xml:space="preserve">0 to ∞</w:t>
            </w:r>
          </w:p>
        </w:tc>
        <w:tc>
          <w:p>
            <w:pPr>
              <w:pStyle w:val="Compact"/>
              <w:jc w:val="left"/>
            </w:pPr>
            <w:r>
              <w:t xml:space="preserve">All rivers and all timesteps</w:t>
            </w:r>
          </w:p>
        </w:tc>
      </w:tr>
      <w:tr>
        <w:tc>
          <w:p>
            <w:pPr>
              <w:pStyle w:val="Compact"/>
              <w:jc w:val="left"/>
            </w:pPr>
            <w:r>
              <w:t xml:space="preserve">Relative root-mean-square error</w:t>
            </w:r>
          </w:p>
        </w:tc>
        <w:tc>
          <w:p>
            <w:pPr>
              <w:pStyle w:val="Compact"/>
              <w:jc w:val="left"/>
            </w:pPr>
            <w:r>
              <w:t xml:space="preserve">RRMSE</w:t>
            </w:r>
          </w:p>
        </w:tc>
        <w:tc>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t>=</m:t>
                      </m:r>
                      <m:r>
                        <m:t>1</m:t>
                      </m:r>
                    </m:sub>
                    <m:sup>
                      <m:sSub>
                        <m:e>
                          <m:r>
                            <m:t>N</m:t>
                          </m:r>
                        </m:e>
                        <m:sub>
                          <m:r>
                            <m:t>t</m:t>
                          </m:r>
                        </m:sub>
                      </m:sSub>
                    </m:sup>
                    <m:e>
                      <m:r>
                        <m:t>(</m:t>
                      </m:r>
                    </m:e>
                  </m:nary>
                  <m:f>
                    <m:fPr>
                      <m:type m:val="bar"/>
                    </m:fPr>
                    <m:num>
                      <m:groupChr>
                        <m:groupChrPr>
                          <m:chr m:val="^"/>
                          <m:pos m:val="top"/>
                          <m:vertJc m:val="bot"/>
                        </m:groupChrPr>
                        <m:e>
                          <m:sSub>
                            <m:e>
                              <m:r>
                                <m:t>k</m:t>
                              </m:r>
                            </m:e>
                            <m:sub>
                              <m:r>
                                <m:t>600</m:t>
                              </m:r>
                              <m:r>
                                <m:t>,</m:t>
                              </m:r>
                              <m:r>
                                <m:t>i</m:t>
                              </m:r>
                            </m:sub>
                          </m:sSub>
                        </m:e>
                      </m:groupChr>
                      <m:r>
                        <m:t>−</m:t>
                      </m:r>
                      <m:sSub>
                        <m:e>
                          <m:r>
                            <m:t>k</m:t>
                          </m:r>
                        </m:e>
                        <m:sub>
                          <m:r>
                            <m:t>600</m:t>
                          </m:r>
                          <m:r>
                            <m:t>,</m:t>
                          </m:r>
                          <m:r>
                            <m:t>i</m:t>
                          </m:r>
                        </m:sub>
                      </m:sSub>
                    </m:num>
                    <m:den>
                      <m:sSub>
                        <m:e>
                          <m:r>
                            <m:t>k</m:t>
                          </m:r>
                        </m:e>
                        <m:sub>
                          <m:r>
                            <m:t>600</m:t>
                          </m:r>
                          <m:r>
                            <m:t>,</m:t>
                          </m:r>
                          <m:r>
                            <m:t>i</m:t>
                          </m:r>
                        </m:sub>
                      </m:sSub>
                    </m:den>
                  </m:f>
                  <m:sSup>
                    <m:e>
                      <m:r>
                        <m:t>)</m:t>
                      </m:r>
                    </m:e>
                    <m:sup>
                      <m:r>
                        <m:t>2</m:t>
                      </m:r>
                    </m:sup>
                  </m:sSup>
                </m:e>
              </m:rad>
            </m:oMath>
          </w:p>
        </w:tc>
        <w:tc>
          <w:p>
            <w:pPr>
              <w:pStyle w:val="Compact"/>
              <w:jc w:val="left"/>
            </w:pPr>
            <w:r>
              <w:t xml:space="preserve">0</w:t>
            </w:r>
          </w:p>
        </w:tc>
        <w:tc>
          <w:p>
            <w:pPr>
              <w:pStyle w:val="Compact"/>
              <w:jc w:val="left"/>
            </w:pPr>
            <w:r>
              <w:t xml:space="preserve">0 to ∞</w:t>
            </w:r>
          </w:p>
        </w:tc>
        <w:tc>
          <w:p>
            <w:pPr>
              <w:pStyle w:val="Compact"/>
              <w:jc w:val="left"/>
            </w:pPr>
            <w:r>
              <w:t xml:space="preserve">By river</w:t>
            </w:r>
          </w:p>
        </w:tc>
      </w:tr>
      <w:tr>
        <w:tc>
          <w:p>
            <w:pPr>
              <w:pStyle w:val="Compact"/>
              <w:jc w:val="left"/>
            </w:pPr>
            <w:r>
              <w:t xml:space="preserve">Normalized root-mean-square error</w:t>
            </w:r>
          </w:p>
        </w:tc>
        <w:tc>
          <w:p>
            <w:pPr>
              <w:pStyle w:val="Compact"/>
              <w:jc w:val="left"/>
            </w:pPr>
            <w:r>
              <w:t xml:space="preserve">NRMSE</w:t>
            </w:r>
          </w:p>
        </w:tc>
        <w:tc>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t>=</m:t>
                      </m:r>
                      <m:r>
                        <m:t>1</m:t>
                      </m:r>
                    </m:sub>
                    <m:sup>
                      <m:sSub>
                        <m:e>
                          <m:r>
                            <m:t>N</m:t>
                          </m:r>
                        </m:e>
                        <m:sub>
                          <m:r>
                            <m:t>t</m:t>
                          </m:r>
                        </m:sub>
                      </m:sSub>
                    </m:sup>
                    <m:e>
                      <m:r>
                        <m:t>(</m:t>
                      </m:r>
                    </m:e>
                  </m:nary>
                  <m:f>
                    <m:fPr>
                      <m:type m:val="bar"/>
                    </m:fPr>
                    <m:num>
                      <m:groupChr>
                        <m:groupChrPr>
                          <m:chr m:val="^"/>
                          <m:pos m:val="top"/>
                          <m:vertJc m:val="bot"/>
                        </m:groupChrPr>
                        <m:e>
                          <m:sSub>
                            <m:e>
                              <m:r>
                                <m:t>k</m:t>
                              </m:r>
                            </m:e>
                            <m:sub>
                              <m:r>
                                <m:t>600</m:t>
                              </m:r>
                              <m:r>
                                <m:t>,</m:t>
                              </m:r>
                              <m:r>
                                <m:t>i</m:t>
                              </m:r>
                            </m:sub>
                          </m:sSub>
                        </m:e>
                      </m:groupChr>
                      <m:r>
                        <m:t>−</m:t>
                      </m:r>
                      <m:sSub>
                        <m:e>
                          <m:r>
                            <m:t>k</m:t>
                          </m:r>
                        </m:e>
                        <m:sub>
                          <m:r>
                            <m:t>600</m:t>
                          </m:r>
                          <m:r>
                            <m:t>,</m:t>
                          </m:r>
                          <m:r>
                            <m:t>i</m:t>
                          </m:r>
                        </m:sub>
                      </m:sSub>
                    </m:num>
                    <m:den>
                      <m:bar>
                        <m:barPr>
                          <m:pos m:val="top"/>
                        </m:barPr>
                        <m:e>
                          <m:sSub>
                            <m:e>
                              <m:r>
                                <m:t>k</m:t>
                              </m:r>
                            </m:e>
                            <m:sub>
                              <m:r>
                                <m:t>600</m:t>
                              </m:r>
                              <m:r>
                                <m:t>,</m:t>
                              </m:r>
                              <m:r>
                                <m:t>i</m:t>
                              </m:r>
                            </m:sub>
                          </m:sSub>
                        </m:e>
                      </m:bar>
                    </m:den>
                  </m:f>
                  <m:sSup>
                    <m:e>
                      <m:r>
                        <m:t>)</m:t>
                      </m:r>
                    </m:e>
                    <m:sup>
                      <m:r>
                        <m:t>2</m:t>
                      </m:r>
                    </m:sup>
                  </m:sSup>
                </m:e>
              </m:rad>
            </m:oMath>
          </w:p>
        </w:tc>
        <w:tc>
          <w:p>
            <w:pPr>
              <w:pStyle w:val="Compact"/>
              <w:jc w:val="left"/>
            </w:pPr>
            <w:r>
              <w:t xml:space="preserve">0</w:t>
            </w:r>
          </w:p>
        </w:tc>
        <w:tc>
          <w:p>
            <w:pPr>
              <w:pStyle w:val="Compact"/>
              <w:jc w:val="left"/>
            </w:pPr>
            <w:r>
              <w:t xml:space="preserve">0 to ∞</w:t>
            </w:r>
          </w:p>
        </w:tc>
        <w:tc>
          <w:p>
            <w:pPr>
              <w:pStyle w:val="Compact"/>
              <w:jc w:val="left"/>
            </w:pPr>
            <w:r>
              <w:t xml:space="preserve">By river</w:t>
            </w:r>
          </w:p>
        </w:tc>
      </w:tr>
      <w:tr>
        <w:tc>
          <w:p>
            <w:pPr>
              <w:pStyle w:val="Compact"/>
              <w:jc w:val="left"/>
            </w:pPr>
            <w:r>
              <w:t xml:space="preserve">Relative bias</w:t>
            </w:r>
          </w:p>
        </w:tc>
        <w:tc>
          <w:p>
            <w:pPr>
              <w:pStyle w:val="Compact"/>
              <w:jc w:val="left"/>
            </w:pPr>
            <w:r>
              <w:t xml:space="preserve">rBIAS</w:t>
            </w:r>
          </w:p>
        </w:tc>
        <w:tc>
          <w:p>
            <w:pPr>
              <w:pStyle w:val="Compact"/>
              <w:jc w:val="left"/>
            </w:pPr>
            <m:oMath>
              <m:f>
                <m:fPr>
                  <m:type m:val="bar"/>
                </m:fPr>
                <m:num>
                  <m:r>
                    <m:t>1</m:t>
                  </m:r>
                </m:num>
                <m:den>
                  <m:sSub>
                    <m:e>
                      <m:r>
                        <m:t>N</m:t>
                      </m:r>
                    </m:e>
                    <m:sub>
                      <m:r>
                        <m:t>t</m:t>
                      </m:r>
                    </m:sub>
                  </m:sSub>
                </m:den>
              </m:f>
              <m:nary>
                <m:naryPr>
                  <m:chr m:val="∑"/>
                  <m:limLoc m:val="undOvr"/>
                  <m:subHide m:val="0"/>
                  <m:supHide m:val="0"/>
                </m:naryPr>
                <m:sub>
                  <m:r>
                    <m:t>i</m:t>
                  </m:r>
                  <m:r>
                    <m:t>=</m:t>
                  </m:r>
                  <m:r>
                    <m:t>1</m:t>
                  </m:r>
                </m:sub>
                <m:sup>
                  <m:sSub>
                    <m:e>
                      <m:r>
                        <m:t>N</m:t>
                      </m:r>
                    </m:e>
                    <m:sub>
                      <m:r>
                        <m:t>t</m:t>
                      </m:r>
                    </m:sub>
                  </m:sSub>
                </m:sup>
                <m:e>
                  <m:r>
                    <m:t>(</m:t>
                  </m:r>
                </m:e>
              </m:nary>
              <m:f>
                <m:fPr>
                  <m:type m:val="bar"/>
                </m:fPr>
                <m:num>
                  <m:groupChr>
                    <m:groupChrPr>
                      <m:chr m:val="^"/>
                      <m:pos m:val="top"/>
                      <m:vertJc m:val="bot"/>
                    </m:groupChrPr>
                    <m:e>
                      <m:sSub>
                        <m:e>
                          <m:r>
                            <m:t>k</m:t>
                          </m:r>
                        </m:e>
                        <m:sub>
                          <m:r>
                            <m:t>600</m:t>
                          </m:r>
                          <m:r>
                            <m:t>,</m:t>
                          </m:r>
                          <m:r>
                            <m:t>i</m:t>
                          </m:r>
                        </m:sub>
                      </m:sSub>
                    </m:e>
                  </m:groupChr>
                  <m:r>
                    <m:t>−</m:t>
                  </m:r>
                  <m:sSub>
                    <m:e>
                      <m:r>
                        <m:t>k</m:t>
                      </m:r>
                    </m:e>
                    <m:sub>
                      <m:r>
                        <m:t>600</m:t>
                      </m:r>
                      <m:r>
                        <m:t>,</m:t>
                      </m:r>
                      <m:r>
                        <m:t>i</m:t>
                      </m:r>
                    </m:sub>
                  </m:sSub>
                </m:num>
                <m:den>
                  <m:bar>
                    <m:barPr>
                      <m:pos m:val="top"/>
                    </m:barPr>
                    <m:e>
                      <m:sSub>
                        <m:e>
                          <m:r>
                            <m:t>k</m:t>
                          </m:r>
                        </m:e>
                        <m:sub>
                          <m:r>
                            <m:t>600</m:t>
                          </m:r>
                          <m:r>
                            <m:t>,</m:t>
                          </m:r>
                          <m:r>
                            <m:t>i</m:t>
                          </m:r>
                        </m:sub>
                      </m:sSub>
                    </m:e>
                  </m:bar>
                </m:den>
              </m:f>
              <m:r>
                <m:t>)</m:t>
              </m:r>
            </m:oMath>
          </w:p>
        </w:tc>
        <w:tc>
          <w:p>
            <w:pPr>
              <w:pStyle w:val="Compact"/>
              <w:jc w:val="left"/>
            </w:pPr>
            <w:r>
              <w:t xml:space="preserve">0</w:t>
            </w:r>
          </w:p>
        </w:tc>
        <w:tc>
          <w:p>
            <w:pPr>
              <w:pStyle w:val="Compact"/>
              <w:jc w:val="left"/>
            </w:pPr>
            <w:r>
              <w:t xml:space="preserve">-∞ to ∞</w:t>
            </w:r>
          </w:p>
        </w:tc>
        <w:tc>
          <w:p>
            <w:pPr>
              <w:pStyle w:val="Compact"/>
              <w:jc w:val="left"/>
            </w:pPr>
            <w:r>
              <w:t xml:space="preserve">By river</w:t>
            </w:r>
          </w:p>
        </w:tc>
      </w:tr>
    </w:tbl>
    <w:p>
      <w:pPr>
        <w:pStyle w:val="BodyText"/>
      </w:pPr>
      <w:r>
        <w:rPr>
          <w:i/>
        </w:rPr>
        <w:t xml:space="preserve">Table S2: Details on the 3 depth hydraulic geometry models used to estimate FCO2 from the SWOT rivers (section 2.4).</w:t>
      </w:r>
    </w:p>
    <w:tbl>
      <w:tblPr>
        <w:tblStyle w:val="TableNormal"/>
        <w:tblW w:type="pct" w:w="4861.111111111111"/>
        <w:tblLook w:firstRow="1"/>
      </w:tblPr>
      <w:tblGrid>
        <w:gridCol w:w="1540"/>
        <w:gridCol w:w="1540"/>
        <w:gridCol w:w="1540"/>
        <w:gridCol w:w="1540"/>
        <w:gridCol w:w="1540"/>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Equation</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Reference</w:t>
            </w:r>
          </w:p>
        </w:tc>
        <w:tc>
          <w:tcPr>
            <w:tcBorders>
              <w:bottom w:val="single"/>
            </w:tcBorders>
            <w:vAlign w:val="bottom"/>
          </w:tcPr>
          <w:p>
            <w:pPr>
              <w:pStyle w:val="Compact"/>
            </w:pPr>
          </w:p>
        </w:tc>
      </w:tr>
      <w:tr>
        <w:tc>
          <w:p>
            <w:pPr>
              <w:pStyle w:val="Compact"/>
              <w:jc w:val="left"/>
            </w:pPr>
            <w:r>
              <w:t xml:space="preserve">Brinkerhoff 2019</w:t>
            </w:r>
          </w:p>
        </w:tc>
        <w:tc>
          <w:p>
            <w:pPr>
              <w:pStyle w:val="Compact"/>
              <w:jc w:val="left"/>
            </w:pPr>
            <m:oMath>
              <m:r>
                <m:t>D</m:t>
              </m:r>
              <m:r>
                <m:t>=</m:t>
              </m:r>
              <m:r>
                <m:t>0.258</m:t>
              </m:r>
              <m:sSup>
                <m:e>
                  <m:r>
                    <m:t>Q</m:t>
                  </m:r>
                </m:e>
                <m:sup>
                  <m:r>
                    <m:t>0.395</m:t>
                  </m:r>
                </m:sup>
              </m:sSup>
            </m:oMath>
          </w:p>
        </w:tc>
        <w:tc>
          <w:p>
            <w:pPr>
              <w:pStyle w:val="Compact"/>
              <w:jc w:val="left"/>
            </w:pPr>
            <w:r>
              <w:t xml:space="preserve">530,945 measurements made across the United States at streamgauges</w:t>
            </w:r>
          </w:p>
        </w:tc>
        <w:tc>
          <w:p>
            <w:pPr>
              <w:pStyle w:val="Compact"/>
              <w:jc w:val="left"/>
            </w:pPr>
            <w:r>
              <w:t xml:space="preserve">this study;</w:t>
            </w:r>
            <w:r>
              <w:t xml:space="preserve"> </w:t>
            </w:r>
            <w:r>
              <w:t xml:space="preserve">Brinkerhoff et al. (2019)</w:t>
            </w:r>
          </w:p>
        </w:tc>
        <w:tc>
          <w:p>
            <w:pPr>
              <w:pStyle w:val="Compact"/>
            </w:pPr>
          </w:p>
        </w:tc>
      </w:tr>
      <w:tr>
        <w:tc>
          <w:p>
            <w:pPr>
              <w:pStyle w:val="Compact"/>
              <w:jc w:val="left"/>
            </w:pPr>
            <w:r>
              <w:t xml:space="preserve">Raymond 2012</w:t>
            </w:r>
          </w:p>
        </w:tc>
        <w:tc>
          <w:p>
            <w:pPr>
              <w:pStyle w:val="Compact"/>
              <w:jc w:val="left"/>
            </w:pPr>
            <m:oMath>
              <m:r>
                <m:t>D</m:t>
              </m:r>
              <m:r>
                <m:t>=</m:t>
              </m:r>
              <m:r>
                <m:t>0.409</m:t>
              </m:r>
              <m:sSup>
                <m:e>
                  <m:r>
                    <m:t>Q</m:t>
                  </m:r>
                </m:e>
                <m:sup>
                  <m:r>
                    <m:t>0.294</m:t>
                  </m:r>
                </m:sup>
              </m:sSup>
            </m:oMath>
          </w:p>
        </w:tc>
        <w:tc>
          <w:p>
            <w:pPr>
              <w:pStyle w:val="Compact"/>
              <w:jc w:val="left"/>
            </w:pPr>
            <w:r>
              <w:t xml:space="preserve">1,026 measurements across the United States</w:t>
            </w:r>
          </w:p>
        </w:tc>
        <w:tc>
          <w:p>
            <w:pPr>
              <w:pStyle w:val="Compact"/>
              <w:jc w:val="left"/>
            </w:pPr>
            <w:r>
              <w:t xml:space="preserve">Raymond et al. (2012)</w:t>
            </w:r>
          </w:p>
        </w:tc>
        <w:tc>
          <w:p>
            <w:pPr>
              <w:pStyle w:val="Compact"/>
            </w:pPr>
          </w:p>
        </w:tc>
      </w:tr>
      <w:tr>
        <w:tc>
          <w:p>
            <w:pPr>
              <w:pStyle w:val="Compact"/>
              <w:jc w:val="left"/>
            </w:pPr>
            <w:r>
              <w:t xml:space="preserve">Raymond 2013</w:t>
            </w:r>
          </w:p>
        </w:tc>
        <w:tc>
          <w:p>
            <w:pPr>
              <w:pStyle w:val="Compact"/>
              <w:jc w:val="left"/>
            </w:pPr>
            <m:oMath>
              <m:r>
                <m:t>D</m:t>
              </m:r>
              <m:r>
                <m:t>=</m:t>
              </m:r>
              <m:r>
                <m:t>0.409</m:t>
              </m:r>
              <m:sSup>
                <m:e>
                  <m:r>
                    <m:t>Q</m:t>
                  </m:r>
                </m:e>
                <m:sup>
                  <m:r>
                    <m:t>0.294</m:t>
                  </m:r>
                </m:sup>
              </m:sSup>
              <m:r>
                <m:t>,</m:t>
              </m:r>
              <m:r>
                <m:t>D</m:t>
              </m:r>
              <m:r>
                <m:t>=</m:t>
              </m:r>
              <m:r>
                <m:t>0.449</m:t>
              </m:r>
              <m:sSup>
                <m:e>
                  <m:r>
                    <m:t>Q</m:t>
                  </m:r>
                </m:e>
                <m:sup>
                  <m:r>
                    <m:t>0.37</m:t>
                  </m:r>
                </m:sup>
              </m:sSup>
            </m:oMath>
          </w:p>
        </w:tc>
        <w:tc>
          <w:p>
            <w:pPr>
              <w:pStyle w:val="Compact"/>
              <w:jc w:val="left"/>
            </w:pPr>
            <w:r>
              <w:t xml:space="preserve">Average of the Raymond 2012 equation and one using 9,811 measurements at US streamgauges</w:t>
            </w:r>
          </w:p>
        </w:tc>
        <w:tc>
          <w:p>
            <w:pPr>
              <w:pStyle w:val="Compact"/>
              <w:jc w:val="left"/>
            </w:pPr>
            <w:r>
              <w:t xml:space="preserve">Raymond et al. (2013)</w:t>
            </w:r>
          </w:p>
        </w:tc>
        <w:tc>
          <w:p>
            <w:pPr>
              <w:pStyle w:val="Compact"/>
            </w:pPr>
          </w:p>
        </w:tc>
      </w:tr>
    </w:tbl>
    <w:p>
      <w:pPr>
        <w:pStyle w:val="Heading2"/>
      </w:pPr>
      <w:bookmarkStart w:id="33" w:name="references"/>
      <w:bookmarkEnd w:id="33"/>
      <w:r>
        <w:t xml:space="preserve">References</w:t>
      </w:r>
    </w:p>
    <w:p>
      <w:pPr>
        <w:pStyle w:val="Bibliography"/>
      </w:pPr>
      <w:r>
        <w:t xml:space="preserve">Beaulieu, J.J., Shuster, W.D., Rebholz, J.A., 2012. Controls on gas transfer velocities in a large river. Journal of Geophysical Research: Biogeosciences 117.</w:t>
      </w:r>
      <w:r>
        <w:t xml:space="preserve"> </w:t>
      </w:r>
      <w:hyperlink r:id="rId34">
        <w:r>
          <w:rPr>
            <w:rStyle w:val="Hyperlink"/>
          </w:rPr>
          <w:t xml:space="preserve">https://doi.org/10.1029/2011JG001794</w:t>
        </w:r>
      </w:hyperlink>
    </w:p>
    <w:p>
      <w:pPr>
        <w:pStyle w:val="Bibliography"/>
      </w:pPr>
      <w:r>
        <w:t xml:space="preserve">Brinkerhoff, C.B., Gleason, C.J., Feng, D., Lin, P., 2020. Constraining Remote River Discharge Estimation Using Reach-Scale Geomorphology. Water Resources Research 56, e2020WR027949.</w:t>
      </w:r>
      <w:r>
        <w:t xml:space="preserve"> </w:t>
      </w:r>
      <w:hyperlink r:id="rId35">
        <w:r>
          <w:rPr>
            <w:rStyle w:val="Hyperlink"/>
          </w:rPr>
          <w:t xml:space="preserve">https://doi.org/10.1029/2020WR027949</w:t>
        </w:r>
      </w:hyperlink>
    </w:p>
    <w:p>
      <w:pPr>
        <w:pStyle w:val="Bibliography"/>
      </w:pPr>
      <w:r>
        <w:t xml:space="preserve">Brinkerhoff, C.B., Gleason, C.J., Ostendorf, D.W., 2019. Reconciling at-a-Station and at-Many-Stations Hydraulic Geometry Through River-Wide Geomorphology. Geophysical Research Letters 46, 9637–9647.</w:t>
      </w:r>
      <w:r>
        <w:t xml:space="preserve"> </w:t>
      </w:r>
      <w:hyperlink r:id="rId36">
        <w:r>
          <w:rPr>
            <w:rStyle w:val="Hyperlink"/>
          </w:rPr>
          <w:t xml:space="preserve">https://doi.org/10.1029/2019GL084529</w:t>
        </w:r>
      </w:hyperlink>
    </w:p>
    <w:p>
      <w:pPr>
        <w:pStyle w:val="Bibliography"/>
      </w:pPr>
      <w:r>
        <w:t xml:space="preserve">Nakagawa, H., Nexu, I., 1993. Turbulence in Open Channel Flows. Routledge.</w:t>
      </w:r>
    </w:p>
    <w:p>
      <w:pPr>
        <w:pStyle w:val="Bibliography"/>
      </w:pPr>
      <w:r>
        <w:t xml:space="preserve">Raymond, P.A., Hartmann, J., Lauerwald, R., Sobek, S., McDonald, C., Hoover, M., Butman, D., Striegl, R., Mayorga, E., Humborg, C., Kortelainen, P., Dürr, H., Meybeck, M., Ciais, P., Guth, P., 2013. Global carbon dioxide emissions from inland waters. Nature 503, 355–359.</w:t>
      </w:r>
      <w:r>
        <w:t xml:space="preserve"> </w:t>
      </w:r>
      <w:hyperlink r:id="rId37">
        <w:r>
          <w:rPr>
            <w:rStyle w:val="Hyperlink"/>
          </w:rPr>
          <w:t xml:space="preserve">https://doi.org/10.1038/nature12760</w:t>
        </w:r>
      </w:hyperlink>
    </w:p>
    <w:p>
      <w:pPr>
        <w:pStyle w:val="Bibliography"/>
      </w:pPr>
      <w:r>
        <w:t xml:space="preserve">Raymond, P.A., Zappa, C.J., Butman, D., Bott, T.L., Potter, J., Mulholland, P., Laursen, A.E., McDowell, W.H., Newbold, D., 2012. Scaling the gas transfer velocity and hydraulic geometry in streams and small rivers. Limnology and Oceanography: Fluids and Environments 2, 41–53.</w:t>
      </w:r>
      <w:r>
        <w:t xml:space="preserve"> </w:t>
      </w:r>
      <w:hyperlink r:id="rId38">
        <w:r>
          <w:rPr>
            <w:rStyle w:val="Hyperlink"/>
          </w:rPr>
          <w:t xml:space="preserve">https://doi.org/10.1215/21573689-1597669</w:t>
        </w:r>
      </w:hyperlink>
    </w:p>
    <w:p>
      <w:pPr>
        <w:pStyle w:val="Bibliography"/>
      </w:pPr>
      <w:r>
        <w:t xml:space="preserve">Ulseth, A.J., Hall, R.O., Boix Canadell, M., Madinger, H.L., Niayifar, A., Battin, T.J., 2019. Distinct airWater gas exchange regimes in low- and high-energy streams. Nature Geoscience 12, 259–263.</w:t>
      </w:r>
      <w:r>
        <w:t xml:space="preserve"> </w:t>
      </w:r>
      <w:hyperlink r:id="rId39">
        <w:r>
          <w:rPr>
            <w:rStyle w:val="Hyperlink"/>
          </w:rPr>
          <w:t xml:space="preserve">https://doi.org/10.1038/s41561-019-0324-8</w:t>
        </w:r>
      </w:hyperlink>
    </w:p>
    <w:p>
      <w:pPr>
        <w:pStyle w:val="Bibliography"/>
      </w:pPr>
      <w:r>
        <w:t xml:space="preserve">Wanninkhof, R., 1992. Relationship between wind speed and gas exchange over the ocean. Journal of Geophysical Research: Oceans 97, 7373–7382.</w:t>
      </w:r>
      <w:r>
        <w:t xml:space="preserve"> </w:t>
      </w:r>
      <w:hyperlink r:id="rId40">
        <w:r>
          <w:rPr>
            <w:rStyle w:val="Hyperlink"/>
          </w:rPr>
          <w:t xml:space="preserve">https://doi.org/10.1029/92JC00188</w:t>
        </w:r>
      </w:hyperlink>
    </w:p>
    <w:sectPr w:rsidR="00642D4E" w:rsidRPr="00642D4E" w:rsidSect="00EF1B30">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835052"/>
      <w:docPartObj>
        <w:docPartGallery w:val="Page Numbers (Bottom of Page)"/>
        <w:docPartUnique/>
      </w:docPartObj>
    </w:sdtPr>
    <w:sdtEndPr>
      <w:rPr>
        <w:noProof/>
      </w:rPr>
    </w:sdtEndPr>
    <w:sdtContent>
      <w:p w14:paraId="2DECFDA7" w14:textId="5B0AAAEE" w:rsidR="00642D4E" w:rsidRDefault="0064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76C5" w14:textId="77777777" w:rsidR="007B72BB" w:rsidRDefault="007B72BB" w:rsidP="00EB5D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21679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6CE5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5F85C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D3C3C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400354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96EC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2F2ED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6D53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41E61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DCDF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d78a1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290"/>
    <w:pPr>
      <w:spacing w:before="180" w:after="180" w:line="480" w:lineRule="auto"/>
      <w:ind w:firstLine="720"/>
      <w:jc w:val="both"/>
    </w:pPr>
    <w:rPr>
      <w:rFonts w:ascii="Times New Roman" w:hAnsi="Times New Roman" w:cs="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62BF4"/>
    <w:pPr>
      <w:keepNext/>
      <w:keepLines/>
      <w:spacing w:before="200" w:after="0"/>
      <w:ind w:firstLine="0"/>
      <w:outlineLvl w:val="1"/>
    </w:pPr>
    <w:rPr>
      <w:rFonts w:eastAsiaTheme="majorEastAsia"/>
      <w:b/>
      <w:bCs/>
    </w:rPr>
  </w:style>
  <w:style w:type="paragraph" w:styleId="Heading3">
    <w:name w:val="heading 3"/>
    <w:basedOn w:val="Normal"/>
    <w:next w:val="BodyText"/>
    <w:uiPriority w:val="9"/>
    <w:unhideWhenUsed/>
    <w:qFormat/>
    <w:rsid w:val="00040E90"/>
    <w:pPr>
      <w:keepNext/>
      <w:keepLines/>
      <w:spacing w:before="200" w:after="0"/>
      <w:outlineLvl w:val="2"/>
    </w:pPr>
    <w:rPr>
      <w:rFonts w:eastAsiaTheme="majorEastAsia"/>
      <w:b/>
      <w:bCs/>
    </w:rPr>
  </w:style>
  <w:style w:type="paragraph" w:styleId="Heading4">
    <w:name w:val="heading 4"/>
    <w:basedOn w:val="Normal"/>
    <w:next w:val="BodyText"/>
    <w:uiPriority w:val="9"/>
    <w:unhideWhenUsed/>
    <w:qFormat/>
    <w:rsid w:val="00A33038"/>
    <w:pPr>
      <w:keepNext/>
      <w:keepLines/>
      <w:spacing w:before="200" w:after="0"/>
      <w:ind w:left="72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64C"/>
  </w:style>
  <w:style w:type="paragraph" w:customStyle="1" w:styleId="FirstParagraph">
    <w:name w:val="First Paragraph"/>
    <w:basedOn w:val="BodyText"/>
    <w:next w:val="BodyText"/>
    <w:qFormat/>
    <w:rsid w:val="00B2464C"/>
  </w:style>
  <w:style w:type="paragraph" w:customStyle="1" w:styleId="Compact">
    <w:name w:val="Compact"/>
    <w:basedOn w:val="BodyText"/>
    <w:qFormat/>
    <w:rsid w:val="004C3344"/>
    <w:pPr>
      <w:spacing w:before="36" w:after="36" w:line="240" w:lineRule="auto"/>
      <w:ind w:firstLine="0"/>
    </w:pPr>
  </w:style>
  <w:style w:type="paragraph" w:styleId="Title">
    <w:name w:val="Title"/>
    <w:basedOn w:val="Normal"/>
    <w:next w:val="BodyText"/>
    <w:qFormat/>
    <w:rsid w:val="00C0593A"/>
    <w:pPr>
      <w:keepNext/>
      <w:keepLines/>
      <w:spacing w:before="480" w:after="240" w:line="240" w:lineRule="auto"/>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593A"/>
    <w:pPr>
      <w:keepNext/>
      <w:keepLines/>
      <w:jc w:val="center"/>
    </w:pPr>
    <w:rPr>
      <w:rFonts w:ascii="Times New Roman" w:hAnsi="Times New Roman" w:cs="Times New Roman"/>
    </w:rPr>
  </w:style>
  <w:style w:type="paragraph" w:styleId="Date">
    <w:name w:val="Date"/>
    <w:next w:val="BodyText"/>
    <w:qFormat/>
    <w:rsid w:val="00C0593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464C"/>
    <w:rPr>
      <w:rFonts w:ascii="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59CC"/>
    <w:pPr>
      <w:tabs>
        <w:tab w:val="center" w:pos="4680"/>
        <w:tab w:val="right" w:pos="9360"/>
      </w:tabs>
      <w:spacing w:after="0"/>
    </w:pPr>
  </w:style>
  <w:style w:type="character" w:customStyle="1" w:styleId="HeaderChar">
    <w:name w:val="Header Char"/>
    <w:basedOn w:val="DefaultParagraphFont"/>
    <w:link w:val="Header"/>
    <w:rsid w:val="002059CC"/>
  </w:style>
  <w:style w:type="paragraph" w:styleId="Footer">
    <w:name w:val="footer"/>
    <w:basedOn w:val="Normal"/>
    <w:link w:val="FooterChar"/>
    <w:uiPriority w:val="99"/>
    <w:unhideWhenUsed/>
    <w:rsid w:val="002059CC"/>
    <w:pPr>
      <w:tabs>
        <w:tab w:val="center" w:pos="4680"/>
        <w:tab w:val="right" w:pos="9360"/>
      </w:tabs>
      <w:spacing w:after="0"/>
    </w:pPr>
  </w:style>
  <w:style w:type="character" w:customStyle="1" w:styleId="FooterChar">
    <w:name w:val="Footer Char"/>
    <w:basedOn w:val="DefaultParagraphFont"/>
    <w:link w:val="Footer"/>
    <w:uiPriority w:val="99"/>
    <w:rsid w:val="0020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hyperlink" Id="rId34" Target="https://doi.org/10.1029/2011JG001794" TargetMode="External" /><Relationship Type="http://schemas.openxmlformats.org/officeDocument/2006/relationships/hyperlink" Id="rId36" Target="https://doi.org/10.1029/2019GL084529" TargetMode="External" /><Relationship Type="http://schemas.openxmlformats.org/officeDocument/2006/relationships/hyperlink" Id="rId35" Target="https://doi.org/10.1029/2020WR027949" TargetMode="External" /><Relationship Type="http://schemas.openxmlformats.org/officeDocument/2006/relationships/hyperlink" Id="rId40" Target="https://doi.org/10.1029/92JC00188" TargetMode="External" /><Relationship Type="http://schemas.openxmlformats.org/officeDocument/2006/relationships/hyperlink" Id="rId37" Target="https://doi.org/10.1038/nature12760" TargetMode="External" /><Relationship Type="http://schemas.openxmlformats.org/officeDocument/2006/relationships/hyperlink" Id="rId39" Target="https://doi.org/10.1038/s41561-019-0324-8" TargetMode="External" /><Relationship Type="http://schemas.openxmlformats.org/officeDocument/2006/relationships/hyperlink" Id="rId38" Target="https://doi.org/10.1215/21573689-1597669" TargetMode="External" /><Relationship Type="http://schemas.openxmlformats.org/officeDocument/2006/relationships/hyperlink" Id="rId22" Target="https://github.com/craigbrinkerhoff/RSK600"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29/2011JG001794" TargetMode="External" /><Relationship Type="http://schemas.openxmlformats.org/officeDocument/2006/relationships/hyperlink" Id="rId36" Target="https://doi.org/10.1029/2019GL084529" TargetMode="External" /><Relationship Type="http://schemas.openxmlformats.org/officeDocument/2006/relationships/hyperlink" Id="rId35" Target="https://doi.org/10.1029/2020WR027949" TargetMode="External" /><Relationship Type="http://schemas.openxmlformats.org/officeDocument/2006/relationships/hyperlink" Id="rId40" Target="https://doi.org/10.1029/92JC00188" TargetMode="External" /><Relationship Type="http://schemas.openxmlformats.org/officeDocument/2006/relationships/hyperlink" Id="rId37" Target="https://doi.org/10.1038/nature12760" TargetMode="External" /><Relationship Type="http://schemas.openxmlformats.org/officeDocument/2006/relationships/hyperlink" Id="rId39" Target="https://doi.org/10.1038/s41561-019-0324-8" TargetMode="External" /><Relationship Type="http://schemas.openxmlformats.org/officeDocument/2006/relationships/hyperlink" Id="rId38" Target="https://doi.org/10.1215/21573689-1597669" TargetMode="External" /><Relationship Type="http://schemas.openxmlformats.org/officeDocument/2006/relationships/hyperlink" Id="rId22" Target="https://github.com/craigbrinkerhoff/RSK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 Gas exchange in large rivers controlled by largest turbulent eddies: implications for remotely sensing gas exchange via SWOT</dc:title>
  <dc:creator>CB Brinkerhoff, CJ Gleason, PA Raymond, MH Harlan</dc:creator>
  <dcterms:created xsi:type="dcterms:W3CDTF">2021-07-22T15:12:12Z</dcterms:created>
  <dcterms:modified xsi:type="dcterms:W3CDTF">2021-07-22T15:12:12Z</dcterms:modified>
</cp:coreProperties>
</file>