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Supplemental</w:t>
      </w:r>
      <w:r>
        <w:t xml:space="preserve"> </w:t>
      </w:r>
      <w:r>
        <w:t xml:space="preserve">Information:</w:t>
      </w:r>
      <w:r>
        <w:t xml:space="preserve"> </w:t>
      </w:r>
      <w:r>
        <w:t xml:space="preserve">Using</w:t>
      </w:r>
      <w:r>
        <w:t xml:space="preserve"> </w:t>
      </w:r>
      <w:r>
        <w:t xml:space="preserve">hydraulic</w:t>
      </w:r>
      <w:r>
        <w:t xml:space="preserve"> </w:t>
      </w:r>
      <w:r>
        <w:t xml:space="preserve">geometry</w:t>
      </w:r>
      <w:r>
        <w:t xml:space="preserve"> </w:t>
      </w:r>
      <w:r>
        <w:t xml:space="preserve">and</w:t>
      </w:r>
      <w:r>
        <w:t xml:space="preserve"> </w:t>
      </w:r>
      <w:r>
        <w:t xml:space="preserve">the</w:t>
      </w:r>
      <w:r>
        <w:t xml:space="preserve"> </w:t>
      </w:r>
      <w:r>
        <w:t xml:space="preserve">SWOT</w:t>
      </w:r>
      <w:r>
        <w:t xml:space="preserve"> </w:t>
      </w:r>
      <w:r>
        <w:t xml:space="preserve">satellite</w:t>
      </w:r>
      <w:r>
        <w:t xml:space="preserve"> </w:t>
      </w:r>
      <w:r>
        <w:t xml:space="preserve">to</w:t>
      </w:r>
      <w:r>
        <w:t xml:space="preserve"> </w:t>
      </w:r>
      <w:r>
        <w:t xml:space="preserve">remotely</w:t>
      </w:r>
      <w:r>
        <w:t xml:space="preserve"> </w:t>
      </w:r>
      <w:r>
        <w:t xml:space="preserve">sense</w:t>
      </w:r>
      <w:r>
        <w:t xml:space="preserve"> </w:t>
      </w:r>
      <w:r>
        <w:t xml:space="preserve">river</w:t>
      </w:r>
      <w:r>
        <w:t xml:space="preserve"> </w:t>
      </w:r>
      <w:r>
        <w:t xml:space="preserve">gas</w:t>
      </w:r>
      <w:r>
        <w:t xml:space="preserve"> </w:t>
      </w:r>
      <w:r>
        <w:t xml:space="preserve">exchange</w:t>
      </w:r>
      <w:r>
        <w:t xml:space="preserve"> </w:t>
      </w:r>
      <w:r>
        <w:t xml:space="preserve">velocity</w:t>
      </w:r>
    </w:p>
    <w:p>
      <w:pPr>
        <w:pStyle w:val="Author"/>
      </w:pPr>
      <w:r>
        <w:t xml:space="preserve">Craig B Brinkerhoff</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Colin J Gleason</w:t>
      </w:r>
      <w:r>
        <w:rPr>
          <w:vertAlign w:val="superscript"/>
        </w:rPr>
        <w:t xml:space="preserve">1</w:t>
      </w:r>
      <w:r>
        <w:t xml:space="preserve">,</w:t>
      </w:r>
      <w:r>
        <w:t xml:space="preserve"> </w:t>
      </w:r>
      <w:r>
        <w:t xml:space="preserve">Christopher J Zappa</w:t>
      </w:r>
      <w:r>
        <w:rPr>
          <w:vertAlign w:val="superscript"/>
        </w:rPr>
        <w:t xml:space="preserve">2</w:t>
      </w:r>
      <w:r>
        <w:t xml:space="preserve">,</w:t>
      </w:r>
      <w:r>
        <w:t xml:space="preserve"> </w:t>
      </w:r>
      <w:r>
        <w:t xml:space="preserve">Peter A Raymond</w:t>
      </w:r>
      <w:r>
        <w:rPr>
          <w:vertAlign w:val="superscript"/>
        </w:rPr>
        <w:t xml:space="preserve">3</w:t>
      </w:r>
      <w:r>
        <w:t xml:space="preserve">,</w:t>
      </w:r>
      <w:r>
        <w:t xml:space="preserve"> </w:t>
      </w:r>
      <w:r>
        <w:t xml:space="preserve">and</w:t>
      </w:r>
      <w:r>
        <w:t xml:space="preserve"> </w:t>
      </w:r>
      <w:r>
        <w:t xml:space="preserve">Merritt H Harlan</w:t>
      </w:r>
      <w:r>
        <w:rPr>
          <w:vertAlign w:val="superscript"/>
        </w:rPr>
        <w:t xml:space="preserve">1</w:t>
      </w:r>
    </w:p>
    <w:p>
      <w:pPr>
        <w:pStyle w:val="FirstParagraph"/>
      </w:pPr>
      <w:r>
        <w:rPr>
          <w:vertAlign w:val="superscript"/>
        </w:rPr>
        <w:t xml:space="preserve">1</w:t>
      </w:r>
      <w:r>
        <w:t xml:space="preserve"> </w:t>
      </w:r>
      <w:r>
        <w:t xml:space="preserve">Department of Civil &amp; Environmental Engineering, University of Massachusetts, Amherst, MA</w:t>
      </w:r>
      <w:r>
        <w:br/>
      </w:r>
      <w:r>
        <w:rPr>
          <w:vertAlign w:val="superscript"/>
        </w:rPr>
        <w:t xml:space="preserve">2</w:t>
      </w:r>
      <w:r>
        <w:t xml:space="preserve"> </w:t>
      </w:r>
      <w:r>
        <w:t xml:space="preserve">Lamont-Doherty Earth Observatory, Columbia University, Palisades, NY</w:t>
      </w:r>
      <w:r>
        <w:br/>
      </w:r>
      <w:r>
        <w:rPr>
          <w:vertAlign w:val="superscript"/>
        </w:rPr>
        <w:t xml:space="preserve">3</w:t>
      </w:r>
      <w:r>
        <w:t xml:space="preserve"> </w:t>
      </w:r>
      <w:r>
        <w:t xml:space="preserve">School of the Environment, Yale University, New Haven, CT</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Craig B Brinkerhoff &lt;</w:t>
        </w:r>
        <w:hyperlink r:id="rId20">
          <w:r>
            <w:rPr>
              <w:rStyle w:val="Hyperlink"/>
            </w:rPr>
            <w:t xml:space="preserve">cbrinkerhoff@umass.edu</w:t>
          </w:r>
        </w:hyperlink>
        <w:r>
          <w:rPr>
            <w:rStyle w:val="Hyperlink"/>
          </w:rPr>
          <w:t xml:space="preserve">&gt;</w:t>
        </w:r>
      </w:hyperlink>
    </w:p>
    <w:bookmarkStart w:id="22" w:name="contents"/>
    <w:p>
      <w:pPr>
        <w:pStyle w:val="Heading2"/>
      </w:pPr>
      <w:r>
        <w:t xml:space="preserve">Contents</w:t>
      </w:r>
    </w:p>
    <w:p>
      <w:pPr>
        <w:pStyle w:val="FirstParagraph"/>
      </w:pPr>
      <w:r>
        <w:t xml:space="preserve">This supplementary information contains 4 texts, 1 figure and 3 tables. Please consult</w:t>
      </w:r>
      <w:r>
        <w:t xml:space="preserve"> </w:t>
      </w:r>
      <w:hyperlink r:id="rId21">
        <w:r>
          <w:rPr>
            <w:rStyle w:val="Hyperlink"/>
          </w:rPr>
          <w:t xml:space="preserve">https://github.com/craigbrinkerhoff/RSK600</w:t>
        </w:r>
      </w:hyperlink>
      <w:r>
        <w:t xml:space="preserve"> </w:t>
      </w:r>
      <w:r>
        <w:t xml:space="preserve">for all code to build and generate results, figures, and the manuscript.</w:t>
      </w:r>
    </w:p>
    <w:bookmarkEnd w:id="22"/>
    <w:bookmarkStart w:id="23" w:name="X51f23e3acda7e3eeae793dd457412806b305fa3"/>
    <w:p>
      <w:pPr>
        <w:pStyle w:val="Heading2"/>
      </w:pPr>
      <w:r>
        <w:t xml:space="preserve">Test S1: Estimating how many SWOT rivers are hydraulically wide</w:t>
      </w:r>
    </w:p>
    <w:p>
      <w:pPr>
        <w:pStyle w:val="FirstParagraph"/>
      </w:pPr>
      <w:r>
        <w:t xml:space="preserve">To quantify how frequently SWOT-observable rivers are also hydraulically wide river channels (section 3 of main text), we used the dataset of field-measured river hydraulics in</w:t>
      </w:r>
      <w:r>
        <w:t xml:space="preserve"> </w:t>
      </w:r>
      <w:r>
        <w:t xml:space="preserve">Brinkerhoff et al. (2019)</w:t>
      </w:r>
      <w:r>
        <w:t xml:space="preserve">. That dataset has over 500,000 discrete measurements of river width, velocity, area, and discharge that were made by the United States Geological Survey (USGS) to calibrate streamgauge rating curves. Here, we describe how this dataset was filtered down to 171,553 measurements and how we quantified what was</w:t>
      </w:r>
      <w:r>
        <w:t xml:space="preserve"> </w:t>
      </w:r>
      <w:r>
        <w:t xml:space="preserve">‘</w:t>
      </w:r>
      <w:r>
        <w:t xml:space="preserve">hydraulically wide.</w:t>
      </w:r>
      <w:r>
        <w:t xml:space="preserve">’</w:t>
      </w:r>
    </w:p>
    <w:p>
      <w:pPr>
        <w:pStyle w:val="BodyText"/>
      </w:pPr>
      <w:r>
        <w:t xml:space="preserve">First, we removed all measurements tagged by the USGS as</w:t>
      </w:r>
      <w:r>
        <w:t xml:space="preserve"> </w:t>
      </w:r>
      <w:r>
        <w:t xml:space="preserve">‘</w:t>
      </w:r>
      <w:r>
        <w:t xml:space="preserve">poor,</w:t>
      </w:r>
      <w:r>
        <w:t xml:space="preserve">’</w:t>
      </w:r>
      <w:r>
        <w:t xml:space="preserve"> </w:t>
      </w:r>
      <w:r>
        <w:t xml:space="preserve">measurements with impossible values, or measurements of 0. While this would indicate a dry channel, our hydraulic geometry model necessitates within-bank flow. Likewise, because hydraulic geometry only applies to within-bank flows and not flood events, we remove all overbank flows. This was done by first filtering for sites with at least 20 measurements (to build robust estimates of bankfull hydraulics) and then calculating bankfull width and depth as the width or depth with a return period of two years. While the only true way to calculate bankfull hydraulics is manually in the field, this is obviously impractical here. A two year return period is a standard approximation for determining out-of-bank flow in single-channel meandering rivers and was the method used by</w:t>
      </w:r>
      <w:r>
        <w:t xml:space="preserve"> </w:t>
      </w:r>
      <w:r>
        <w:t xml:space="preserve">Brinkerhoff et al. (2019)</w:t>
      </w:r>
      <w:r>
        <w:t xml:space="preserve">. We then removed all measurements with a width or depth beyond their respective at-a-station 2 year values.</w:t>
      </w:r>
    </w:p>
    <w:p>
      <w:pPr>
        <w:pStyle w:val="BodyText"/>
      </w:pPr>
      <w:r>
        <w:t xml:space="preserve">Finally, we filtered this dataset to only measurements at least 100m wide (</w:t>
      </w:r>
      <w:r>
        <w:t xml:space="preserve">‘</w:t>
      </w:r>
      <w:r>
        <w:t xml:space="preserve">SWOT-observable</w:t>
      </w:r>
      <w:r>
        <w:t xml:space="preserve">’</w:t>
      </w:r>
      <w:r>
        <w:t xml:space="preserve">). This left us with 22452 total river hydraulics measurements.</w:t>
      </w:r>
    </w:p>
    <w:bookmarkEnd w:id="23"/>
    <w:bookmarkStart w:id="24" w:name="text-s2-gas-exchange-model-derivations"/>
    <w:p>
      <w:pPr>
        <w:pStyle w:val="Heading2"/>
      </w:pPr>
      <w:r>
        <w:t xml:space="preserve">Text S2: Gas exchange model derivations</w:t>
      </w:r>
    </w:p>
    <w:p>
      <w:pPr>
        <w:pStyle w:val="FirstParagraph"/>
      </w:pPr>
      <w:r>
        <w:t xml:space="preserve">In this text we provide the full algebra to arrive at the four physically-based gas exchange models in the main text (equations 3-6). Equation 3 is derived via equations S1-S5. Equation 4 is derived via equations S6-S7. Equation 5 is derived via equations S8-S13. Equation 6 is derived via equations S14-S18. Consult Appendix A for all variable definitions. Note that</w:t>
      </w:r>
      <w:r>
        <w:t xml:space="preserve"> </w:t>
      </w:r>
      <m:oMath>
        <m:r>
          <m:t>α</m:t>
        </m:r>
      </m:oMath>
      <w:r>
        <w:t xml:space="preserve"> </w:t>
      </w:r>
      <w:r>
        <w:t xml:space="preserve">and</w:t>
      </w:r>
      <w:r>
        <w:t xml:space="preserve"> </w:t>
      </w:r>
      <m:oMath>
        <m:r>
          <m:t>β</m:t>
        </m:r>
      </m:oMath>
      <w:r>
        <w:t xml:space="preserve"> </w:t>
      </w:r>
      <w:r>
        <w:t xml:space="preserve">are statistical parameters obtained via least squares regression for the small-eddy and Reynolds models, respectively. Subscripts denote variants of the same parameter, depending on which</w:t>
      </w:r>
      <w:r>
        <w:t xml:space="preserve"> </w:t>
      </w:r>
      <m:oMath>
        <m:r>
          <m:t>ϵ</m:t>
        </m:r>
      </m:oMath>
      <w:r>
        <w:t xml:space="preserve"> </w:t>
      </w:r>
      <w:r>
        <w:t xml:space="preserve">model is employed.</w:t>
      </w:r>
    </w:p>
    <w:p>
      <w:pPr>
        <w:pStyle w:val="BodyText"/>
      </w:pPr>
      <w:r>
        <w:rPr>
          <w:bCs/>
          <w:b/>
        </w:rPr>
        <w:t xml:space="preserve">Small-eddy models</w:t>
      </w:r>
    </w:p>
    <w:p>
      <w:pPr>
        <w:pStyle w:val="BodyText"/>
      </w:pPr>
      <w:r>
        <w:rPr>
          <w:iCs/>
          <w:i/>
        </w:rPr>
        <w:t xml:space="preserve">log-law-of-the-wall dissipation</w:t>
      </w:r>
    </w:p>
    <w:p>
      <w:pPr>
        <w:pStyle w:val="BodyText"/>
      </w:pPr>
      <m:oMathPara>
        <m:oMathParaPr>
          <m:jc m:val="center"/>
        </m:oMathParaPr>
        <m:oMath>
          <m:sSub>
            <m:e>
              <m:r>
                <m:t>k</m:t>
              </m:r>
            </m:e>
            <m:sub>
              <m:r>
                <m:t>600</m:t>
              </m:r>
            </m:sub>
          </m:sSub>
          <m:r>
            <m:rPr>
              <m:sty m:val="p"/>
            </m:rPr>
            <m:t>=</m:t>
          </m:r>
          <m:r>
            <m:t>α</m:t>
          </m:r>
          <m:sSup>
            <m:e>
              <m:d>
                <m:dPr>
                  <m:begChr m:val="("/>
                  <m:endChr m:val=")"/>
                  <m:sepChr m:val=""/>
                  <m:grow/>
                </m:dPr>
                <m:e>
                  <m:sSub>
                    <m:e>
                      <m:r>
                        <m:t>ϵ</m:t>
                      </m:r>
                    </m:e>
                    <m:sub>
                      <m:r>
                        <m:t>S</m:t>
                      </m:r>
                    </m:sub>
                  </m:sSub>
                </m:e>
              </m:d>
            </m:e>
            <m:sup>
              <m:r>
                <m:t>1</m:t>
              </m:r>
              <m:r>
                <m:rPr>
                  <m:sty m:val="p"/>
                </m:rPr>
                <m:t>/</m:t>
              </m:r>
              <m:r>
                <m:t>4</m:t>
              </m:r>
            </m:sup>
          </m:sSup>
          <m:d>
            <m:dPr>
              <m:begChr m:val="("/>
              <m:endChr m:val=")"/>
              <m:sepChr m:val=""/>
              <m:grow/>
            </m:dPr>
            <m:e>
              <m:r>
                <m:rPr>
                  <m:sty m:val="b"/>
                </m:rPr>
                <m:t>S</m:t>
              </m:r>
              <m:r>
                <m:rPr>
                  <m:sty m:val="b"/>
                </m:rPr>
                <m:t>1</m:t>
              </m:r>
            </m:e>
          </m:d>
        </m:oMath>
      </m:oMathPara>
    </w:p>
    <w:p>
      <w:pPr>
        <w:pStyle w:val="FirstParagraph"/>
      </w:pPr>
      <m:oMathPara>
        <m:oMathParaPr>
          <m:jc m:val="center"/>
        </m:oMathParaPr>
        <m:oMath>
          <m:sSub>
            <m:e>
              <m:r>
                <m:t>k</m:t>
              </m:r>
            </m:e>
            <m:sub>
              <m:r>
                <m:t>600</m:t>
              </m:r>
            </m:sub>
          </m:sSub>
          <m:r>
            <m:rPr>
              <m:sty m:val="p"/>
            </m:rPr>
            <m:t>=</m:t>
          </m:r>
          <m:r>
            <m:t>α</m:t>
          </m:r>
          <m:sSup>
            <m:e>
              <m:d>
                <m:dPr>
                  <m:begChr m:val="("/>
                  <m:endChr m:val=")"/>
                  <m:sepChr m:val=""/>
                  <m:grow/>
                </m:dPr>
                <m:e>
                  <m:f>
                    <m:fPr>
                      <m:type m:val="bar"/>
                    </m:fPr>
                    <m:num>
                      <m:sSubSup>
                        <m:e>
                          <m:r>
                            <m:t>U</m:t>
                          </m:r>
                        </m:e>
                        <m:sub>
                          <m:r>
                            <m:rPr>
                              <m:sty m:val="p"/>
                            </m:rPr>
                            <m:t>*</m:t>
                          </m:r>
                        </m:sub>
                        <m:sup>
                          <m:r>
                            <m:t>3</m:t>
                          </m:r>
                        </m:sup>
                      </m:sSubSup>
                    </m:num>
                    <m:den>
                      <m:r>
                        <m:t>H</m:t>
                      </m:r>
                    </m:den>
                  </m:f>
                </m:e>
              </m:d>
            </m:e>
            <m:sup>
              <m:r>
                <m:t>1</m:t>
              </m:r>
              <m:r>
                <m:rPr>
                  <m:sty m:val="p"/>
                </m:rPr>
                <m:t>/</m:t>
              </m:r>
              <m:r>
                <m:t>4</m:t>
              </m:r>
            </m:sup>
          </m:sSup>
          <m:d>
            <m:dPr>
              <m:begChr m:val="("/>
              <m:endChr m:val=")"/>
              <m:sepChr m:val=""/>
              <m:grow/>
            </m:dPr>
            <m:e>
              <m:r>
                <m:rPr>
                  <m:sty m:val="b"/>
                </m:rPr>
                <m:t>S</m:t>
              </m:r>
              <m:r>
                <m:rPr>
                  <m:sty m:val="b"/>
                </m:rPr>
                <m:t>2</m:t>
              </m:r>
            </m:e>
          </m:d>
        </m:oMath>
      </m:oMathPara>
    </w:p>
    <w:p>
      <w:pPr>
        <w:pStyle w:val="FirstParagraph"/>
      </w:pPr>
      <m:oMathPara>
        <m:oMathParaPr>
          <m:jc m:val="center"/>
        </m:oMathParaPr>
        <m:oMath>
          <m:sSub>
            <m:e>
              <m:r>
                <m:t>k</m:t>
              </m:r>
            </m:e>
            <m:sub>
              <m:r>
                <m:t>600</m:t>
              </m:r>
            </m:sub>
          </m:sSub>
          <m:r>
            <m:rPr>
              <m:sty m:val="p"/>
            </m:rPr>
            <m:t>=</m:t>
          </m:r>
          <m:r>
            <m:t>α</m:t>
          </m:r>
          <m:sSup>
            <m:e>
              <m:d>
                <m:dPr>
                  <m:begChr m:val="("/>
                  <m:endChr m:val=")"/>
                  <m:sepChr m:val=""/>
                  <m:grow/>
                </m:dPr>
                <m:e>
                  <m:f>
                    <m:fPr>
                      <m:type m:val="bar"/>
                    </m:fPr>
                    <m:num>
                      <m:sSup>
                        <m:e>
                          <m:rad>
                            <m:radPr>
                              <m:degHide m:val="1"/>
                            </m:radPr>
                            <m:deg/>
                            <m:e>
                              <m:r>
                                <m:t>g</m:t>
                              </m:r>
                              <m:sSub>
                                <m:e>
                                  <m:r>
                                    <m:t>R</m:t>
                                  </m:r>
                                </m:e>
                                <m:sub>
                                  <m:r>
                                    <m:t>h</m:t>
                                  </m:r>
                                </m:sub>
                              </m:sSub>
                              <m:r>
                                <m:t>S</m:t>
                              </m:r>
                            </m:e>
                          </m:rad>
                        </m:e>
                        <m:sup>
                          <m:r>
                            <m:t>3</m:t>
                          </m:r>
                        </m:sup>
                      </m:sSup>
                    </m:num>
                    <m:den>
                      <m:r>
                        <m:t>H</m:t>
                      </m:r>
                    </m:den>
                  </m:f>
                </m:e>
              </m:d>
            </m:e>
            <m:sup>
              <m:r>
                <m:t>1</m:t>
              </m:r>
              <m:r>
                <m:rPr>
                  <m:sty m:val="p"/>
                </m:rPr>
                <m:t>/</m:t>
              </m:r>
              <m:r>
                <m:t>4</m:t>
              </m:r>
            </m:sup>
          </m:sSup>
          <m:d>
            <m:dPr>
              <m:begChr m:val="("/>
              <m:endChr m:val=")"/>
              <m:sepChr m:val=""/>
              <m:grow/>
            </m:dPr>
            <m:e>
              <m:r>
                <m:rPr>
                  <m:sty m:val="b"/>
                </m:rPr>
                <m:t>S</m:t>
              </m:r>
              <m:r>
                <m:rPr>
                  <m:sty m:val="b"/>
                </m:rPr>
                <m:t>3</m:t>
              </m:r>
            </m:e>
          </m:d>
        </m:oMath>
      </m:oMathPara>
    </w:p>
    <w:p>
      <w:pPr>
        <w:pStyle w:val="FirstParagraph"/>
      </w:pPr>
      <m:oMathPara>
        <m:oMathParaPr>
          <m:jc m:val="center"/>
        </m:oMathParaPr>
        <m:oMath>
          <m:sSub>
            <m:e>
              <m:r>
                <m:t>k</m:t>
              </m:r>
            </m:e>
            <m:sub>
              <m:r>
                <m:t>600</m:t>
              </m:r>
            </m:sub>
          </m:sSub>
          <m:r>
            <m:rPr>
              <m:sty m:val="p"/>
            </m:rPr>
            <m:t>=</m:t>
          </m:r>
          <m:r>
            <m:t>α</m:t>
          </m:r>
          <m:sSup>
            <m:e>
              <m:d>
                <m:dPr>
                  <m:begChr m:val="("/>
                  <m:endChr m:val=")"/>
                  <m:sepChr m:val=""/>
                  <m:grow/>
                </m:dPr>
                <m:e>
                  <m:f>
                    <m:fPr>
                      <m:type m:val="bar"/>
                    </m:fPr>
                    <m:num>
                      <m:sSup>
                        <m:e>
                          <m:d>
                            <m:dPr>
                              <m:begChr m:val="("/>
                              <m:endChr m:val=")"/>
                              <m:sepChr m:val=""/>
                              <m:grow/>
                            </m:dPr>
                            <m:e>
                              <m:r>
                                <m:t>g</m:t>
                              </m:r>
                              <m:r>
                                <m:t>H</m:t>
                              </m:r>
                              <m:r>
                                <m:t>S</m:t>
                              </m:r>
                            </m:e>
                          </m:d>
                        </m:e>
                        <m:sup>
                          <m:r>
                            <m:t>3</m:t>
                          </m:r>
                          <m:r>
                            <m:rPr>
                              <m:sty m:val="p"/>
                            </m:rPr>
                            <m:t>/</m:t>
                          </m:r>
                          <m:r>
                            <m:t>2</m:t>
                          </m:r>
                        </m:sup>
                      </m:sSup>
                    </m:num>
                    <m:den>
                      <m:r>
                        <m:t>H</m:t>
                      </m:r>
                    </m:den>
                  </m:f>
                </m:e>
              </m:d>
            </m:e>
            <m:sup>
              <m:r>
                <m:t>1</m:t>
              </m:r>
              <m:r>
                <m:rPr>
                  <m:sty m:val="p"/>
                </m:rPr>
                <m:t>/</m:t>
              </m:r>
              <m:r>
                <m:t>4</m:t>
              </m:r>
            </m:sup>
          </m:sSup>
          <m:d>
            <m:dPr>
              <m:begChr m:val="("/>
              <m:endChr m:val=")"/>
              <m:sepChr m:val=""/>
              <m:grow/>
            </m:dPr>
            <m:e>
              <m:r>
                <m:rPr>
                  <m:sty m:val="b"/>
                </m:rPr>
                <m:t>S</m:t>
              </m:r>
              <m:r>
                <m:rPr>
                  <m:sty m:val="b"/>
                </m:rPr>
                <m:t>4</m:t>
              </m:r>
            </m:e>
          </m:d>
        </m:oMath>
      </m:oMathPara>
    </w:p>
    <w:p>
      <w:pPr>
        <w:pStyle w:val="FirstParagraph"/>
      </w:pPr>
      <m:oMathPara>
        <m:oMathParaPr>
          <m:jc m:val="center"/>
        </m:oMathParaPr>
        <m:oMath>
          <m:sSub>
            <m:e>
              <m:r>
                <m:t>k</m:t>
              </m:r>
            </m:e>
            <m:sub>
              <m:r>
                <m:t>600</m:t>
              </m:r>
            </m:sub>
          </m:sSub>
          <m:r>
            <m:rPr>
              <m:sty m:val="p"/>
            </m:rPr>
            <m:t>=</m:t>
          </m:r>
          <m:r>
            <m:t>α</m:t>
          </m:r>
          <m:sSup>
            <m:e>
              <m:d>
                <m:dPr>
                  <m:begChr m:val="("/>
                  <m:endChr m:val=")"/>
                  <m:sepChr m:val=""/>
                  <m:grow/>
                </m:dPr>
                <m:e>
                  <m:r>
                    <m:t>g</m:t>
                  </m:r>
                  <m:r>
                    <m:t>S</m:t>
                  </m:r>
                </m:e>
              </m:d>
            </m:e>
            <m:sup>
              <m:r>
                <m:t>3</m:t>
              </m:r>
              <m:r>
                <m:rPr>
                  <m:sty m:val="p"/>
                </m:rPr>
                <m:t>/</m:t>
              </m:r>
              <m:r>
                <m:t>8</m:t>
              </m:r>
            </m:sup>
          </m:sSup>
          <m:sSup>
            <m:e>
              <m:r>
                <m:t>H</m:t>
              </m:r>
            </m:e>
            <m:sup>
              <m:r>
                <m:t>1</m:t>
              </m:r>
              <m:r>
                <m:rPr>
                  <m:sty m:val="p"/>
                </m:rPr>
                <m:t>/</m:t>
              </m:r>
              <m:r>
                <m:t>8</m:t>
              </m:r>
            </m:sup>
          </m:sSup>
          <m:d>
            <m:dPr>
              <m:begChr m:val="("/>
              <m:endChr m:val=")"/>
              <m:sepChr m:val=""/>
              <m:grow/>
            </m:dPr>
            <m:e>
              <m:r>
                <m:rPr>
                  <m:sty m:val="b"/>
                </m:rPr>
                <m:t>S</m:t>
              </m:r>
              <m:r>
                <m:rPr>
                  <m:sty m:val="b"/>
                </m:rPr>
                <m:t>5</m:t>
              </m:r>
            </m:e>
          </m:d>
        </m:oMath>
      </m:oMathPara>
    </w:p>
    <w:p>
      <w:pPr>
        <w:pStyle w:val="FirstParagraph"/>
      </w:pPr>
      <w:r>
        <w:rPr>
          <w:iCs/>
          <w:i/>
        </w:rPr>
        <w:t xml:space="preserve">form-drag dissipation</w:t>
      </w:r>
    </w:p>
    <w:p>
      <w:pPr>
        <w:pStyle w:val="BodyText"/>
      </w:pPr>
      <m:oMathPara>
        <m:oMathParaPr>
          <m:jc m:val="center"/>
        </m:oMathParaPr>
        <m:oMath>
          <m:sSub>
            <m:e>
              <m:r>
                <m:t>k</m:t>
              </m:r>
            </m:e>
            <m:sub>
              <m:r>
                <m:t>600</m:t>
              </m:r>
            </m:sub>
          </m:sSub>
          <m:r>
            <m:rPr>
              <m:sty m:val="p"/>
            </m:rPr>
            <m:t>=</m:t>
          </m:r>
          <m:sSub>
            <m:e>
              <m:r>
                <m:t>α</m:t>
              </m:r>
            </m:e>
            <m:sub>
              <m:r>
                <m:t>1</m:t>
              </m:r>
            </m:sub>
          </m:sSub>
          <m:sSup>
            <m:e>
              <m:d>
                <m:dPr>
                  <m:begChr m:val="("/>
                  <m:endChr m:val=")"/>
                  <m:sepChr m:val=""/>
                  <m:grow/>
                </m:dPr>
                <m:e>
                  <m:sSub>
                    <m:e>
                      <m:r>
                        <m:t>ϵ</m:t>
                      </m:r>
                    </m:e>
                    <m:sub>
                      <m:r>
                        <m:t>D</m:t>
                      </m:r>
                    </m:sub>
                  </m:sSub>
                </m:e>
              </m:d>
            </m:e>
            <m:sup>
              <m:r>
                <m:t>1</m:t>
              </m:r>
              <m:r>
                <m:rPr>
                  <m:sty m:val="p"/>
                </m:rPr>
                <m:t>/</m:t>
              </m:r>
              <m:r>
                <m:t>4</m:t>
              </m:r>
            </m:sup>
          </m:sSup>
          <m:d>
            <m:dPr>
              <m:begChr m:val="("/>
              <m:endChr m:val=")"/>
              <m:sepChr m:val=""/>
              <m:grow/>
            </m:dPr>
            <m:e>
              <m:r>
                <m:rPr>
                  <m:sty m:val="b"/>
                </m:rPr>
                <m:t>S</m:t>
              </m:r>
              <m:r>
                <m:rPr>
                  <m:sty m:val="b"/>
                </m:rPr>
                <m:t>6</m:t>
              </m:r>
            </m:e>
          </m:d>
        </m:oMath>
      </m:oMathPara>
    </w:p>
    <w:p>
      <w:pPr>
        <w:pStyle w:val="FirstParagraph"/>
      </w:pPr>
      <m:oMathPara>
        <m:oMathParaPr>
          <m:jc m:val="center"/>
        </m:oMathParaPr>
        <m:oMath>
          <m:sSub>
            <m:e>
              <m:r>
                <m:t>k</m:t>
              </m:r>
            </m:e>
            <m:sub>
              <m:r>
                <m:t>600</m:t>
              </m:r>
            </m:sub>
          </m:sSub>
          <m:r>
            <m:rPr>
              <m:sty m:val="p"/>
            </m:rPr>
            <m:t>=</m:t>
          </m:r>
          <m:sSub>
            <m:e>
              <m:r>
                <m:t>α</m:t>
              </m:r>
            </m:e>
            <m:sub>
              <m:r>
                <m:t>1</m:t>
              </m:r>
            </m:sub>
          </m:sSub>
          <m:sSup>
            <m:e>
              <m:d>
                <m:dPr>
                  <m:begChr m:val="("/>
                  <m:endChr m:val=")"/>
                  <m:sepChr m:val=""/>
                  <m:grow/>
                </m:dPr>
                <m:e>
                  <m:r>
                    <m:t>g</m:t>
                  </m:r>
                  <m:r>
                    <m:t>S</m:t>
                  </m:r>
                  <m:acc>
                    <m:accPr>
                      <m:chr m:val="‾"/>
                    </m:accPr>
                    <m:e>
                      <m:r>
                        <m:t>U</m:t>
                      </m:r>
                    </m:e>
                  </m:acc>
                </m:e>
              </m:d>
            </m:e>
            <m:sup>
              <m:r>
                <m:t>1</m:t>
              </m:r>
              <m:r>
                <m:rPr>
                  <m:sty m:val="p"/>
                </m:rPr>
                <m:t>/</m:t>
              </m:r>
              <m:r>
                <m:t>4</m:t>
              </m:r>
            </m:sup>
          </m:sSup>
          <m:d>
            <m:dPr>
              <m:begChr m:val="("/>
              <m:endChr m:val=")"/>
              <m:sepChr m:val=""/>
              <m:grow/>
            </m:dPr>
            <m:e>
              <m:r>
                <m:rPr>
                  <m:sty m:val="b"/>
                </m:rPr>
                <m:t>S</m:t>
              </m:r>
              <m:r>
                <m:rPr>
                  <m:sty m:val="b"/>
                </m:rPr>
                <m:t>7</m:t>
              </m:r>
            </m:e>
          </m:d>
        </m:oMath>
      </m:oMathPara>
    </w:p>
    <w:p>
      <w:pPr>
        <w:pStyle w:val="FirstParagraph"/>
      </w:pPr>
      <w:r>
        <w:rPr>
          <w:bCs/>
          <w:b/>
        </w:rPr>
        <w:t xml:space="preserve">Reynolds extension models</w:t>
      </w:r>
    </w:p>
    <w:p>
      <w:pPr>
        <w:pStyle w:val="BodyText"/>
      </w:pPr>
      <w:r>
        <w:rPr>
          <w:iCs/>
          <w:i/>
        </w:rPr>
        <w:t xml:space="preserve">log-law-of-the-wall dissipation</w:t>
      </w:r>
    </w:p>
    <w:p>
      <w:pPr>
        <w:pStyle w:val="BodyText"/>
      </w:pPr>
      <m:oMathPara>
        <m:oMathParaPr>
          <m:jc m:val="center"/>
        </m:oMathParaPr>
        <m:oMath>
          <m:sSub>
            <m:e>
              <m:r>
                <m:t>k</m:t>
              </m:r>
            </m:e>
            <m:sub>
              <m:r>
                <m:t>600</m:t>
              </m:r>
            </m:sub>
          </m:sSub>
          <m:r>
            <m:rPr>
              <m:sty m:val="p"/>
            </m:rPr>
            <m:t>=</m:t>
          </m:r>
          <m:sSub>
            <m:e>
              <m:r>
                <m:t>β</m:t>
              </m:r>
            </m:e>
            <m:sub>
              <m:r>
                <m:t>0</m:t>
              </m:r>
            </m:sub>
          </m:sSub>
          <m:sSup>
            <m:e>
              <m:d>
                <m:dPr>
                  <m:begChr m:val="("/>
                  <m:endChr m:val=")"/>
                  <m:sepChr m:val=""/>
                  <m:grow/>
                </m:dPr>
                <m:e>
                  <m:sSub>
                    <m:e>
                      <m:r>
                        <m:t>ϵ</m:t>
                      </m:r>
                    </m:e>
                    <m:sub>
                      <m:r>
                        <m:t>S</m:t>
                      </m:r>
                    </m:sub>
                  </m:sSub>
                </m:e>
              </m:d>
            </m:e>
            <m:sup>
              <m:r>
                <m:t>1</m:t>
              </m:r>
              <m:r>
                <m:rPr>
                  <m:sty m:val="p"/>
                </m:rPr>
                <m:t>/</m:t>
              </m:r>
              <m:r>
                <m:t>4</m:t>
              </m:r>
            </m:sup>
          </m:sSup>
          <m:sSubSup>
            <m:e>
              <m:r>
                <m:t>A</m:t>
              </m:r>
            </m:e>
            <m:sub>
              <m:r>
                <m:t>p</m:t>
              </m:r>
            </m:sub>
            <m:sup>
              <m:r>
                <m:t>3</m:t>
              </m:r>
              <m:r>
                <m:rPr>
                  <m:sty m:val="p"/>
                </m:rPr>
                <m:t>/</m:t>
              </m:r>
              <m:r>
                <m:t>4</m:t>
              </m:r>
            </m:sup>
          </m:sSubSup>
          <m:d>
            <m:dPr>
              <m:begChr m:val="("/>
              <m:endChr m:val=")"/>
              <m:sepChr m:val=""/>
              <m:grow/>
            </m:dPr>
            <m:e>
              <m:r>
                <m:rPr>
                  <m:sty m:val="b"/>
                </m:rPr>
                <m:t>S</m:t>
              </m:r>
              <m:r>
                <m:rPr>
                  <m:sty m:val="b"/>
                </m:rPr>
                <m:t>8</m:t>
              </m:r>
            </m:e>
          </m:d>
        </m:oMath>
      </m:oMathPara>
    </w:p>
    <w:p>
      <w:pPr>
        <w:pStyle w:val="FirstParagraph"/>
      </w:pPr>
      <m:oMathPara>
        <m:oMathParaPr>
          <m:jc m:val="center"/>
        </m:oMathParaPr>
        <m:oMath>
          <m:sSub>
            <m:e>
              <m:r>
                <m:t>k</m:t>
              </m:r>
            </m:e>
            <m:sub>
              <m:r>
                <m:t>600</m:t>
              </m:r>
            </m:sub>
          </m:sSub>
          <m:r>
            <m:rPr>
              <m:sty m:val="p"/>
            </m:rPr>
            <m:t>=</m:t>
          </m:r>
          <m:r>
            <m:t>β</m:t>
          </m:r>
          <m:sSup>
            <m:e>
              <m:d>
                <m:dPr>
                  <m:begChr m:val="("/>
                  <m:endChr m:val=")"/>
                  <m:sepChr m:val=""/>
                  <m:grow/>
                </m:dPr>
                <m:e>
                  <m:f>
                    <m:fPr>
                      <m:type m:val="bar"/>
                    </m:fPr>
                    <m:num>
                      <m:sSubSup>
                        <m:e>
                          <m:r>
                            <m:t>U</m:t>
                          </m:r>
                        </m:e>
                        <m:sub>
                          <m:r>
                            <m:rPr>
                              <m:sty m:val="p"/>
                            </m:rPr>
                            <m:t>*</m:t>
                          </m:r>
                        </m:sub>
                        <m:sup>
                          <m:r>
                            <m:t>3</m:t>
                          </m:r>
                        </m:sup>
                      </m:sSubSup>
                    </m:num>
                    <m:den>
                      <m:r>
                        <m:t>H</m:t>
                      </m:r>
                    </m:den>
                  </m:f>
                </m:e>
              </m:d>
            </m:e>
            <m:sup>
              <m:r>
                <m:t>1</m:t>
              </m:r>
              <m:r>
                <m:rPr>
                  <m:sty m:val="p"/>
                </m:rPr>
                <m:t>/</m:t>
              </m:r>
              <m:r>
                <m:t>4</m:t>
              </m:r>
            </m:sup>
          </m:sSup>
          <m:sSup>
            <m:e>
              <m:d>
                <m:dPr>
                  <m:begChr m:val="("/>
                  <m:endChr m:val=")"/>
                  <m:sepChr m:val=""/>
                  <m:grow/>
                </m:dPr>
                <m:e>
                  <m:sSup>
                    <m:e>
                      <m:d>
                        <m:dPr>
                          <m:begChr m:val="("/>
                          <m:endChr m:val=")"/>
                          <m:sepChr m:val=""/>
                          <m:grow/>
                        </m:dPr>
                        <m:e>
                          <m:sSub>
                            <m:e>
                              <m:r>
                                <m:t>U</m:t>
                              </m:r>
                            </m:e>
                            <m:sub>
                              <m:r>
                                <m:rPr>
                                  <m:sty m:val="p"/>
                                </m:rPr>
                                <m:t>*</m:t>
                              </m:r>
                            </m:sub>
                          </m:sSub>
                          <m:r>
                            <m:t>H</m:t>
                          </m:r>
                        </m:e>
                      </m:d>
                    </m:e>
                    <m:sup>
                      <m:r>
                        <m:t>1</m:t>
                      </m:r>
                      <m:r>
                        <m:rPr>
                          <m:sty m:val="p"/>
                        </m:rPr>
                        <m:t>/</m:t>
                      </m:r>
                      <m:r>
                        <m:t>2</m:t>
                      </m:r>
                    </m:sup>
                  </m:sSup>
                </m:e>
              </m:d>
            </m:e>
            <m:sup>
              <m:r>
                <m:t>3</m:t>
              </m:r>
              <m:r>
                <m:rPr>
                  <m:sty m:val="p"/>
                </m:rPr>
                <m:t>/</m:t>
              </m:r>
              <m:r>
                <m:t>4</m:t>
              </m:r>
            </m:sup>
          </m:sSup>
          <m:d>
            <m:dPr>
              <m:begChr m:val="("/>
              <m:endChr m:val=")"/>
              <m:sepChr m:val=""/>
              <m:grow/>
            </m:dPr>
            <m:e>
              <m:r>
                <m:rPr>
                  <m:sty m:val="b"/>
                </m:rPr>
                <m:t>S</m:t>
              </m:r>
              <m:r>
                <m:rPr>
                  <m:sty m:val="b"/>
                </m:rPr>
                <m:t>9</m:t>
              </m:r>
            </m:e>
          </m:d>
        </m:oMath>
      </m:oMathPara>
    </w:p>
    <w:p>
      <w:pPr>
        <w:pStyle w:val="FirstParagraph"/>
      </w:pPr>
      <m:oMathPara>
        <m:oMathParaPr>
          <m:jc m:val="center"/>
        </m:oMathParaPr>
        <m:oMath>
          <m:sSub>
            <m:e>
              <m:r>
                <m:t>k</m:t>
              </m:r>
            </m:e>
            <m:sub>
              <m:r>
                <m:t>600</m:t>
              </m:r>
            </m:sub>
          </m:sSub>
          <m:r>
            <m:rPr>
              <m:sty m:val="p"/>
            </m:rPr>
            <m:t>=</m:t>
          </m:r>
          <m:r>
            <m:t>β</m:t>
          </m:r>
          <m:sSubSup>
            <m:e>
              <m:r>
                <m:t>U</m:t>
              </m:r>
            </m:e>
            <m:sub>
              <m:r>
                <m:rPr>
                  <m:sty m:val="p"/>
                </m:rPr>
                <m:t>*</m:t>
              </m:r>
            </m:sub>
            <m:sup>
              <m:r>
                <m:t>9</m:t>
              </m:r>
              <m:r>
                <m:rPr>
                  <m:sty m:val="p"/>
                </m:rPr>
                <m:t>/</m:t>
              </m:r>
              <m:r>
                <m:t>8</m:t>
              </m:r>
            </m:sup>
          </m:sSubSup>
          <m:sSup>
            <m:e>
              <m:r>
                <m:t>H</m:t>
              </m:r>
            </m:e>
            <m:sup>
              <m:r>
                <m:t>1</m:t>
              </m:r>
              <m:r>
                <m:rPr>
                  <m:sty m:val="p"/>
                </m:rPr>
                <m:t>/</m:t>
              </m:r>
              <m:r>
                <m:t>8</m:t>
              </m:r>
            </m:sup>
          </m:sSup>
          <m:d>
            <m:dPr>
              <m:begChr m:val="("/>
              <m:endChr m:val=")"/>
              <m:sepChr m:val=""/>
              <m:grow/>
            </m:dPr>
            <m:e>
              <m:r>
                <m:rPr>
                  <m:sty m:val="b"/>
                </m:rPr>
                <m:t>S</m:t>
              </m:r>
              <m:r>
                <m:rPr>
                  <m:sty m:val="b"/>
                </m:rPr>
                <m:t>10</m:t>
              </m:r>
            </m:e>
          </m:d>
        </m:oMath>
      </m:oMathPara>
    </w:p>
    <w:p>
      <w:pPr>
        <w:pStyle w:val="FirstParagraph"/>
      </w:pPr>
      <m:oMathPara>
        <m:oMathParaPr>
          <m:jc m:val="center"/>
        </m:oMathParaPr>
        <m:oMath>
          <m:sSub>
            <m:e>
              <m:r>
                <m:t>k</m:t>
              </m:r>
            </m:e>
            <m:sub>
              <m:r>
                <m:t>600</m:t>
              </m:r>
            </m:sub>
          </m:sSub>
          <m:r>
            <m:rPr>
              <m:sty m:val="p"/>
            </m:rPr>
            <m:t>=</m:t>
          </m:r>
          <m:r>
            <m:t>β</m:t>
          </m:r>
          <m:sSup>
            <m:e>
              <m:d>
                <m:dPr>
                  <m:begChr m:val="("/>
                  <m:endChr m:val=")"/>
                  <m:sepChr m:val=""/>
                  <m:grow/>
                </m:dPr>
                <m:e>
                  <m:r>
                    <m:t>g</m:t>
                  </m:r>
                  <m:sSub>
                    <m:e>
                      <m:r>
                        <m:t>R</m:t>
                      </m:r>
                    </m:e>
                    <m:sub>
                      <m:r>
                        <m:t>h</m:t>
                      </m:r>
                    </m:sub>
                  </m:sSub>
                  <m:r>
                    <m:t>S</m:t>
                  </m:r>
                </m:e>
              </m:d>
            </m:e>
            <m:sup>
              <m:r>
                <m:t>9</m:t>
              </m:r>
              <m:r>
                <m:rPr>
                  <m:sty m:val="p"/>
                </m:rPr>
                <m:t>/</m:t>
              </m:r>
              <m:r>
                <m:t>16</m:t>
              </m:r>
            </m:sup>
          </m:sSup>
          <m:sSup>
            <m:e>
              <m:r>
                <m:t>H</m:t>
              </m:r>
            </m:e>
            <m:sup>
              <m:r>
                <m:t>1</m:t>
              </m:r>
              <m:r>
                <m:rPr>
                  <m:sty m:val="p"/>
                </m:rPr>
                <m:t>/</m:t>
              </m:r>
              <m:r>
                <m:t>8</m:t>
              </m:r>
            </m:sup>
          </m:sSup>
          <m:d>
            <m:dPr>
              <m:begChr m:val="("/>
              <m:endChr m:val=")"/>
              <m:sepChr m:val=""/>
              <m:grow/>
            </m:dPr>
            <m:e>
              <m:r>
                <m:rPr>
                  <m:sty m:val="b"/>
                </m:rPr>
                <m:t>S</m:t>
              </m:r>
              <m:r>
                <m:rPr>
                  <m:sty m:val="b"/>
                </m:rPr>
                <m:t>11</m:t>
              </m:r>
            </m:e>
          </m:d>
        </m:oMath>
      </m:oMathPara>
    </w:p>
    <w:p>
      <w:pPr>
        <w:pStyle w:val="FirstParagraph"/>
      </w:pPr>
      <m:oMathPara>
        <m:oMathParaPr>
          <m:jc m:val="center"/>
        </m:oMathParaPr>
        <m:oMath>
          <m:sSub>
            <m:e>
              <m:r>
                <m:t>k</m:t>
              </m:r>
            </m:e>
            <m:sub>
              <m:r>
                <m:t>600</m:t>
              </m:r>
            </m:sub>
          </m:sSub>
          <m:r>
            <m:rPr>
              <m:sty m:val="p"/>
            </m:rPr>
            <m:t>=</m:t>
          </m:r>
          <m:r>
            <m:t>β</m:t>
          </m:r>
          <m:sSup>
            <m:e>
              <m:d>
                <m:dPr>
                  <m:begChr m:val="("/>
                  <m:endChr m:val=")"/>
                  <m:sepChr m:val=""/>
                  <m:grow/>
                </m:dPr>
                <m:e>
                  <m:r>
                    <m:t>g</m:t>
                  </m:r>
                  <m:r>
                    <m:t>H</m:t>
                  </m:r>
                  <m:r>
                    <m:t>S</m:t>
                  </m:r>
                </m:e>
              </m:d>
            </m:e>
            <m:sup>
              <m:r>
                <m:t>9</m:t>
              </m:r>
              <m:r>
                <m:rPr>
                  <m:sty m:val="p"/>
                </m:rPr>
                <m:t>/</m:t>
              </m:r>
              <m:r>
                <m:t>16</m:t>
              </m:r>
            </m:sup>
          </m:sSup>
          <m:sSup>
            <m:e>
              <m:r>
                <m:t>H</m:t>
              </m:r>
            </m:e>
            <m:sup>
              <m:r>
                <m:t>1</m:t>
              </m:r>
              <m:r>
                <m:rPr>
                  <m:sty m:val="p"/>
                </m:rPr>
                <m:t>/</m:t>
              </m:r>
              <m:r>
                <m:t>8</m:t>
              </m:r>
            </m:sup>
          </m:sSup>
          <m:d>
            <m:dPr>
              <m:begChr m:val="("/>
              <m:endChr m:val=")"/>
              <m:sepChr m:val=""/>
              <m:grow/>
            </m:dPr>
            <m:e>
              <m:r>
                <m:rPr>
                  <m:sty m:val="b"/>
                </m:rPr>
                <m:t>S</m:t>
              </m:r>
              <m:r>
                <m:rPr>
                  <m:sty m:val="b"/>
                </m:rPr>
                <m:t>12</m:t>
              </m:r>
            </m:e>
          </m:d>
        </m:oMath>
      </m:oMathPara>
    </w:p>
    <w:p>
      <w:pPr>
        <w:pStyle w:val="FirstParagraph"/>
      </w:pPr>
      <m:oMathPara>
        <m:oMathParaPr>
          <m:jc m:val="center"/>
        </m:oMathParaPr>
        <m:oMath>
          <m:sSub>
            <m:e>
              <m:r>
                <m:t>k</m:t>
              </m:r>
            </m:e>
            <m:sub>
              <m:r>
                <m:t>600</m:t>
              </m:r>
            </m:sub>
          </m:sSub>
          <m:r>
            <m:rPr>
              <m:sty m:val="p"/>
            </m:rPr>
            <m:t>=</m:t>
          </m:r>
          <m:r>
            <m:t>β</m:t>
          </m:r>
          <m:sSup>
            <m:e>
              <m:d>
                <m:dPr>
                  <m:begChr m:val="("/>
                  <m:endChr m:val=")"/>
                  <m:sepChr m:val=""/>
                  <m:grow/>
                </m:dPr>
                <m:e>
                  <m:r>
                    <m:t>g</m:t>
                  </m:r>
                  <m:r>
                    <m:t>S</m:t>
                  </m:r>
                </m:e>
              </m:d>
            </m:e>
            <m:sup>
              <m:r>
                <m:t>9</m:t>
              </m:r>
              <m:r>
                <m:rPr>
                  <m:sty m:val="p"/>
                </m:rPr>
                <m:t>/</m:t>
              </m:r>
              <m:r>
                <m:t>16</m:t>
              </m:r>
            </m:sup>
          </m:sSup>
          <m:sSup>
            <m:e>
              <m:r>
                <m:t>H</m:t>
              </m:r>
            </m:e>
            <m:sup>
              <m:r>
                <m:t>11</m:t>
              </m:r>
              <m:r>
                <m:rPr>
                  <m:sty m:val="p"/>
                </m:rPr>
                <m:t>/</m:t>
              </m:r>
              <m:r>
                <m:t>16</m:t>
              </m:r>
            </m:sup>
          </m:sSup>
          <m:d>
            <m:dPr>
              <m:begChr m:val="("/>
              <m:endChr m:val=")"/>
              <m:sepChr m:val=""/>
              <m:grow/>
            </m:dPr>
            <m:e>
              <m:r>
                <m:rPr>
                  <m:sty m:val="b"/>
                </m:rPr>
                <m:t>S</m:t>
              </m:r>
              <m:r>
                <m:rPr>
                  <m:sty m:val="b"/>
                </m:rPr>
                <m:t>13</m:t>
              </m:r>
            </m:e>
          </m:d>
        </m:oMath>
      </m:oMathPara>
    </w:p>
    <w:p>
      <w:pPr>
        <w:pStyle w:val="FirstParagraph"/>
      </w:pPr>
      <w:r>
        <w:rPr>
          <w:iCs/>
          <w:i/>
        </w:rPr>
        <w:t xml:space="preserve">form-drag dissipation</w:t>
      </w:r>
    </w:p>
    <w:p>
      <w:pPr>
        <w:pStyle w:val="BodyText"/>
      </w:pPr>
      <m:oMathPara>
        <m:oMathParaPr>
          <m:jc m:val="center"/>
        </m:oMathParaPr>
        <m:oMath>
          <m:sSub>
            <m:e>
              <m:r>
                <m:t>k</m:t>
              </m:r>
            </m:e>
            <m:sub>
              <m:r>
                <m:t>600</m:t>
              </m:r>
            </m:sub>
          </m:sSub>
          <m:r>
            <m:rPr>
              <m:sty m:val="p"/>
            </m:rPr>
            <m:t>=</m:t>
          </m:r>
          <m:sSub>
            <m:e>
              <m:r>
                <m:t>β</m:t>
              </m:r>
            </m:e>
            <m:sub>
              <m:r>
                <m:t>0</m:t>
              </m:r>
            </m:sub>
          </m:sSub>
          <m:sSup>
            <m:e>
              <m:d>
                <m:dPr>
                  <m:begChr m:val="("/>
                  <m:endChr m:val=")"/>
                  <m:sepChr m:val=""/>
                  <m:grow/>
                </m:dPr>
                <m:e>
                  <m:sSub>
                    <m:e>
                      <m:r>
                        <m:t>ϵ</m:t>
                      </m:r>
                    </m:e>
                    <m:sub>
                      <m:r>
                        <m:t>D</m:t>
                      </m:r>
                    </m:sub>
                  </m:sSub>
                </m:e>
              </m:d>
            </m:e>
            <m:sup>
              <m:r>
                <m:t>1</m:t>
              </m:r>
              <m:r>
                <m:rPr>
                  <m:sty m:val="p"/>
                </m:rPr>
                <m:t>/</m:t>
              </m:r>
              <m:r>
                <m:t>4</m:t>
              </m:r>
            </m:sup>
          </m:sSup>
          <m:sSubSup>
            <m:e>
              <m:r>
                <m:t>A</m:t>
              </m:r>
            </m:e>
            <m:sub>
              <m:r>
                <m:t>p</m:t>
              </m:r>
            </m:sub>
            <m:sup>
              <m:r>
                <m:t>3</m:t>
              </m:r>
              <m:r>
                <m:rPr>
                  <m:sty m:val="p"/>
                </m:rPr>
                <m:t>/</m:t>
              </m:r>
              <m:r>
                <m:t>4</m:t>
              </m:r>
            </m:sup>
          </m:sSubSup>
          <m:d>
            <m:dPr>
              <m:begChr m:val="("/>
              <m:endChr m:val=")"/>
              <m:sepChr m:val=""/>
              <m:grow/>
            </m:dPr>
            <m:e>
              <m:r>
                <m:rPr>
                  <m:sty m:val="b"/>
                </m:rPr>
                <m:t>S</m:t>
              </m:r>
              <m:r>
                <m:rPr>
                  <m:sty m:val="b"/>
                </m:rPr>
                <m:t>14</m:t>
              </m:r>
            </m:e>
          </m:d>
        </m:oMath>
      </m:oMathPara>
    </w:p>
    <w:p>
      <w:pPr>
        <w:pStyle w:val="FirstParagraph"/>
      </w:pPr>
      <m:oMathPara>
        <m:oMathParaPr>
          <m:jc m:val="center"/>
        </m:oMathParaPr>
        <m:oMath>
          <m:sSub>
            <m:e>
              <m:r>
                <m:t>k</m:t>
              </m:r>
            </m:e>
            <m:sub>
              <m:r>
                <m:t>600</m:t>
              </m:r>
            </m:sub>
          </m:sSub>
          <m:r>
            <m:rPr>
              <m:sty m:val="p"/>
            </m:rPr>
            <m:t>=</m:t>
          </m:r>
          <m:sSub>
            <m:e>
              <m:r>
                <m:t>β</m:t>
              </m:r>
            </m:e>
            <m:sub>
              <m:r>
                <m:t>1</m:t>
              </m:r>
            </m:sub>
          </m:sSub>
          <m:sSup>
            <m:e>
              <m:d>
                <m:dPr>
                  <m:begChr m:val="("/>
                  <m:endChr m:val=")"/>
                  <m:sepChr m:val=""/>
                  <m:grow/>
                </m:dPr>
                <m:e>
                  <m:r>
                    <m:t>g</m:t>
                  </m:r>
                  <m:r>
                    <m:t>S</m:t>
                  </m:r>
                  <m:acc>
                    <m:accPr>
                      <m:chr m:val="‾"/>
                    </m:accPr>
                    <m:e>
                      <m:r>
                        <m:t>U</m:t>
                      </m:r>
                    </m:e>
                  </m:acc>
                </m:e>
              </m:d>
            </m:e>
            <m:sup>
              <m:r>
                <m:t>1</m:t>
              </m:r>
              <m:r>
                <m:rPr>
                  <m:sty m:val="p"/>
                </m:rPr>
                <m:t>/</m:t>
              </m:r>
              <m:r>
                <m:t>4</m:t>
              </m:r>
            </m:sup>
          </m:sSup>
          <m:sSup>
            <m:e>
              <m:d>
                <m:dPr>
                  <m:begChr m:val="("/>
                  <m:endChr m:val=")"/>
                  <m:sepChr m:val=""/>
                  <m:grow/>
                </m:dPr>
                <m:e>
                  <m:sSup>
                    <m:e>
                      <m:d>
                        <m:dPr>
                          <m:begChr m:val="("/>
                          <m:endChr m:val=")"/>
                          <m:sepChr m:val=""/>
                          <m:grow/>
                        </m:dPr>
                        <m:e>
                          <m:sSub>
                            <m:e>
                              <m:r>
                                <m:t>U</m:t>
                              </m:r>
                            </m:e>
                            <m:sub>
                              <m:r>
                                <m:rPr>
                                  <m:sty m:val="p"/>
                                </m:rPr>
                                <m:t>*</m:t>
                              </m:r>
                            </m:sub>
                          </m:sSub>
                          <m:r>
                            <m:t>H</m:t>
                          </m:r>
                        </m:e>
                      </m:d>
                    </m:e>
                    <m:sup>
                      <m:r>
                        <m:t>1</m:t>
                      </m:r>
                      <m:r>
                        <m:rPr>
                          <m:sty m:val="p"/>
                        </m:rPr>
                        <m:t>/</m:t>
                      </m:r>
                      <m:r>
                        <m:t>2</m:t>
                      </m:r>
                    </m:sup>
                  </m:sSup>
                </m:e>
              </m:d>
            </m:e>
            <m:sup>
              <m:r>
                <m:t>3</m:t>
              </m:r>
              <m:r>
                <m:rPr>
                  <m:sty m:val="p"/>
                </m:rPr>
                <m:t>/</m:t>
              </m:r>
              <m:r>
                <m:t>4</m:t>
              </m:r>
            </m:sup>
          </m:sSup>
          <m:d>
            <m:dPr>
              <m:begChr m:val="("/>
              <m:endChr m:val=")"/>
              <m:sepChr m:val=""/>
              <m:grow/>
            </m:dPr>
            <m:e>
              <m:r>
                <m:rPr>
                  <m:sty m:val="b"/>
                </m:rPr>
                <m:t>S</m:t>
              </m:r>
              <m:r>
                <m:rPr>
                  <m:sty m:val="b"/>
                </m:rPr>
                <m:t>15</m:t>
              </m:r>
            </m:e>
          </m:d>
        </m:oMath>
      </m:oMathPara>
    </w:p>
    <w:p>
      <w:pPr>
        <w:pStyle w:val="FirstParagraph"/>
      </w:pPr>
      <m:oMathPara>
        <m:oMathParaPr>
          <m:jc m:val="center"/>
        </m:oMathParaPr>
        <m:oMath>
          <m:sSub>
            <m:e>
              <m:r>
                <m:t>k</m:t>
              </m:r>
            </m:e>
            <m:sub>
              <m:r>
                <m:t>600</m:t>
              </m:r>
            </m:sub>
          </m:sSub>
          <m:r>
            <m:rPr>
              <m:sty m:val="p"/>
            </m:rPr>
            <m:t>=</m:t>
          </m:r>
          <m:sSub>
            <m:e>
              <m:r>
                <m:t>β</m:t>
              </m:r>
            </m:e>
            <m:sub>
              <m:r>
                <m:t>1</m:t>
              </m:r>
            </m:sub>
          </m:sSub>
          <m:sSup>
            <m:e>
              <m:d>
                <m:dPr>
                  <m:begChr m:val="("/>
                  <m:endChr m:val=")"/>
                  <m:sepChr m:val=""/>
                  <m:grow/>
                </m:dPr>
                <m:e>
                  <m:r>
                    <m:t>g</m:t>
                  </m:r>
                  <m:r>
                    <m:t>S</m:t>
                  </m:r>
                  <m:acc>
                    <m:accPr>
                      <m:chr m:val="‾"/>
                    </m:accPr>
                    <m:e>
                      <m:r>
                        <m:t>U</m:t>
                      </m:r>
                    </m:e>
                  </m:acc>
                </m:e>
              </m:d>
            </m:e>
            <m:sup>
              <m:r>
                <m:t>1</m:t>
              </m:r>
              <m:r>
                <m:rPr>
                  <m:sty m:val="p"/>
                </m:rPr>
                <m:t>/</m:t>
              </m:r>
              <m:r>
                <m:t>4</m:t>
              </m:r>
            </m:sup>
          </m:sSup>
          <m:sSup>
            <m:e>
              <m:d>
                <m:dPr>
                  <m:begChr m:val="("/>
                  <m:endChr m:val=")"/>
                  <m:sepChr m:val=""/>
                  <m:grow/>
                </m:dPr>
                <m:e>
                  <m:r>
                    <m:t>g</m:t>
                  </m:r>
                  <m:sSub>
                    <m:e>
                      <m:r>
                        <m:t>R</m:t>
                      </m:r>
                    </m:e>
                    <m:sub>
                      <m:r>
                        <m:t>h</m:t>
                      </m:r>
                    </m:sub>
                  </m:sSub>
                  <m:r>
                    <m:t>S</m:t>
                  </m:r>
                </m:e>
              </m:d>
            </m:e>
            <m:sup>
              <m:r>
                <m:t>3</m:t>
              </m:r>
              <m:r>
                <m:rPr>
                  <m:sty m:val="p"/>
                </m:rPr>
                <m:t>/</m:t>
              </m:r>
              <m:r>
                <m:t>16</m:t>
              </m:r>
            </m:sup>
          </m:sSup>
          <m:sSup>
            <m:e>
              <m:r>
                <m:t>H</m:t>
              </m:r>
            </m:e>
            <m:sup>
              <m:r>
                <m:t>3</m:t>
              </m:r>
              <m:r>
                <m:rPr>
                  <m:sty m:val="p"/>
                </m:rPr>
                <m:t>/</m:t>
              </m:r>
              <m:r>
                <m:t>8</m:t>
              </m:r>
            </m:sup>
          </m:sSup>
          <m:d>
            <m:dPr>
              <m:begChr m:val="("/>
              <m:endChr m:val=")"/>
              <m:sepChr m:val=""/>
              <m:grow/>
            </m:dPr>
            <m:e>
              <m:r>
                <m:rPr>
                  <m:sty m:val="b"/>
                </m:rPr>
                <m:t>S</m:t>
              </m:r>
              <m:r>
                <m:rPr>
                  <m:sty m:val="b"/>
                </m:rPr>
                <m:t>16</m:t>
              </m:r>
            </m:e>
          </m:d>
        </m:oMath>
      </m:oMathPara>
    </w:p>
    <w:p>
      <w:pPr>
        <w:pStyle w:val="FirstParagraph"/>
      </w:pPr>
      <m:oMathPara>
        <m:oMathParaPr>
          <m:jc m:val="center"/>
        </m:oMathParaPr>
        <m:oMath>
          <m:sSub>
            <m:e>
              <m:r>
                <m:t>k</m:t>
              </m:r>
            </m:e>
            <m:sub>
              <m:r>
                <m:t>600</m:t>
              </m:r>
            </m:sub>
          </m:sSub>
          <m:r>
            <m:rPr>
              <m:sty m:val="p"/>
            </m:rPr>
            <m:t>=</m:t>
          </m:r>
          <m:sSub>
            <m:e>
              <m:r>
                <m:t>β</m:t>
              </m:r>
            </m:e>
            <m:sub>
              <m:r>
                <m:t>1</m:t>
              </m:r>
            </m:sub>
          </m:sSub>
          <m:sSup>
            <m:e>
              <m:d>
                <m:dPr>
                  <m:begChr m:val="("/>
                  <m:endChr m:val=")"/>
                  <m:sepChr m:val=""/>
                  <m:grow/>
                </m:dPr>
                <m:e>
                  <m:r>
                    <m:t>g</m:t>
                  </m:r>
                  <m:r>
                    <m:t>S</m:t>
                  </m:r>
                  <m:acc>
                    <m:accPr>
                      <m:chr m:val="‾"/>
                    </m:accPr>
                    <m:e>
                      <m:r>
                        <m:t>U</m:t>
                      </m:r>
                    </m:e>
                  </m:acc>
                </m:e>
              </m:d>
            </m:e>
            <m:sup>
              <m:r>
                <m:t>1</m:t>
              </m:r>
              <m:r>
                <m:rPr>
                  <m:sty m:val="p"/>
                </m:rPr>
                <m:t>/</m:t>
              </m:r>
              <m:r>
                <m:t>4</m:t>
              </m:r>
            </m:sup>
          </m:sSup>
          <m:sSup>
            <m:e>
              <m:d>
                <m:dPr>
                  <m:begChr m:val="("/>
                  <m:endChr m:val=")"/>
                  <m:sepChr m:val=""/>
                  <m:grow/>
                </m:dPr>
                <m:e>
                  <m:r>
                    <m:t>g</m:t>
                  </m:r>
                  <m:r>
                    <m:t>H</m:t>
                  </m:r>
                  <m:r>
                    <m:t>S</m:t>
                  </m:r>
                </m:e>
              </m:d>
            </m:e>
            <m:sup>
              <m:r>
                <m:t>3</m:t>
              </m:r>
              <m:r>
                <m:rPr>
                  <m:sty m:val="p"/>
                </m:rPr>
                <m:t>/</m:t>
              </m:r>
              <m:r>
                <m:t>16</m:t>
              </m:r>
            </m:sup>
          </m:sSup>
          <m:sSup>
            <m:e>
              <m:r>
                <m:t>H</m:t>
              </m:r>
            </m:e>
            <m:sup>
              <m:r>
                <m:t>3</m:t>
              </m:r>
              <m:r>
                <m:rPr>
                  <m:sty m:val="p"/>
                </m:rPr>
                <m:t>/</m:t>
              </m:r>
              <m:r>
                <m:t>8</m:t>
              </m:r>
            </m:sup>
          </m:sSup>
          <m:d>
            <m:dPr>
              <m:begChr m:val="("/>
              <m:endChr m:val=")"/>
              <m:sepChr m:val=""/>
              <m:grow/>
            </m:dPr>
            <m:e>
              <m:r>
                <m:rPr>
                  <m:sty m:val="b"/>
                </m:rPr>
                <m:t>S</m:t>
              </m:r>
              <m:r>
                <m:rPr>
                  <m:sty m:val="b"/>
                </m:rPr>
                <m:t>17</m:t>
              </m:r>
            </m:e>
          </m:d>
        </m:oMath>
      </m:oMathPara>
    </w:p>
    <w:p>
      <w:pPr>
        <w:pStyle w:val="FirstParagraph"/>
      </w:pPr>
      <m:oMathPara>
        <m:oMathParaPr>
          <m:jc m:val="center"/>
        </m:oMathParaPr>
        <m:oMath>
          <m:sSub>
            <m:e>
              <m:r>
                <m:t>k</m:t>
              </m:r>
            </m:e>
            <m:sub>
              <m:r>
                <m:t>600</m:t>
              </m:r>
            </m:sub>
          </m:sSub>
          <m:r>
            <m:rPr>
              <m:sty m:val="p"/>
            </m:rPr>
            <m:t>=</m:t>
          </m:r>
          <m:sSub>
            <m:e>
              <m:r>
                <m:t>β</m:t>
              </m:r>
            </m:e>
            <m:sub>
              <m:r>
                <m:t>1</m:t>
              </m:r>
            </m:sub>
          </m:sSub>
          <m:sSup>
            <m:e>
              <m:d>
                <m:dPr>
                  <m:begChr m:val="("/>
                  <m:endChr m:val=")"/>
                  <m:sepChr m:val=""/>
                  <m:grow/>
                </m:dPr>
                <m:e>
                  <m:r>
                    <m:t>g</m:t>
                  </m:r>
                  <m:r>
                    <m:t>S</m:t>
                  </m:r>
                </m:e>
              </m:d>
            </m:e>
            <m:sup>
              <m:r>
                <m:t>7</m:t>
              </m:r>
              <m:r>
                <m:rPr>
                  <m:sty m:val="p"/>
                </m:rPr>
                <m:t>/</m:t>
              </m:r>
              <m:r>
                <m:t>16</m:t>
              </m:r>
            </m:sup>
          </m:sSup>
          <m:sSup>
            <m:e>
              <m:acc>
                <m:accPr>
                  <m:chr m:val="‾"/>
                </m:accPr>
                <m:e>
                  <m:r>
                    <m:t>U</m:t>
                  </m:r>
                </m:e>
              </m:acc>
            </m:e>
            <m:sup>
              <m:r>
                <m:t>1</m:t>
              </m:r>
              <m:r>
                <m:rPr>
                  <m:sty m:val="p"/>
                </m:rPr>
                <m:t>/</m:t>
              </m:r>
              <m:r>
                <m:t>4</m:t>
              </m:r>
            </m:sup>
          </m:sSup>
          <m:sSup>
            <m:e>
              <m:r>
                <m:t>H</m:t>
              </m:r>
            </m:e>
            <m:sup>
              <m:r>
                <m:t>9</m:t>
              </m:r>
              <m:r>
                <m:rPr>
                  <m:sty m:val="p"/>
                </m:rPr>
                <m:t>/</m:t>
              </m:r>
              <m:r>
                <m:t>16</m:t>
              </m:r>
            </m:sup>
          </m:sSup>
          <m:d>
            <m:dPr>
              <m:begChr m:val="("/>
              <m:endChr m:val=")"/>
              <m:sepChr m:val=""/>
              <m:grow/>
            </m:dPr>
            <m:e>
              <m:r>
                <m:rPr>
                  <m:sty m:val="b"/>
                </m:rPr>
                <m:t>S</m:t>
              </m:r>
              <m:r>
                <m:rPr>
                  <m:sty m:val="b"/>
                </m:rPr>
                <m:t>18</m:t>
              </m:r>
            </m:e>
          </m:d>
        </m:oMath>
      </m:oMathPara>
    </w:p>
    <w:bookmarkEnd w:id="24"/>
    <w:bookmarkStart w:id="25" w:name="text-s3-biker-hyperparameterization"/>
    <w:p>
      <w:pPr>
        <w:pStyle w:val="Heading2"/>
      </w:pPr>
      <w:r>
        <w:t xml:space="preserve">Text S3: BIKER hyperparameterization</w:t>
      </w:r>
    </w:p>
    <w:p>
      <w:pPr>
        <w:pStyle w:val="FirstParagraph"/>
      </w:pPr>
      <w:r>
        <w:t xml:space="preserve">In this text we explain in detail how BIKER’s hyperparameter values were set for each river.</w:t>
      </w:r>
    </w:p>
    <w:p>
      <w:pPr>
        <w:pStyle w:val="BodyText"/>
      </w:pPr>
      <w:r>
        <w:t xml:space="preserve">We assign prior hyperparameters using SWOT data only. All priors are formalized within the model as truncated normal distributions of the log-transformed terms such that</w:t>
      </w:r>
      <w:r>
        <w:t xml:space="preserve"> </w:t>
      </w:r>
      <m:oMath>
        <m:r>
          <m:t>l</m:t>
        </m:r>
        <m:r>
          <m:t>o</m:t>
        </m:r>
        <m:r>
          <m:t>g</m:t>
        </m:r>
        <m:d>
          <m:dPr>
            <m:begChr m:val="("/>
            <m:endChr m:val=")"/>
            <m:sepChr m:val=""/>
            <m:grow/>
          </m:dPr>
          <m:e>
            <m:r>
              <m:t>X</m:t>
            </m:r>
          </m:e>
        </m:d>
        <m:r>
          <m:rPr>
            <m:sty m:val="p"/>
          </m:rPr>
          <m:t>∼</m:t>
        </m:r>
        <m:r>
          <m:rPr>
            <m:sty m:val="p"/>
            <m:scr m:val="script"/>
          </m:rPr>
          <m:t>N</m:t>
        </m:r>
        <m:d>
          <m:dPr>
            <m:begChr m:val="("/>
            <m:endChr m:val=")"/>
            <m:sepChr m:val=""/>
            <m:grow/>
          </m:dPr>
          <m:e>
            <m:r>
              <m:t>μ</m:t>
            </m:r>
            <m:r>
              <m:rPr>
                <m:sty m:val="p"/>
              </m:rPr>
              <m:t>,</m:t>
            </m:r>
            <m:sSup>
              <m:e>
                <m:r>
                  <m:t>σ</m:t>
                </m:r>
              </m:e>
              <m:sup>
                <m:r>
                  <m:t>2</m:t>
                </m:r>
              </m:sup>
            </m:sSup>
          </m:e>
        </m:d>
      </m:oMath>
      <w:r>
        <w:t xml:space="preserve"> </w:t>
      </w:r>
      <w:r>
        <w:t xml:space="preserve">for</w:t>
      </w:r>
      <w:r>
        <w:t xml:space="preserve"> </w:t>
      </w:r>
      <m:oMath>
        <m:r>
          <m:t>λ</m:t>
        </m:r>
        <m:r>
          <m:rPr>
            <m:sty m:val="p"/>
          </m:rPr>
          <m:t>&lt;</m:t>
        </m:r>
        <m:r>
          <m:t>l</m:t>
        </m:r>
        <m:r>
          <m:t>o</m:t>
        </m:r>
        <m:r>
          <m:t>g</m:t>
        </m:r>
        <m:d>
          <m:dPr>
            <m:begChr m:val="("/>
            <m:endChr m:val=")"/>
            <m:sepChr m:val=""/>
            <m:grow/>
          </m:dPr>
          <m:e>
            <m:r>
              <m:t>X</m:t>
            </m:r>
          </m:e>
        </m:d>
        <m:r>
          <m:rPr>
            <m:sty m:val="p"/>
          </m:rPr>
          <m:t>&lt;</m:t>
        </m:r>
        <m:r>
          <m:t>γ</m:t>
        </m:r>
      </m:oMath>
      <w:r>
        <w:t xml:space="preserve">, using prior hyperparameters mean (</w:t>
      </w:r>
      <m:oMath>
        <m:r>
          <m:t>μ</m:t>
        </m:r>
      </m:oMath>
      <w:r>
        <w:t xml:space="preserve">), standard deviation (</w:t>
      </w:r>
      <m:oMath>
        <m:r>
          <m:t>σ</m:t>
        </m:r>
      </m:oMath>
      <w:r>
        <w:t xml:space="preserve">), and upper (</w:t>
      </w:r>
      <m:oMath>
        <m:r>
          <m:t>γ</m:t>
        </m:r>
      </m:oMath>
      <w:r>
        <w:t xml:space="preserve">) and lower bounds (</w:t>
      </w:r>
      <m:oMath>
        <m:r>
          <m:t>λ</m:t>
        </m:r>
      </m:oMath>
      <w:r>
        <w:t xml:space="preserve">) for any parameter</w:t>
      </w:r>
      <w:r>
        <w:t xml:space="preserve"> </w:t>
      </w:r>
      <w:r>
        <w:rPr>
          <w:iCs/>
          <w:i/>
        </w:rPr>
        <w:t xml:space="preserve">X</w:t>
      </w:r>
      <w:r>
        <w:t xml:space="preserve">.</w:t>
      </w:r>
    </w:p>
    <w:p>
      <w:pPr>
        <w:pStyle w:val="BodyText"/>
      </w:pPr>
      <m:oMath>
        <m:sSub>
          <m:e>
            <m:r>
              <m:t>A</m:t>
            </m:r>
          </m:e>
          <m:sub>
            <m:sSub>
              <m:e>
                <m:r>
                  <m:t>0</m:t>
                </m:r>
              </m:e>
              <m:sub>
                <m:r>
                  <m:t>i</m:t>
                </m:r>
              </m:sub>
            </m:sSub>
          </m:sub>
        </m:sSub>
      </m:oMath>
      <w:r>
        <w:t xml:space="preserve"> </w:t>
      </w:r>
      <w:r>
        <w:t xml:space="preserve">and</w:t>
      </w:r>
      <w:r>
        <w:t xml:space="preserve"> </w:t>
      </w:r>
      <m:oMath>
        <m:sSub>
          <m:e>
            <m:r>
              <m:t>n</m:t>
            </m:r>
          </m:e>
          <m:sub>
            <m:r>
              <m:t>i</m:t>
            </m:r>
          </m:sub>
        </m:sSub>
      </m:oMath>
      <w:r>
        <w:t xml:space="preserve"> </w:t>
      </w:r>
      <w:r>
        <w:t xml:space="preserve">prior hyperparameters were assigned following an updated version of the method developed by</w:t>
      </w:r>
      <w:r>
        <w:t xml:space="preserve"> </w:t>
      </w:r>
      <w:r>
        <w:t xml:space="preserve">Brinkerhoff et al. (2020)</w:t>
      </w:r>
      <w:r>
        <w:t xml:space="preserve">. They developed a set of river channel prior hyperparameters for McFLI algorithms that are entirely RS-able and reflect differential channel hydraulics as a function of river geomorphology. They used an extensive database of field measurements and machine learning to identify patterns that associate river width with the hydraulic priors needed to run McFLIs so that prior hyperparameters are assigned to rivers using only the remotely sensed measurements. For this study, we extracted</w:t>
      </w:r>
      <w:r>
        <w:t xml:space="preserve"> </w:t>
      </w:r>
      <m:oMath>
        <m:sSub>
          <m:e>
            <m:r>
              <m:t>A</m:t>
            </m:r>
          </m:e>
          <m:sub>
            <m:sSub>
              <m:e>
                <m:r>
                  <m:t>0</m:t>
                </m:r>
              </m:e>
              <m:sub>
                <m:r>
                  <m:t>λ</m:t>
                </m:r>
              </m:sub>
            </m:sSub>
          </m:sub>
        </m:sSub>
      </m:oMath>
      <w:r>
        <w:t xml:space="preserve"> </w:t>
      </w:r>
      <w:r>
        <w:t xml:space="preserve">and</w:t>
      </w:r>
      <w:r>
        <w:t xml:space="preserve"> </w:t>
      </w:r>
      <m:oMath>
        <m:sSub>
          <m:e>
            <m:r>
              <m:t>A</m:t>
            </m:r>
          </m:e>
          <m:sub>
            <m:sSub>
              <m:e>
                <m:r>
                  <m:t>0</m:t>
                </m:r>
              </m:e>
              <m:sub>
                <m:r>
                  <m:t>γ</m:t>
                </m:r>
              </m:sub>
            </m:sSub>
          </m:sub>
        </m:sSub>
      </m:oMath>
      <w:r>
        <w:t xml:space="preserve"> </w:t>
      </w:r>
      <w:r>
        <w:t xml:space="preserve">as the 5th and 95th percentile values rather than the absolute maximum and minimum values to avoid physically impossible bounds on</w:t>
      </w:r>
      <w:r>
        <w:t xml:space="preserve"> </w:t>
      </w:r>
      <m:oMath>
        <m:sSub>
          <m:e>
            <m:r>
              <m:t>A</m:t>
            </m:r>
          </m:e>
          <m:sub>
            <m:r>
              <m:t>0</m:t>
            </m:r>
          </m:sub>
        </m:sSub>
      </m:oMath>
      <w:r>
        <w:t xml:space="preserve">.</w:t>
      </w:r>
    </w:p>
    <w:p>
      <w:pPr>
        <w:pStyle w:val="BodyText"/>
      </w:pPr>
      <w:r>
        <w:t xml:space="preserve">This leaves the</w:t>
      </w:r>
      <w:r>
        <w:t xml:space="preserve"> </w:t>
      </w:r>
      <m:oMath>
        <m:sSub>
          <m:e>
            <m:r>
              <m:t>k</m:t>
            </m:r>
          </m:e>
          <m:sub>
            <m:sSub>
              <m:e>
                <m:r>
                  <m:t>600</m:t>
                </m:r>
              </m:e>
              <m:sub>
                <m:r>
                  <m:t>t</m:t>
                </m:r>
              </m:sub>
            </m:sSub>
          </m:sub>
        </m:sSub>
      </m:oMath>
      <w:r>
        <w:t xml:space="preserve"> </w:t>
      </w:r>
      <w:r>
        <w:t xml:space="preserve">hyperparameters to be defined.</w:t>
      </w:r>
      <w:r>
        <w:t xml:space="preserve"> </w:t>
      </w:r>
      <m:oMath>
        <m:sSub>
          <m:e>
            <m:r>
              <m:t>k</m:t>
            </m:r>
          </m:e>
          <m:sub>
            <m:sSub>
              <m:e>
                <m:r>
                  <m:t>600</m:t>
                </m:r>
              </m:e>
              <m:sub>
                <m:r>
                  <m:t>μ</m:t>
                </m:r>
              </m:sub>
            </m:sSub>
          </m:sub>
        </m:sSub>
      </m:oMath>
      <w:r>
        <w:t xml:space="preserve"> </w:t>
      </w:r>
      <w:r>
        <w:t xml:space="preserve">is set by invoking the hydraulic geometry (HG) relationships developed in section 3.2.3 of the main text using the data from</w:t>
      </w:r>
      <w:r>
        <w:t xml:space="preserve"> </w:t>
      </w:r>
      <w:r>
        <w:t xml:space="preserve">Brinkerhoff et al. (2019)</w:t>
      </w:r>
      <w:r>
        <w:t xml:space="preserve">. We replaced both depth and velocity terms from our gas exchange model (equation 6 in the main text) with these HG models, resulting in equation S19 where Q is the mass-conserved streamflow for the river reach.</w:t>
      </w:r>
    </w:p>
    <w:p>
      <w:pPr>
        <w:pStyle w:val="BodyText"/>
      </w:pPr>
      <m:oMathPara>
        <m:oMathParaPr>
          <m:jc m:val="center"/>
        </m:oMathParaPr>
        <m:oMath>
          <m:sSub>
            <m:e>
              <m:r>
                <m:t>k</m:t>
              </m:r>
            </m:e>
            <m:sub>
              <m:sSub>
                <m:e>
                  <m:r>
                    <m:t>600</m:t>
                  </m:r>
                </m:e>
                <m:sub>
                  <m:r>
                    <m:t>μ</m:t>
                  </m:r>
                </m:sub>
              </m:sSub>
            </m:sub>
          </m:sSub>
          <m:r>
            <m:rPr>
              <m:sty m:val="p"/>
            </m:rPr>
            <m:t>=</m:t>
          </m:r>
          <m:r>
            <m:t>62.82</m:t>
          </m:r>
          <m:sSup>
            <m:e>
              <m:d>
                <m:dPr>
                  <m:begChr m:val="("/>
                  <m:endChr m:val=")"/>
                  <m:sepChr m:val=""/>
                  <m:grow/>
                </m:dPr>
                <m:e>
                  <m:r>
                    <m:t>g</m:t>
                  </m:r>
                  <m:sSub>
                    <m:e>
                      <m:r>
                        <m:t>S</m:t>
                      </m:r>
                    </m:e>
                    <m:sub>
                      <m:r>
                        <m:t>i</m:t>
                      </m:r>
                      <m:r>
                        <m:rPr>
                          <m:sty m:val="p"/>
                        </m:rPr>
                        <m:t>,</m:t>
                      </m:r>
                      <m:r>
                        <m:t>t</m:t>
                      </m:r>
                    </m:sub>
                  </m:sSub>
                </m:e>
              </m:d>
            </m:e>
            <m:sup>
              <m:r>
                <m:t>7</m:t>
              </m:r>
              <m:r>
                <m:rPr>
                  <m:sty m:val="p"/>
                </m:rPr>
                <m:t>/</m:t>
              </m:r>
              <m:r>
                <m:t>16</m:t>
              </m:r>
            </m:sup>
          </m:sSup>
          <m:sSup>
            <m:e>
              <m:d>
                <m:dPr>
                  <m:begChr m:val="("/>
                  <m:endChr m:val=")"/>
                  <m:sepChr m:val=""/>
                  <m:grow/>
                </m:dPr>
                <m:e>
                  <m:r>
                    <m:t>0.265</m:t>
                  </m:r>
                  <m:sSubSup>
                    <m:e>
                      <m:r>
                        <m:t>Q</m:t>
                      </m:r>
                    </m:e>
                    <m:sub>
                      <m:r>
                        <m:t>t</m:t>
                      </m:r>
                    </m:sub>
                    <m:sup>
                      <m:r>
                        <m:t>0.395</m:t>
                      </m:r>
                    </m:sup>
                  </m:sSubSup>
                </m:e>
              </m:d>
            </m:e>
            <m:sup>
              <m:r>
                <m:t>9</m:t>
              </m:r>
              <m:r>
                <m:rPr>
                  <m:sty m:val="p"/>
                </m:rPr>
                <m:t>/</m:t>
              </m:r>
              <m:r>
                <m:t>16</m:t>
              </m:r>
            </m:sup>
          </m:sSup>
          <m:r>
            <m:rPr>
              <m:sty m:val="p"/>
            </m:rPr>
            <m:t>*</m:t>
          </m:r>
          <m:sSup>
            <m:e>
              <m:d>
                <m:dPr>
                  <m:begChr m:val="("/>
                  <m:endChr m:val=")"/>
                  <m:sepChr m:val=""/>
                  <m:grow/>
                </m:dPr>
                <m:e>
                  <m:r>
                    <m:t>0.284</m:t>
                  </m:r>
                  <m:sSubSup>
                    <m:e>
                      <m:r>
                        <m:t>Q</m:t>
                      </m:r>
                    </m:e>
                    <m:sub>
                      <m:r>
                        <m:t>t</m:t>
                      </m:r>
                    </m:sub>
                    <m:sup>
                      <m:r>
                        <m:t>0.191</m:t>
                      </m:r>
                    </m:sup>
                  </m:sSubSup>
                </m:e>
              </m:d>
            </m:e>
            <m:sup>
              <m:r>
                <m:t>1</m:t>
              </m:r>
              <m:r>
                <m:rPr>
                  <m:sty m:val="p"/>
                </m:rPr>
                <m:t>/</m:t>
              </m:r>
              <m:r>
                <m:t>4</m:t>
              </m:r>
            </m:sup>
          </m:sSup>
          <m:d>
            <m:dPr>
              <m:begChr m:val="("/>
              <m:endChr m:val=")"/>
              <m:sepChr m:val=""/>
              <m:grow/>
            </m:dPr>
            <m:e>
              <m:r>
                <m:rPr>
                  <m:sty m:val="b"/>
                </m:rPr>
                <m:t>S</m:t>
              </m:r>
              <m:r>
                <m:rPr>
                  <m:sty m:val="b"/>
                </m:rPr>
                <m:t>19</m:t>
              </m:r>
            </m:e>
          </m:d>
        </m:oMath>
      </m:oMathPara>
    </w:p>
    <w:p>
      <w:pPr>
        <w:pStyle w:val="FirstParagraph"/>
      </w:pPr>
      <w:r>
        <w:t xml:space="preserve">Obviously, we have no a priori information about Q. So, we use the Q prior that will be globally available when SWOT launches: a mean annual estimate from a water balance model. This is provided with the simulated SWOT data by both</w:t>
      </w:r>
      <w:r>
        <w:t xml:space="preserve"> </w:t>
      </w:r>
      <w:r>
        <w:t xml:space="preserve">Durand et al. (2016)</w:t>
      </w:r>
      <w:r>
        <w:t xml:space="preserve"> </w:t>
      </w:r>
      <w:r>
        <w:t xml:space="preserve">and</w:t>
      </w:r>
      <w:r>
        <w:t xml:space="preserve"> </w:t>
      </w:r>
      <w:r>
        <w:t xml:space="preserve">Frasson et al. (2021)</w:t>
      </w:r>
      <w:r>
        <w:t xml:space="preserve">. Using a temporally-invariant estimate of streamflow is the worst case scenario and BIKER’s performance will improve with a more informed prior on streamflow (and therefore</w:t>
      </w:r>
      <w:r>
        <w:t xml:space="preserve"> </w:t>
      </w:r>
      <m:oMath>
        <m:sSub>
          <m:e>
            <m:r>
              <m:t>k</m:t>
            </m:r>
          </m:e>
          <m:sub>
            <m:r>
              <m:t>600</m:t>
            </m:r>
          </m:sub>
        </m:sSub>
      </m:oMath>
      <w:r>
        <w:t xml:space="preserve">). This was recently shown on many of these rivers for SWOT discharge algorithms</w:t>
      </w:r>
      <w:r>
        <w:t xml:space="preserve"> </w:t>
      </w:r>
      <w:r>
        <w:t xml:space="preserve">(Frasson et al., 2021)</w:t>
      </w:r>
      <w:r>
        <w:t xml:space="preserve">. However as noted in the main text, our primary goal with this initial validation is to benchmark BIKER’s worst case scenario for performance and so we do that here.</w:t>
      </w:r>
    </w:p>
    <w:p>
      <w:pPr>
        <w:pStyle w:val="BodyText"/>
      </w:pPr>
      <w:r>
        <w:t xml:space="preserve">Finally,</w:t>
      </w:r>
      <w:r>
        <w:t xml:space="preserve"> </w:t>
      </w:r>
      <m:oMath>
        <m:sSub>
          <m:e>
            <m:r>
              <m:t>k</m:t>
            </m:r>
          </m:e>
          <m:sub>
            <m:sSub>
              <m:e>
                <m:r>
                  <m:t>600</m:t>
                </m:r>
              </m:e>
              <m:sub>
                <m:r>
                  <m:t>σ</m:t>
                </m:r>
              </m:sub>
            </m:sSub>
          </m:sub>
        </m:sSub>
      </m:oMath>
      <w:r>
        <w:t xml:space="preserve"> </w:t>
      </w:r>
      <w:r>
        <w:t xml:space="preserve">is set to 0.30 (log-space). This corresponds to a coefficient of variation of approximately 0.30, which we took to reflect a reasonably strong agreement between the prior and the observed values.</w:t>
      </w:r>
      <w:r>
        <w:t xml:space="preserve"> </w:t>
      </w:r>
      <m:oMath>
        <m:sSub>
          <m:e>
            <m:r>
              <m:t>k</m:t>
            </m:r>
          </m:e>
          <m:sub>
            <m:sSub>
              <m:e>
                <m:r>
                  <m:t>600</m:t>
                </m:r>
              </m:e>
              <m:sub>
                <m:r>
                  <m:t>λ</m:t>
                </m:r>
              </m:sub>
            </m:sSub>
          </m:sub>
        </m:sSub>
      </m:oMath>
      <w:r>
        <w:t xml:space="preserve"> </w:t>
      </w:r>
      <w:r>
        <w:t xml:space="preserve">was set to log(0.001) m/day.</w:t>
      </w:r>
      <w:r>
        <w:t xml:space="preserve"> </w:t>
      </w:r>
      <m:oMath>
        <m:sSub>
          <m:e>
            <m:r>
              <m:t>k</m:t>
            </m:r>
          </m:e>
          <m:sub>
            <m:sSub>
              <m:e>
                <m:r>
                  <m:t>600</m:t>
                </m:r>
              </m:e>
              <m:sub>
                <m:r>
                  <m:t>γ</m:t>
                </m:r>
              </m:sub>
            </m:sSub>
          </m:sub>
        </m:sSub>
      </m:oMath>
      <w:r>
        <w:t xml:space="preserve"> </w:t>
      </w:r>
      <w:r>
        <w:t xml:space="preserve">was set to log(500) m/day.</w:t>
      </w:r>
    </w:p>
    <w:bookmarkEnd w:id="25"/>
    <w:bookmarkStart w:id="26" w:name="X567917f3c7bef81adf8703b2aef6e5ffbce57ac"/>
    <w:p>
      <w:pPr>
        <w:pStyle w:val="Heading2"/>
      </w:pPr>
      <w:r>
        <w:t xml:space="preserve">Text S4: Specifiying the</w:t>
      </w:r>
      <w:r>
        <w:t xml:space="preserve"> </w:t>
      </w:r>
      <m:oMath>
        <m:sSub>
          <m:e>
            <m:r>
              <m:t>σ</m:t>
            </m:r>
          </m:e>
          <m:sub>
            <m:sSub>
              <m:e>
                <m:r>
                  <m:t>k</m:t>
                </m:r>
              </m:e>
              <m:sub>
                <m:r>
                  <m:t>600</m:t>
                </m:r>
              </m:sub>
            </m:sSub>
          </m:sub>
        </m:sSub>
      </m:oMath>
      <w:r>
        <w:t xml:space="preserve"> </w:t>
      </w:r>
      <w:r>
        <w:t xml:space="preserve">parameter</w:t>
      </w:r>
    </w:p>
    <w:p>
      <w:pPr>
        <w:pStyle w:val="FirstParagraph"/>
      </w:pPr>
      <w:r>
        <w:t xml:space="preserve">Here, we detail how the</w:t>
      </w:r>
      <w:r>
        <w:t xml:space="preserve"> </w:t>
      </w:r>
      <m:oMath>
        <m:sSub>
          <m:e>
            <m:r>
              <m:t>σ</m:t>
            </m:r>
          </m:e>
          <m:sub>
            <m:sSub>
              <m:e>
                <m:r>
                  <m:t>k</m:t>
                </m:r>
              </m:e>
              <m:sub>
                <m:r>
                  <m:t>600</m:t>
                </m:r>
              </m:sub>
            </m:sSub>
          </m:sub>
        </m:sSub>
      </m:oMath>
      <w:r>
        <w:t xml:space="preserve"> </w:t>
      </w:r>
      <w:r>
        <w:t xml:space="preserve">parameter is specified in this study, as well as how it should be specified once SWOT launches.</w:t>
      </w:r>
    </w:p>
    <w:p>
      <w:pPr>
        <w:pStyle w:val="BodyText"/>
      </w:pPr>
      <w:r>
        <w:t xml:space="preserve">Recall that</w:t>
      </w:r>
      <w:r>
        <w:t xml:space="preserve"> </w:t>
      </w:r>
      <m:oMath>
        <m:sSub>
          <m:e>
            <m:r>
              <m:t>σ</m:t>
            </m:r>
          </m:e>
          <m:sub>
            <m:sSub>
              <m:e>
                <m:r>
                  <m:t>k</m:t>
                </m:r>
              </m:e>
              <m:sub>
                <m:r>
                  <m:t>600</m:t>
                </m:r>
              </m:sub>
            </m:sSub>
          </m:sub>
        </m:sSub>
      </m:oMath>
      <w:r>
        <w:t xml:space="preserve"> </w:t>
      </w:r>
      <w:r>
        <w:t xml:space="preserve">refers to the total uncertainty inherent in equation 8, i.e. stemming from both the Reynolds/form-drag dissipation model and the Manning’s model for</w:t>
      </w:r>
      <w:r>
        <w:t xml:space="preserve"> </w:t>
      </w:r>
      <m:oMath>
        <m:acc>
          <m:accPr>
            <m:chr m:val="‾"/>
          </m:accPr>
          <m:e>
            <m:r>
              <m:t>U</m:t>
            </m:r>
          </m:e>
        </m:acc>
      </m:oMath>
      <w:r>
        <w:t xml:space="preserve">. For the purposes of this study, we are validating BIKER against equation 10 in the main text and so all uncertainties associated with the</w:t>
      </w:r>
      <w:r>
        <w:t xml:space="preserve"> </w:t>
      </w:r>
      <m:oMath>
        <m:sSub>
          <m:e>
            <m:r>
              <m:t>β</m:t>
            </m:r>
          </m:e>
          <m:sub>
            <m:r>
              <m:t>1</m:t>
            </m:r>
          </m:sub>
        </m:sSub>
      </m:oMath>
      <w:r>
        <w:t xml:space="preserve"> </w:t>
      </w:r>
      <w:r>
        <w:t xml:space="preserve">parameter are ignored and we only need to reflect the Manning’s uncertainty in our specification of</w:t>
      </w:r>
      <w:r>
        <w:t xml:space="preserve"> </w:t>
      </w:r>
      <m:oMath>
        <m:sSubSup>
          <m:e>
            <m:r>
              <m:t>σ</m:t>
            </m:r>
          </m:e>
          <m:sub>
            <m:sSub>
              <m:e>
                <m:r>
                  <m:t>k</m:t>
                </m:r>
              </m:e>
              <m:sub>
                <m:r>
                  <m:t>600</m:t>
                </m:r>
              </m:sub>
            </m:sSub>
          </m:sub>
          <m:sup>
            <m:r>
              <m:t>2</m:t>
            </m:r>
          </m:sup>
        </m:sSubSup>
      </m:oMath>
      <w:r>
        <w:t xml:space="preserve">. Therefore, we take</w:t>
      </w:r>
      <w:r>
        <w:t xml:space="preserve"> </w:t>
      </w:r>
      <w:r>
        <w:t xml:space="preserve">Hagemann et al. (2017)</w:t>
      </w:r>
      <w:r>
        <w:t xml:space="preserve">’s estimated uncertainty from Manning’s equation to infer streamflow from SWOT observations (0.25) and inflate it slightly to also account for the hydraulically-wide channel assumption and arrive at 0.30. This is the</w:t>
      </w:r>
      <w:r>
        <w:t xml:space="preserve"> </w:t>
      </w:r>
      <m:oMath>
        <m:sSub>
          <m:e>
            <m:r>
              <m:t>σ</m:t>
            </m:r>
          </m:e>
          <m:sub>
            <m:sSub>
              <m:e>
                <m:r>
                  <m:t>k</m:t>
                </m:r>
              </m:e>
              <m:sub>
                <m:r>
                  <m:t>600</m:t>
                </m:r>
              </m:sub>
            </m:sSub>
          </m:sub>
        </m:sSub>
      </m:oMath>
      <w:r>
        <w:t xml:space="preserve"> </w:t>
      </w:r>
      <w:r>
        <w:t xml:space="preserve">used in this study.</w:t>
      </w:r>
    </w:p>
    <w:p>
      <w:pPr>
        <w:pStyle w:val="BodyText"/>
      </w:pPr>
      <w:r>
        <w:t xml:space="preserve">In the scenario that BIKER is run on real SWOT data,</w:t>
      </w:r>
      <w:r>
        <w:t xml:space="preserve"> </w:t>
      </w:r>
      <m:oMath>
        <m:sSub>
          <m:e>
            <m:r>
              <m:t>σ</m:t>
            </m:r>
          </m:e>
          <m:sub>
            <m:sSub>
              <m:e>
                <m:r>
                  <m:t>k</m:t>
                </m:r>
              </m:e>
              <m:sub>
                <m:r>
                  <m:t>600</m:t>
                </m:r>
              </m:sub>
            </m:sSub>
          </m:sub>
        </m:sSub>
      </m:oMath>
      <w:r>
        <w:t xml:space="preserve"> </w:t>
      </w:r>
      <w:r>
        <w:t xml:space="preserve">must reflect the full uncertainty implicit in equation 8 in the main text. This means we must also account for uncertainty from the</w:t>
      </w:r>
      <w:r>
        <w:t xml:space="preserve"> </w:t>
      </w:r>
      <m:oMath>
        <m:sSub>
          <m:e>
            <m:r>
              <m:t>β</m:t>
            </m:r>
          </m:e>
          <m:sub>
            <m:r>
              <m:t>1</m:t>
            </m:r>
          </m:sub>
        </m:sSub>
      </m:oMath>
      <w:r>
        <w:t xml:space="preserve"> </w:t>
      </w:r>
      <w:r>
        <w:t xml:space="preserve">parameter. Assuming perfect, no-error measurements are made by the SWOT satellite, the</w:t>
      </w:r>
      <w:r>
        <w:t xml:space="preserve"> </w:t>
      </w:r>
      <m:oMath>
        <m:sSub>
          <m:e>
            <m:r>
              <m:t>k</m:t>
            </m:r>
          </m:e>
          <m:sub>
            <m:r>
              <m:t>600</m:t>
            </m:r>
          </m:sub>
        </m:sSub>
      </m:oMath>
      <w:r>
        <w:t xml:space="preserve"> </w:t>
      </w:r>
      <w:r>
        <w:t xml:space="preserve">relative uncertainty is expressed for some set of hydraulic observations as equation S20. We use the 166 hydraulically-wide measurements in our field-measured</w:t>
      </w:r>
      <w:r>
        <w:t xml:space="preserve"> </w:t>
      </w:r>
      <m:oMath>
        <m:sSub>
          <m:e>
            <m:r>
              <m:t>k</m:t>
            </m:r>
          </m:e>
          <m:sub>
            <m:r>
              <m:t>600</m:t>
            </m:r>
          </m:sub>
        </m:sSub>
      </m:oMath>
      <w:r>
        <w:t xml:space="preserve"> </w:t>
      </w:r>
      <w:r>
        <w:t xml:space="preserve">dataset and run 166 different Monte Carlo simulations (each 10,000 runs) to obtain 166 different</w:t>
      </w:r>
      <w:r>
        <w:t xml:space="preserve"> </w:t>
      </w:r>
      <m:oMath>
        <m:sSub>
          <m:e>
            <m:r>
              <m:t>σ</m:t>
            </m:r>
          </m:e>
          <m:sub>
            <m:sSub>
              <m:e>
                <m:r>
                  <m:t>k</m:t>
                </m:r>
              </m:e>
              <m:sub>
                <m:r>
                  <m:t>600</m:t>
                </m:r>
              </m:sub>
            </m:sSub>
          </m:sub>
        </m:sSub>
      </m:oMath>
      <w:r>
        <w:t xml:space="preserve"> </w:t>
      </w:r>
      <w:r>
        <w:t xml:space="preserve">terms. We then take the average of those to be a reasonable estimate of</w:t>
      </w:r>
      <w:r>
        <w:t xml:space="preserve"> </w:t>
      </w:r>
      <m:oMath>
        <m:sSub>
          <m:e>
            <m:r>
              <m:t>σ</m:t>
            </m:r>
          </m:e>
          <m:sub>
            <m:sSub>
              <m:e>
                <m:r>
                  <m:t>k</m:t>
                </m:r>
              </m:e>
              <m:sub>
                <m:r>
                  <m:t>600</m:t>
                </m:r>
              </m:sub>
            </m:sSub>
          </m:sub>
        </m:sSub>
      </m:oMath>
      <w:r>
        <w:t xml:space="preserve">. This ultimately provided a value of 1.1 for the log-transformed</w:t>
      </w:r>
      <w:r>
        <w:t xml:space="preserve"> </w:t>
      </w:r>
      <m:oMath>
        <m:sSub>
          <m:e>
            <m:r>
              <m:t>σ</m:t>
            </m:r>
          </m:e>
          <m:sub>
            <m:sSub>
              <m:e>
                <m:r>
                  <m:t>k</m:t>
                </m:r>
              </m:e>
              <m:sub>
                <m:r>
                  <m:t>600</m:t>
                </m:r>
              </m:sub>
            </m:sSub>
          </m:sub>
        </m:sSub>
      </m:oMath>
      <w:r>
        <w:t xml:space="preserve"> </w:t>
      </w:r>
      <w:r>
        <w:t xml:space="preserve">that should be used once SWOT launches.</w:t>
      </w:r>
    </w:p>
    <w:p>
      <w:pPr>
        <w:pStyle w:val="BodyText"/>
      </w:pPr>
      <m:oMathPara>
        <m:oMathParaPr>
          <m:jc m:val="center"/>
        </m:oMathParaPr>
        <m:oMath>
          <m:r>
            <m:t>l</m:t>
          </m:r>
          <m:r>
            <m:t>o</m:t>
          </m:r>
          <m:sSub>
            <m:e>
              <m:r>
                <m:t>g</m:t>
              </m:r>
            </m:e>
            <m:sub>
              <m:sSub>
                <m:e>
                  <m:r>
                    <m:t>k</m:t>
                  </m:r>
                </m:e>
                <m:sub>
                  <m:r>
                    <m:t>600</m:t>
                  </m:r>
                </m:sub>
              </m:sSub>
            </m:sub>
          </m:sSub>
          <m:r>
            <m:rPr>
              <m:sty m:val="p"/>
            </m:rPr>
            <m:t>∼</m:t>
          </m:r>
          <m:r>
            <m:t>n</m:t>
          </m:r>
          <m:r>
            <m:t>o</m:t>
          </m:r>
          <m:r>
            <m:t>r</m:t>
          </m:r>
          <m:r>
            <m:t>m</m:t>
          </m:r>
          <m:r>
            <m:t>a</m:t>
          </m:r>
          <m:r>
            <m:t>l</m:t>
          </m:r>
          <m:d>
            <m:dPr>
              <m:begChr m:val="["/>
              <m:endChr m:val="]"/>
              <m:sepChr m:val=""/>
              <m:grow/>
            </m:dPr>
            <m:e>
              <m:r>
                <m:t>l</m:t>
              </m:r>
              <m:r>
                <m:t>o</m:t>
              </m:r>
              <m:r>
                <m:t>g</m:t>
              </m:r>
              <m:d>
                <m:dPr>
                  <m:begChr m:val="("/>
                  <m:endChr m:val=")"/>
                  <m:sepChr m:val=""/>
                  <m:grow/>
                </m:dPr>
                <m:e>
                  <m:sSub>
                    <m:e>
                      <m:r>
                        <m:t>β</m:t>
                      </m:r>
                    </m:e>
                    <m:sub>
                      <m:r>
                        <m:t>1</m:t>
                      </m:r>
                    </m:sub>
                  </m:sSub>
                </m:e>
              </m:d>
              <m:r>
                <m:rPr>
                  <m:sty m:val="p"/>
                </m:rPr>
                <m:t>,</m:t>
              </m:r>
              <m:r>
                <m:t>l</m:t>
              </m:r>
              <m:r>
                <m:t>o</m:t>
              </m:r>
              <m:r>
                <m:t>g</m:t>
              </m:r>
              <m:d>
                <m:dPr>
                  <m:begChr m:val="("/>
                  <m:endChr m:val=")"/>
                  <m:sepChr m:val=""/>
                  <m:grow/>
                </m:dPr>
                <m:e>
                  <m:sSub>
                    <m:e>
                      <m:r>
                        <m:t>σ</m:t>
                      </m:r>
                    </m:e>
                    <m:sub>
                      <m:sSub>
                        <m:e>
                          <m:r>
                            <m:t>β</m:t>
                          </m:r>
                        </m:e>
                        <m:sub>
                          <m:r>
                            <m:t>1</m:t>
                          </m:r>
                        </m:sub>
                      </m:sSub>
                    </m:sub>
                  </m:sSub>
                </m:e>
              </m:d>
            </m:e>
          </m:d>
          <m:r>
            <m:rPr>
              <m:sty m:val="p"/>
            </m:rPr>
            <m:t>+</m:t>
          </m:r>
          <m:f>
            <m:fPr>
              <m:type m:val="bar"/>
            </m:fPr>
            <m:num>
              <m:r>
                <m:t>1</m:t>
              </m:r>
            </m:num>
            <m:den>
              <m:r>
                <m:t>4</m:t>
              </m:r>
            </m:den>
          </m:f>
          <m:r>
            <m:t>n</m:t>
          </m:r>
          <m:r>
            <m:t>o</m:t>
          </m:r>
          <m:r>
            <m:t>r</m:t>
          </m:r>
          <m:r>
            <m:t>m</m:t>
          </m:r>
          <m:r>
            <m:t>a</m:t>
          </m:r>
          <m:r>
            <m:t>l</m:t>
          </m:r>
          <m:d>
            <m:dPr>
              <m:begChr m:val="["/>
              <m:endChr m:val="]"/>
              <m:sepChr m:val=""/>
              <m:grow/>
            </m:dPr>
            <m:e>
              <m:r>
                <m:t>l</m:t>
              </m:r>
              <m:r>
                <m:t>o</m:t>
              </m:r>
              <m:r>
                <m:t>g</m:t>
              </m:r>
              <m:d>
                <m:dPr>
                  <m:begChr m:val="("/>
                  <m:endChr m:val=")"/>
                  <m:sepChr m:val=""/>
                  <m:grow/>
                </m:dPr>
                <m:e>
                  <m:acc>
                    <m:accPr>
                      <m:chr m:val="‾"/>
                    </m:accPr>
                    <m:e>
                      <m:r>
                        <m:t>U</m:t>
                      </m:r>
                    </m:e>
                  </m:acc>
                </m:e>
              </m:d>
              <m:r>
                <m:rPr>
                  <m:sty m:val="p"/>
                </m:rPr>
                <m:t>,</m:t>
              </m:r>
              <m:r>
                <m:t>l</m:t>
              </m:r>
              <m:r>
                <m:t>o</m:t>
              </m:r>
              <m:r>
                <m:t>g</m:t>
              </m:r>
              <m:d>
                <m:dPr>
                  <m:begChr m:val="("/>
                  <m:endChr m:val=")"/>
                  <m:sepChr m:val=""/>
                  <m:grow/>
                </m:dPr>
                <m:e>
                  <m:sSub>
                    <m:e>
                      <m:r>
                        <m:t>σ</m:t>
                      </m:r>
                    </m:e>
                    <m:sub>
                      <m:r>
                        <m:t>m</m:t>
                      </m:r>
                      <m:r>
                        <m:t>a</m:t>
                      </m:r>
                      <m:r>
                        <m:t>n</m:t>
                      </m:r>
                      <m:r>
                        <m:t>n</m:t>
                      </m:r>
                      <m:r>
                        <m:t>i</m:t>
                      </m:r>
                      <m:r>
                        <m:t>n</m:t>
                      </m:r>
                      <m:r>
                        <m:t>g</m:t>
                      </m:r>
                      <m:r>
                        <m:t>s</m:t>
                      </m:r>
                    </m:sub>
                  </m:sSub>
                </m:e>
              </m:d>
            </m:e>
          </m:d>
          <m:f>
            <m:fPr>
              <m:type m:val="bar"/>
            </m:fPr>
            <m:num>
              <m:r>
                <m:t>7</m:t>
              </m:r>
            </m:num>
            <m:den>
              <m:r>
                <m:t>16</m:t>
              </m:r>
            </m:den>
          </m:f>
          <m:r>
            <m:t>l</m:t>
          </m:r>
          <m:r>
            <m:t>o</m:t>
          </m:r>
          <m:r>
            <m:t>g</m:t>
          </m:r>
          <m:d>
            <m:dPr>
              <m:begChr m:val="("/>
              <m:endChr m:val=")"/>
              <m:sepChr m:val=""/>
              <m:grow/>
            </m:dPr>
            <m:e>
              <m:r>
                <m:t>g</m:t>
              </m:r>
              <m:r>
                <m:t>S</m:t>
              </m:r>
            </m:e>
          </m:d>
          <m:r>
            <m:rPr>
              <m:sty m:val="p"/>
            </m:rPr>
            <m:t>+</m:t>
          </m:r>
          <m:f>
            <m:fPr>
              <m:type m:val="bar"/>
            </m:fPr>
            <m:num>
              <m:r>
                <m:t>9</m:t>
              </m:r>
            </m:num>
            <m:den>
              <m:r>
                <m:t>16</m:t>
              </m:r>
            </m:den>
          </m:f>
          <m:r>
            <m:t>l</m:t>
          </m:r>
          <m:r>
            <m:t>o</m:t>
          </m:r>
          <m:r>
            <m:t>g</m:t>
          </m:r>
          <m:d>
            <m:dPr>
              <m:begChr m:val="("/>
              <m:endChr m:val=")"/>
              <m:sepChr m:val=""/>
              <m:grow/>
            </m:dPr>
            <m:e>
              <m:r>
                <m:t>H</m:t>
              </m:r>
            </m:e>
          </m:d>
          <m:d>
            <m:dPr>
              <m:begChr m:val="("/>
              <m:endChr m:val=")"/>
              <m:sepChr m:val=""/>
              <m:grow/>
            </m:dPr>
            <m:e>
              <m:r>
                <m:rPr>
                  <m:sty m:val="b"/>
                </m:rPr>
                <m:t>S</m:t>
              </m:r>
              <m:r>
                <m:rPr>
                  <m:sty m:val="b"/>
                </m:rPr>
                <m:t>20</m:t>
              </m:r>
            </m:e>
          </m:d>
        </m:oMath>
      </m:oMathPara>
    </w:p>
    <w:bookmarkEnd w:id="26"/>
    <w:bookmarkStart w:id="28" w:name="figure-s1"/>
    <w:p>
      <w:pPr>
        <w:pStyle w:val="Heading2"/>
      </w:pPr>
      <w:r>
        <w:t xml:space="preserve">Figure S1</w:t>
      </w:r>
    </w:p>
    <w:p>
      <w:pPr>
        <w:pStyle w:val="CaptionedFigure"/>
      </w:pPr>
      <w:r>
        <w:drawing>
          <wp:inline>
            <wp:extent cx="3810000" cy="2540000"/>
            <wp:effectExtent b="0" l="0" r="0" t="0"/>
            <wp:docPr descr="Figure S1 Timeseries of the biweekly CO2 data from Beaulieu et al. (2012). Sampling took place 2008-2009 in the Ohio River (upstream of Cincinnati, Ohio, United States). Each point here was joined to the 11-day SWOT observations used in this study (section 2.4)." title="" id="1" name="Picture"/>
            <a:graphic>
              <a:graphicData uri="http://schemas.openxmlformats.org/drawingml/2006/picture">
                <pic:pic>
                  <pic:nvPicPr>
                    <pic:cNvPr descr="cache/FCO2/Beaulieu_timeseries.jp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S1 Timeseries of the biweekly CO2 data from</w:t>
      </w:r>
      <w:r>
        <w:t xml:space="preserve"> </w:t>
      </w:r>
      <w:r>
        <w:t xml:space="preserve">Beaulieu et al. (2012)</w:t>
      </w:r>
      <w:r>
        <w:t xml:space="preserve">. Sampling took place 2008-2009 in the Ohio River (upstream of Cincinnati, Ohio, United States). Each point here was joined to the 11-day SWOT observations used in this study (section 2.4).</w:t>
      </w:r>
    </w:p>
    <w:bookmarkEnd w:id="28"/>
    <w:bookmarkStart w:id="29" w:name="table-s1"/>
    <w:p>
      <w:pPr>
        <w:pStyle w:val="Heading2"/>
      </w:pPr>
      <w:r>
        <w:t xml:space="preserve">Table S1</w:t>
      </w:r>
    </w:p>
    <w:p>
      <w:pPr>
        <w:pStyle w:val="FirstParagraph"/>
      </w:pPr>
      <w:r>
        <w:rPr>
          <w:iCs/>
          <w:i/>
        </w:rPr>
        <w:t xml:space="preserve">Table S1: Studies that gas exchange velocity measurements come from.</w:t>
      </w:r>
      <w:r>
        <w:rPr>
          <w:iCs/>
          <w:i/>
        </w:rPr>
        <w:t xml:space="preserve"> </w:t>
      </w:r>
      <w:r>
        <w:rPr>
          <w:iCs/>
          <w:i/>
        </w:rPr>
        <w:t xml:space="preserve">‘</w:t>
      </w:r>
      <w:r>
        <w:rPr>
          <w:iCs/>
          <w:i/>
        </w:rPr>
        <w:t xml:space="preserve">Study</w:t>
      </w:r>
      <w:r>
        <w:rPr>
          <w:iCs/>
          <w:i/>
        </w:rPr>
        <w:t xml:space="preserve">’</w:t>
      </w:r>
      <w:r>
        <w:rPr>
          <w:iCs/>
          <w:i/>
        </w:rPr>
        <w:t xml:space="preserve"> </w:t>
      </w:r>
      <w:r>
        <w:rPr>
          <w:iCs/>
          <w:i/>
        </w:rPr>
        <w:t xml:space="preserve">refers to the paper from which these measurements were taken. Any data wrangling was done by those authors.</w:t>
      </w:r>
      <w:r>
        <w:rPr>
          <w:iCs/>
          <w:i/>
        </w:rPr>
        <w:t xml:space="preserve"> </w:t>
      </w:r>
      <w:r>
        <w:rPr>
          <w:iCs/>
          <w:i/>
        </w:rPr>
        <w:t xml:space="preserve">‘</w:t>
      </w:r>
      <w:r>
        <w:rPr>
          <w:iCs/>
          <w:i/>
        </w:rPr>
        <w:t xml:space="preserve">Field Workers</w:t>
      </w:r>
      <w:r>
        <w:rPr>
          <w:iCs/>
          <w:i/>
        </w:rPr>
        <w:t xml:space="preserve">’</w:t>
      </w:r>
      <w:r>
        <w:rPr>
          <w:iCs/>
          <w:i/>
        </w:rPr>
        <w:t xml:space="preserve"> </w:t>
      </w:r>
      <w:r>
        <w:rPr>
          <w:iCs/>
          <w:i/>
        </w:rPr>
        <w:t xml:space="preserve">refers to who actually made the measurements. The Raymond et al. (2012) dataset is itself a meta-analysis. Please see that paper for how those measurements were collected. We used the set of measurements ultimately published by Ulseth et al. 2019.</w:t>
      </w:r>
    </w:p>
    <w:tbl>
      <w:tblPr>
        <w:tblStyle w:val="Table"/>
        <w:tblW w:type="pct" w:w="5000"/>
        <w:tblLook w:firstRow="1" w:lastRow="0" w:firstColumn="0" w:lastColumn="0" w:noHBand="0" w:noVBand="0" w:val="0020"/>
      </w:tblPr>
      <w:tblGrid>
        <w:gridCol w:w="1485"/>
        <w:gridCol w:w="2145"/>
        <w:gridCol w:w="4290"/>
      </w:tblGrid>
      <w:tr>
        <w:trPr>
          <w:tblHeader w:val="true"/>
        </w:trPr>
        <w:tc>
          <w:tcPr/>
          <w:p>
            <w:pPr>
              <w:pStyle w:val="Compact"/>
              <w:jc w:val="left"/>
            </w:pPr>
            <w:r>
              <w:rPr>
                <w:bCs/>
                <w:b/>
              </w:rPr>
              <w:t xml:space="preserve">Study</w:t>
            </w:r>
          </w:p>
        </w:tc>
        <w:tc>
          <w:tcPr/>
          <w:p>
            <w:pPr>
              <w:pStyle w:val="Compact"/>
              <w:jc w:val="left"/>
            </w:pPr>
            <w:r>
              <w:rPr>
                <w:bCs/>
                <w:b/>
              </w:rPr>
              <w:t xml:space="preserve">Workers</w:t>
            </w:r>
          </w:p>
        </w:tc>
        <w:tc>
          <w:tcPr/>
          <w:p>
            <w:pPr>
              <w:pStyle w:val="Compact"/>
              <w:jc w:val="left"/>
            </w:pPr>
            <w:r>
              <w:rPr>
                <w:bCs/>
                <w:b/>
              </w:rPr>
              <w:t xml:space="preserve">Additional studies</w:t>
            </w:r>
          </w:p>
        </w:tc>
      </w:tr>
      <w:tr>
        <w:tc>
          <w:tcPr/>
          <w:p>
            <w:pPr>
              <w:pStyle w:val="Compact"/>
              <w:jc w:val="left"/>
            </w:pPr>
            <w:r>
              <w:t xml:space="preserve">Ulseth et al. (2019)</w:t>
            </w:r>
          </w:p>
        </w:tc>
        <w:tc>
          <w:tcPr/>
          <w:p>
            <w:pPr>
              <w:pStyle w:val="Compact"/>
              <w:jc w:val="left"/>
            </w:pPr>
            <w:r>
              <w:t xml:space="preserve">Ulseth et al. (2019)</w:t>
            </w:r>
          </w:p>
        </w:tc>
        <w:tc>
          <w:tcPr/>
          <w:p>
            <w:pPr>
              <w:pStyle w:val="Compact"/>
              <w:jc w:val="left"/>
            </w:pPr>
            <w:r>
              <w:t xml:space="preserve">NA</w:t>
            </w:r>
          </w:p>
        </w:tc>
      </w:tr>
      <w:tr>
        <w:tc>
          <w:tcPr/>
          <w:p>
            <w:pPr>
              <w:pStyle w:val="Compact"/>
              <w:jc w:val="left"/>
            </w:pPr>
            <w:r>
              <w:t xml:space="preserve">Ulseth et al. (2019)</w:t>
            </w:r>
          </w:p>
        </w:tc>
        <w:tc>
          <w:tcPr/>
          <w:p>
            <w:pPr>
              <w:pStyle w:val="Compact"/>
              <w:jc w:val="left"/>
            </w:pPr>
            <w:r>
              <w:t xml:space="preserve">Hall &amp; Madinger (2018)</w:t>
            </w:r>
          </w:p>
        </w:tc>
        <w:tc>
          <w:tcPr/>
          <w:p>
            <w:pPr>
              <w:pStyle w:val="Compact"/>
              <w:jc w:val="left"/>
            </w:pPr>
            <w:r>
              <w:t xml:space="preserve">NA</w:t>
            </w:r>
          </w:p>
        </w:tc>
      </w:tr>
      <w:tr>
        <w:tc>
          <w:tcPr/>
          <w:p>
            <w:pPr>
              <w:pStyle w:val="Compact"/>
              <w:jc w:val="left"/>
            </w:pPr>
            <w:r>
              <w:t xml:space="preserve">Ulseth et al. (2019)</w:t>
            </w:r>
          </w:p>
        </w:tc>
        <w:tc>
          <w:tcPr/>
          <w:p>
            <w:pPr>
              <w:pStyle w:val="Compact"/>
              <w:jc w:val="left"/>
            </w:pPr>
            <w:r>
              <w:t xml:space="preserve">Schelker et al. (2016)</w:t>
            </w:r>
          </w:p>
        </w:tc>
        <w:tc>
          <w:tcPr/>
          <w:p>
            <w:pPr>
              <w:pStyle w:val="Compact"/>
              <w:jc w:val="left"/>
            </w:pPr>
            <w:r>
              <w:t xml:space="preserve">NA</w:t>
            </w:r>
          </w:p>
        </w:tc>
      </w:tr>
      <w:tr>
        <w:tc>
          <w:tcPr/>
          <w:p>
            <w:pPr>
              <w:pStyle w:val="Compact"/>
              <w:jc w:val="left"/>
            </w:pPr>
            <w:r>
              <w:t xml:space="preserve">Ulseth et al. (2019)</w:t>
            </w:r>
          </w:p>
        </w:tc>
        <w:tc>
          <w:tcPr/>
          <w:p>
            <w:pPr>
              <w:pStyle w:val="Compact"/>
              <w:jc w:val="left"/>
            </w:pPr>
            <w:r>
              <w:t xml:space="preserve">Maurice et al. (2017)</w:t>
            </w:r>
          </w:p>
        </w:tc>
        <w:tc>
          <w:tcPr/>
          <w:p>
            <w:pPr>
              <w:pStyle w:val="Compact"/>
              <w:jc w:val="left"/>
            </w:pPr>
            <w:r>
              <w:t xml:space="preserve">NA</w:t>
            </w:r>
          </w:p>
        </w:tc>
      </w:tr>
      <w:tr>
        <w:tc>
          <w:tcPr/>
          <w:p>
            <w:pPr>
              <w:pStyle w:val="Compact"/>
              <w:jc w:val="left"/>
            </w:pPr>
            <w:r>
              <w:t xml:space="preserve">Ulseth et al. (2019)</w:t>
            </w:r>
          </w:p>
        </w:tc>
        <w:tc>
          <w:tcPr/>
          <w:p>
            <w:pPr>
              <w:pStyle w:val="Compact"/>
              <w:jc w:val="left"/>
            </w:pPr>
            <w:r>
              <w:t xml:space="preserve">Raymond et al. (2012)</w:t>
            </w:r>
          </w:p>
        </w:tc>
        <w:tc>
          <w:tcPr/>
          <w:p>
            <w:pPr>
              <w:pStyle w:val="Compact"/>
              <w:jc w:val="left"/>
            </w:pPr>
            <w:r>
              <w:t xml:space="preserve">Melching &amp; Flores (1999)</w:t>
            </w:r>
            <w:r>
              <w:t xml:space="preserve">;</w:t>
            </w:r>
            <w:r>
              <w:t xml:space="preserve"> </w:t>
            </w:r>
            <w:r>
              <w:t xml:space="preserve">Bott, Montgomery, et al. (2006)</w:t>
            </w:r>
            <w:r>
              <w:t xml:space="preserve">;</w:t>
            </w:r>
            <w:r>
              <w:t xml:space="preserve"> </w:t>
            </w:r>
            <w:r>
              <w:t xml:space="preserve">Bott, Newbold, et al. (2006)</w:t>
            </w:r>
            <w:r>
              <w:t xml:space="preserve">;</w:t>
            </w:r>
            <w:r>
              <w:t xml:space="preserve"> </w:t>
            </w:r>
            <w:r>
              <w:t xml:space="preserve">Mulholland et al. (2001)</w:t>
            </w:r>
            <w:r>
              <w:t xml:space="preserve">;</w:t>
            </w:r>
            <w:r>
              <w:t xml:space="preserve"> </w:t>
            </w:r>
            <w:r>
              <w:t xml:space="preserve">Bernot et al. (2010)</w:t>
            </w:r>
            <w:r>
              <w:t xml:space="preserve">;</w:t>
            </w:r>
            <w:r>
              <w:t xml:space="preserve"> </w:t>
            </w:r>
            <w:r>
              <w:t xml:space="preserve">Tsivoglou &amp; Wallace (1972)</w:t>
            </w:r>
          </w:p>
        </w:tc>
      </w:tr>
      <w:tr>
        <w:tc>
          <w:tcPr/>
          <w:p>
            <w:pPr>
              <w:pStyle w:val="Compact"/>
              <w:jc w:val="left"/>
            </w:pPr>
            <w:r>
              <w:t xml:space="preserve">Churchill et al. (1964)</w:t>
            </w:r>
          </w:p>
        </w:tc>
        <w:tc>
          <w:tcPr/>
          <w:p>
            <w:pPr>
              <w:pStyle w:val="Compact"/>
              <w:jc w:val="left"/>
            </w:pPr>
            <w:r>
              <w:t xml:space="preserve">Churchill et al. (1964)</w:t>
            </w:r>
          </w:p>
        </w:tc>
        <w:tc>
          <w:tcPr/>
          <w:p>
            <w:pPr>
              <w:pStyle w:val="Compact"/>
              <w:jc w:val="left"/>
            </w:pPr>
            <w:r>
              <w:t xml:space="preserve">NA</w:t>
            </w:r>
          </w:p>
        </w:tc>
      </w:tr>
      <w:tr>
        <w:tc>
          <w:tcPr/>
          <w:p>
            <w:pPr>
              <w:pStyle w:val="Compact"/>
              <w:jc w:val="left"/>
            </w:pPr>
            <w:r>
              <w:t xml:space="preserve">Owens et al. (1964)</w:t>
            </w:r>
          </w:p>
        </w:tc>
        <w:tc>
          <w:tcPr/>
          <w:p>
            <w:pPr>
              <w:pStyle w:val="Compact"/>
              <w:jc w:val="left"/>
            </w:pPr>
            <w:r>
              <w:t xml:space="preserve">Owens et al. (1964)</w:t>
            </w:r>
          </w:p>
        </w:tc>
        <w:tc>
          <w:tcPr/>
          <w:p>
            <w:pPr>
              <w:pStyle w:val="Compact"/>
              <w:jc w:val="left"/>
            </w:pPr>
            <w:r>
              <w:t xml:space="preserve">NA</w:t>
            </w:r>
          </w:p>
        </w:tc>
      </w:tr>
    </w:tbl>
    <w:bookmarkEnd w:id="29"/>
    <w:bookmarkStart w:id="30" w:name="table-s2"/>
    <w:p>
      <w:pPr>
        <w:pStyle w:val="Heading2"/>
      </w:pPr>
      <w:r>
        <w:t xml:space="preserve">Table S2</w:t>
      </w:r>
    </w:p>
    <w:p>
      <w:pPr>
        <w:pStyle w:val="FirstParagraph"/>
      </w:pPr>
      <w:r>
        <w:rPr>
          <w:iCs/>
          <w:i/>
        </w:rPr>
        <w:t xml:space="preserve">Table S2: Validation metrics used in this study, where Nt is number of observations and i is the specific observation. σ refers to the variance of the sample and μ refers to the mean of the sample. As is standard, a carrot accent indicates the predicted value.</w:t>
      </w:r>
    </w:p>
    <w:tbl>
      <w:tblPr>
        <w:tblStyle w:val="Table"/>
        <w:tblW w:type="pct" w:w="5000"/>
        <w:tblLook w:firstRow="1" w:lastRow="0" w:firstColumn="0" w:lastColumn="0" w:noHBand="0" w:noVBand="0" w:val="0020"/>
      </w:tblPr>
      <w:tblGrid>
        <w:gridCol w:w="1244"/>
        <w:gridCol w:w="792"/>
        <w:gridCol w:w="1131"/>
        <w:gridCol w:w="1244"/>
        <w:gridCol w:w="1584"/>
        <w:gridCol w:w="1923"/>
      </w:tblGrid>
      <w:tr>
        <w:trPr>
          <w:tblHeader w:val="true"/>
        </w:trPr>
        <w:tc>
          <w:tcPr/>
          <w:p>
            <w:pPr>
              <w:pStyle w:val="Compact"/>
              <w:jc w:val="left"/>
            </w:pPr>
            <w:r>
              <w:rPr>
                <w:bCs/>
                <w:b/>
              </w:rPr>
              <w:t xml:space="preserve">Description</w:t>
            </w:r>
          </w:p>
        </w:tc>
        <w:tc>
          <w:tcPr/>
          <w:p>
            <w:pPr>
              <w:pStyle w:val="Compact"/>
              <w:jc w:val="left"/>
            </w:pPr>
            <w:r>
              <w:rPr>
                <w:bCs/>
                <w:b/>
              </w:rPr>
              <w:t xml:space="preserve">Acronym</w:t>
            </w:r>
          </w:p>
        </w:tc>
        <w:tc>
          <w:tcPr/>
          <w:p>
            <w:pPr>
              <w:pStyle w:val="Compact"/>
              <w:jc w:val="left"/>
            </w:pPr>
            <w:r>
              <w:rPr>
                <w:bCs/>
                <w:b/>
              </w:rPr>
              <w:t xml:space="preserve">Definition</w:t>
            </w:r>
          </w:p>
        </w:tc>
        <w:tc>
          <w:tcPr/>
          <w:p>
            <w:pPr>
              <w:pStyle w:val="Compact"/>
              <w:jc w:val="left"/>
            </w:pPr>
            <w:r>
              <w:rPr>
                <w:bCs/>
                <w:b/>
              </w:rPr>
              <w:t xml:space="preserve">Ideal Score</w:t>
            </w:r>
          </w:p>
        </w:tc>
        <w:tc>
          <w:tcPr/>
          <w:p>
            <w:pPr>
              <w:pStyle w:val="Compact"/>
              <w:jc w:val="left"/>
            </w:pPr>
            <w:r>
              <w:rPr>
                <w:bCs/>
                <w:b/>
              </w:rPr>
              <w:t xml:space="preserve">Possible Range</w:t>
            </w:r>
          </w:p>
        </w:tc>
        <w:tc>
          <w:tcPr/>
          <w:p>
            <w:pPr>
              <w:pStyle w:val="Compact"/>
              <w:jc w:val="left"/>
            </w:pPr>
            <w:r>
              <w:rPr>
                <w:bCs/>
                <w:b/>
              </w:rPr>
              <w:t xml:space="preserve">Validation Scheme</w:t>
            </w:r>
          </w:p>
        </w:tc>
      </w:tr>
      <w:tr>
        <w:tc>
          <w:tcPr/>
          <w:p>
            <w:pPr>
              <w:pStyle w:val="Compact"/>
              <w:jc w:val="left"/>
            </w:pPr>
            <w:r>
              <w:t xml:space="preserve">Correlation Coefficient</w:t>
            </w:r>
          </w:p>
        </w:tc>
        <w:tc>
          <w:tcPr/>
          <w:p>
            <w:pPr>
              <w:pStyle w:val="Compact"/>
              <w:jc w:val="left"/>
            </w:pPr>
            <m:oMath>
              <m:r>
                <m:t>r</m:t>
              </m:r>
            </m:oMath>
          </w:p>
        </w:tc>
        <w:tc>
          <w:tcPr/>
          <w:p>
            <w:pPr>
              <w:pStyle w:val="Compact"/>
              <w:jc w:val="left"/>
            </w:pPr>
            <m:oMath>
              <m:rad>
                <m:radPr>
                  <m:degHide m:val="1"/>
                </m:radPr>
                <m:deg/>
                <m:e>
                  <m:r>
                    <m:t>1</m:t>
                  </m:r>
                  <m:r>
                    <m:rPr>
                      <m:sty m:val="p"/>
                    </m:rPr>
                    <m:t>−</m:t>
                  </m:r>
                  <m:d>
                    <m:dPr>
                      <m:begChr m:val="("/>
                      <m:endChr m:val=")"/>
                      <m:sepChr m:val=""/>
                      <m:grow/>
                    </m:dPr>
                    <m:e>
                      <m:f>
                        <m:fPr>
                          <m:type m:val="bar"/>
                        </m:fPr>
                        <m:num>
                          <m:nary>
                            <m:naryPr>
                              <m:chr m:val="∑"/>
                              <m:limLoc m:val="undOvr"/>
                              <m:subHide m:val="0"/>
                              <m:supHide m:val="0"/>
                            </m:naryPr>
                            <m:sub>
                              <m:r>
                                <m:t>i</m:t>
                              </m:r>
                              <m:r>
                                <m:rPr>
                                  <m:sty m:val="p"/>
                                </m:rPr>
                                <m:t>=</m:t>
                              </m:r>
                              <m:r>
                                <m:t>1</m:t>
                              </m:r>
                            </m:sub>
                            <m:sup>
                              <m:sSub>
                                <m:e>
                                  <m:r>
                                    <m:t>N</m:t>
                                  </m:r>
                                </m:e>
                                <m:sub>
                                  <m:r>
                                    <m:t>t</m:t>
                                  </m:r>
                                </m:sub>
                              </m:sSub>
                            </m:sup>
                            <m:e>
                              <m:sSup>
                                <m:e>
                                  <m:d>
                                    <m:dPr>
                                      <m:begChr m:val="("/>
                                      <m:endChr m:val=")"/>
                                      <m:sepChr m:val=""/>
                                      <m:grow/>
                                    </m:dPr>
                                    <m:e>
                                      <m:sSub>
                                        <m:e>
                                          <m:r>
                                            <m:t>k</m:t>
                                          </m:r>
                                        </m:e>
                                        <m:sub>
                                          <m:r>
                                            <m:t>600</m:t>
                                          </m:r>
                                          <m:r>
                                            <m:rPr>
                                              <m:sty m:val="p"/>
                                            </m:rPr>
                                            <m:t>,</m:t>
                                          </m:r>
                                          <m:r>
                                            <m:t>i</m:t>
                                          </m:r>
                                        </m:sub>
                                      </m:sSub>
                                      <m:r>
                                        <m:rPr>
                                          <m:sty m:val="p"/>
                                        </m:rPr>
                                        <m:t>−</m:t>
                                      </m:r>
                                      <m:acc>
                                        <m:accPr>
                                          <m:chr m:val="̂"/>
                                        </m:accPr>
                                        <m:e>
                                          <m:sSub>
                                            <m:e>
                                              <m:r>
                                                <m:t>k</m:t>
                                              </m:r>
                                            </m:e>
                                            <m:sub>
                                              <m:r>
                                                <m:t>600</m:t>
                                              </m:r>
                                            </m:sub>
                                          </m:sSub>
                                        </m:e>
                                      </m:acc>
                                    </m:e>
                                  </m:d>
                                </m:e>
                                <m:sup>
                                  <m:r>
                                    <m:t>2</m:t>
                                  </m:r>
                                </m:sup>
                              </m:sSup>
                            </m:e>
                          </m:nary>
                        </m:num>
                        <m:den>
                          <m:r>
                            <m:rPr>
                              <m:sty m:val="p"/>
                            </m:rPr>
                            <m:t>∑</m:t>
                          </m:r>
                          <m:sSup>
                            <m:e>
                              <m:d>
                                <m:dPr>
                                  <m:begChr m:val="("/>
                                  <m:endChr m:val=")"/>
                                  <m:sepChr m:val=""/>
                                  <m:grow/>
                                </m:dPr>
                                <m:e>
                                  <m:sSub>
                                    <m:e>
                                      <m:r>
                                        <m:t>k</m:t>
                                      </m:r>
                                    </m:e>
                                    <m:sub>
                                      <m:r>
                                        <m:t>600</m:t>
                                      </m:r>
                                      <m:r>
                                        <m:rPr>
                                          <m:sty m:val="p"/>
                                        </m:rPr>
                                        <m:t>,</m:t>
                                      </m:r>
                                      <m:r>
                                        <m:t>i</m:t>
                                      </m:r>
                                    </m:sub>
                                  </m:sSub>
                                  <m:r>
                                    <m:rPr>
                                      <m:sty m:val="p"/>
                                    </m:rPr>
                                    <m:t>−</m:t>
                                  </m:r>
                                  <m:acc>
                                    <m:accPr>
                                      <m:chr m:val="‾"/>
                                    </m:accPr>
                                    <m:e>
                                      <m:sSub>
                                        <m:e>
                                          <m:r>
                                            <m:t>k</m:t>
                                          </m:r>
                                        </m:e>
                                        <m:sub>
                                          <m:r>
                                            <m:t>600</m:t>
                                          </m:r>
                                        </m:sub>
                                      </m:sSub>
                                    </m:e>
                                  </m:acc>
                                </m:e>
                              </m:d>
                            </m:e>
                            <m:sup>
                              <m:r>
                                <m:t>2</m:t>
                              </m:r>
                            </m:sup>
                          </m:sSup>
                        </m:den>
                      </m:f>
                    </m:e>
                  </m:d>
                </m:e>
              </m:rad>
            </m:oMath>
          </w:p>
        </w:tc>
        <w:tc>
          <w:tcPr/>
          <w:p>
            <w:pPr>
              <w:pStyle w:val="Compact"/>
              <w:jc w:val="left"/>
            </w:pPr>
            <w:r>
              <w:t xml:space="preserve">1</w:t>
            </w:r>
          </w:p>
        </w:tc>
        <w:tc>
          <w:tcPr/>
          <w:p>
            <w:pPr>
              <w:pStyle w:val="Compact"/>
              <w:jc w:val="left"/>
            </w:pPr>
            <w:r>
              <w:t xml:space="preserve">-1 to 1</w:t>
            </w:r>
          </w:p>
        </w:tc>
        <w:tc>
          <w:tcPr/>
          <w:p>
            <w:pPr>
              <w:pStyle w:val="Compact"/>
              <w:jc w:val="left"/>
            </w:pPr>
            <w:r>
              <w:t xml:space="preserve">All rivers and all timesteps</w:t>
            </w:r>
          </w:p>
        </w:tc>
      </w:tr>
      <w:tr>
        <w:tc>
          <w:tcPr/>
          <w:p>
            <w:pPr>
              <w:pStyle w:val="Compact"/>
              <w:jc w:val="left"/>
            </w:pPr>
            <w:r>
              <w:t xml:space="preserve">Root-mean-square-error</w:t>
            </w:r>
          </w:p>
        </w:tc>
        <w:tc>
          <w:tcPr/>
          <w:p>
            <w:pPr>
              <w:pStyle w:val="Compact"/>
              <w:jc w:val="left"/>
            </w:pPr>
            <w:r>
              <w:t xml:space="preserve">RMSE</w:t>
            </w:r>
          </w:p>
        </w:tc>
        <w:tc>
          <w:tcPr/>
          <w:p>
            <w:pPr>
              <w:pStyle w:val="Compact"/>
              <w:jc w:val="left"/>
            </w:pPr>
            <m:oMath>
              <m:rad>
                <m:radPr>
                  <m:degHide m:val="1"/>
                </m:radPr>
                <m:deg/>
                <m:e>
                  <m:f>
                    <m:fPr>
                      <m:type m:val="bar"/>
                    </m:fPr>
                    <m:num>
                      <m:r>
                        <m:t>1</m:t>
                      </m:r>
                    </m:num>
                    <m:den>
                      <m:sSub>
                        <m:e>
                          <m:r>
                            <m:t>N</m:t>
                          </m:r>
                        </m:e>
                        <m:sub>
                          <m:r>
                            <m:t>t</m:t>
                          </m:r>
                        </m:sub>
                      </m:sSub>
                    </m:den>
                  </m:f>
                  <m:nary>
                    <m:naryPr>
                      <m:chr m:val="∑"/>
                      <m:limLoc m:val="undOvr"/>
                      <m:subHide m:val="0"/>
                      <m:supHide m:val="0"/>
                    </m:naryPr>
                    <m:sub>
                      <m:r>
                        <m:t>i</m:t>
                      </m:r>
                      <m:r>
                        <m:rPr>
                          <m:sty m:val="p"/>
                        </m:rPr>
                        <m:t>=</m:t>
                      </m:r>
                      <m:r>
                        <m:t>1</m:t>
                      </m:r>
                    </m:sub>
                    <m:sup>
                      <m:sSub>
                        <m:e>
                          <m:r>
                            <m:t>N</m:t>
                          </m:r>
                        </m:e>
                        <m:sub>
                          <m:r>
                            <m:t>t</m:t>
                          </m:r>
                        </m:sub>
                      </m:sSub>
                    </m:sup>
                    <m:e>
                      <m:sSup>
                        <m:e>
                          <m:d>
                            <m:dPr>
                              <m:begChr m:val="("/>
                              <m:endChr m:val=")"/>
                              <m:sepChr m:val=""/>
                              <m:grow/>
                            </m:dPr>
                            <m:e>
                              <m:acc>
                                <m:accPr>
                                  <m:chr m:val="̂"/>
                                </m:accPr>
                                <m:e>
                                  <m:sSub>
                                    <m:e>
                                      <m:r>
                                        <m:t>k</m:t>
                                      </m:r>
                                    </m:e>
                                    <m:sub>
                                      <m:r>
                                        <m:t>600</m:t>
                                      </m:r>
                                      <m:r>
                                        <m:rPr>
                                          <m:sty m:val="p"/>
                                        </m:rPr>
                                        <m:t>,</m:t>
                                      </m:r>
                                      <m:r>
                                        <m:t>i</m:t>
                                      </m:r>
                                    </m:sub>
                                  </m:sSub>
                                </m:e>
                              </m:acc>
                              <m:r>
                                <m:rPr>
                                  <m:sty m:val="p"/>
                                </m:rPr>
                                <m:t>−</m:t>
                              </m:r>
                              <m:sSub>
                                <m:e>
                                  <m:r>
                                    <m:t>k</m:t>
                                  </m:r>
                                </m:e>
                                <m:sub>
                                  <m:r>
                                    <m:t>600</m:t>
                                  </m:r>
                                  <m:r>
                                    <m:rPr>
                                      <m:sty m:val="p"/>
                                    </m:rPr>
                                    <m:t>,</m:t>
                                  </m:r>
                                  <m:r>
                                    <m:t>i</m:t>
                                  </m:r>
                                </m:sub>
                              </m:sSub>
                            </m:e>
                          </m:d>
                        </m:e>
                        <m:sup>
                          <m:r>
                            <m:t>2</m:t>
                          </m:r>
                        </m:sup>
                      </m:sSup>
                    </m:e>
                  </m:nary>
                </m:e>
              </m:rad>
            </m:oMath>
          </w:p>
        </w:tc>
        <w:tc>
          <w:tcPr/>
          <w:p>
            <w:pPr>
              <w:pStyle w:val="Compact"/>
              <w:jc w:val="left"/>
            </w:pPr>
            <w:r>
              <w:t xml:space="preserve">0</w:t>
            </w:r>
          </w:p>
        </w:tc>
        <w:tc>
          <w:tcPr/>
          <w:p>
            <w:pPr>
              <w:pStyle w:val="Compact"/>
              <w:jc w:val="left"/>
            </w:pPr>
            <w:r>
              <w:t xml:space="preserve">0 to ∞</w:t>
            </w:r>
          </w:p>
        </w:tc>
        <w:tc>
          <w:tcPr/>
          <w:p>
            <w:pPr>
              <w:pStyle w:val="Compact"/>
              <w:jc w:val="left"/>
            </w:pPr>
            <w:r>
              <w:t xml:space="preserve">All rivers and all timesteps</w:t>
            </w:r>
          </w:p>
        </w:tc>
      </w:tr>
      <w:tr>
        <w:tc>
          <w:tcPr/>
          <w:p>
            <w:pPr>
              <w:pStyle w:val="Compact"/>
              <w:jc w:val="left"/>
            </w:pPr>
            <w:r>
              <w:t xml:space="preserve">Relative root-mean-square error</w:t>
            </w:r>
          </w:p>
        </w:tc>
        <w:tc>
          <w:tcPr/>
          <w:p>
            <w:pPr>
              <w:pStyle w:val="Compact"/>
              <w:jc w:val="left"/>
            </w:pPr>
            <w:r>
              <w:t xml:space="preserve">RRMSE</w:t>
            </w:r>
          </w:p>
        </w:tc>
        <w:tc>
          <w:tcPr/>
          <w:p>
            <w:pPr>
              <w:pStyle w:val="Compact"/>
              <w:jc w:val="left"/>
            </w:pPr>
            <m:oMath>
              <m:rad>
                <m:radPr>
                  <m:degHide m:val="1"/>
                </m:radPr>
                <m:deg/>
                <m:e>
                  <m:f>
                    <m:fPr>
                      <m:type m:val="bar"/>
                    </m:fPr>
                    <m:num>
                      <m:r>
                        <m:t>1</m:t>
                      </m:r>
                    </m:num>
                    <m:den>
                      <m:sSub>
                        <m:e>
                          <m:r>
                            <m:t>N</m:t>
                          </m:r>
                        </m:e>
                        <m:sub>
                          <m:r>
                            <m:t>t</m:t>
                          </m:r>
                        </m:sub>
                      </m:sSub>
                    </m:den>
                  </m:f>
                  <m:nary>
                    <m:naryPr>
                      <m:chr m:val="∑"/>
                      <m:limLoc m:val="undOvr"/>
                      <m:subHide m:val="0"/>
                      <m:supHide m:val="0"/>
                    </m:naryPr>
                    <m:sub>
                      <m:r>
                        <m:t>i</m:t>
                      </m:r>
                      <m:r>
                        <m:rPr>
                          <m:sty m:val="p"/>
                        </m:rPr>
                        <m:t>=</m:t>
                      </m:r>
                      <m:r>
                        <m:t>1</m:t>
                      </m:r>
                    </m:sub>
                    <m:sup>
                      <m:sSub>
                        <m:e>
                          <m:r>
                            <m:t>N</m:t>
                          </m:r>
                        </m:e>
                        <m:sub>
                          <m:r>
                            <m:t>t</m:t>
                          </m:r>
                        </m:sub>
                      </m:sSub>
                    </m:sup>
                    <m:e>
                      <m:sSup>
                        <m:e>
                          <m:d>
                            <m:dPr>
                              <m:begChr m:val="("/>
                              <m:endChr m:val=")"/>
                              <m:sepChr m:val=""/>
                              <m:grow/>
                            </m:dPr>
                            <m:e>
                              <m:f>
                                <m:fPr>
                                  <m:type m:val="bar"/>
                                </m:fPr>
                                <m:num>
                                  <m:acc>
                                    <m:accPr>
                                      <m:chr m:val="̂"/>
                                    </m:accPr>
                                    <m:e>
                                      <m:sSub>
                                        <m:e>
                                          <m:r>
                                            <m:t>k</m:t>
                                          </m:r>
                                        </m:e>
                                        <m:sub>
                                          <m:r>
                                            <m:t>600</m:t>
                                          </m:r>
                                          <m:r>
                                            <m:rPr>
                                              <m:sty m:val="p"/>
                                            </m:rPr>
                                            <m:t>,</m:t>
                                          </m:r>
                                          <m:r>
                                            <m:t>i</m:t>
                                          </m:r>
                                        </m:sub>
                                      </m:sSub>
                                    </m:e>
                                  </m:acc>
                                  <m:r>
                                    <m:rPr>
                                      <m:sty m:val="p"/>
                                    </m:rPr>
                                    <m:t>−</m:t>
                                  </m:r>
                                  <m:sSub>
                                    <m:e>
                                      <m:r>
                                        <m:t>k</m:t>
                                      </m:r>
                                    </m:e>
                                    <m:sub>
                                      <m:r>
                                        <m:t>600</m:t>
                                      </m:r>
                                      <m:r>
                                        <m:rPr>
                                          <m:sty m:val="p"/>
                                        </m:rPr>
                                        <m:t>,</m:t>
                                      </m:r>
                                      <m:r>
                                        <m:t>i</m:t>
                                      </m:r>
                                    </m:sub>
                                  </m:sSub>
                                </m:num>
                                <m:den>
                                  <m:sSub>
                                    <m:e>
                                      <m:r>
                                        <m:t>k</m:t>
                                      </m:r>
                                    </m:e>
                                    <m:sub>
                                      <m:r>
                                        <m:t>600</m:t>
                                      </m:r>
                                      <m:r>
                                        <m:rPr>
                                          <m:sty m:val="p"/>
                                        </m:rPr>
                                        <m:t>,</m:t>
                                      </m:r>
                                      <m:r>
                                        <m:t>i</m:t>
                                      </m:r>
                                    </m:sub>
                                  </m:sSub>
                                </m:den>
                              </m:f>
                            </m:e>
                          </m:d>
                        </m:e>
                        <m:sup>
                          <m:r>
                            <m:t>2</m:t>
                          </m:r>
                        </m:sup>
                      </m:sSup>
                    </m:e>
                  </m:nary>
                </m:e>
              </m:rad>
            </m:oMath>
          </w:p>
        </w:tc>
        <w:tc>
          <w:tcPr/>
          <w:p>
            <w:pPr>
              <w:pStyle w:val="Compact"/>
              <w:jc w:val="left"/>
            </w:pPr>
            <w:r>
              <w:t xml:space="preserve">0</w:t>
            </w:r>
          </w:p>
        </w:tc>
        <w:tc>
          <w:tcPr/>
          <w:p>
            <w:pPr>
              <w:pStyle w:val="Compact"/>
              <w:jc w:val="left"/>
            </w:pPr>
            <w:r>
              <w:t xml:space="preserve">0 to ∞</w:t>
            </w:r>
          </w:p>
        </w:tc>
        <w:tc>
          <w:tcPr/>
          <w:p>
            <w:pPr>
              <w:pStyle w:val="Compact"/>
              <w:jc w:val="left"/>
            </w:pPr>
            <w:r>
              <w:t xml:space="preserve">By river</w:t>
            </w:r>
          </w:p>
        </w:tc>
      </w:tr>
      <w:tr>
        <w:tc>
          <w:tcPr/>
          <w:p>
            <w:pPr>
              <w:pStyle w:val="Compact"/>
              <w:jc w:val="left"/>
            </w:pPr>
            <w:r>
              <w:t xml:space="preserve">Normalized root-mean-square error</w:t>
            </w:r>
          </w:p>
        </w:tc>
        <w:tc>
          <w:tcPr/>
          <w:p>
            <w:pPr>
              <w:pStyle w:val="Compact"/>
              <w:jc w:val="left"/>
            </w:pPr>
            <w:r>
              <w:t xml:space="preserve">NRMSE</w:t>
            </w:r>
          </w:p>
        </w:tc>
        <w:tc>
          <w:tcPr/>
          <w:p>
            <w:pPr>
              <w:pStyle w:val="Compact"/>
              <w:jc w:val="left"/>
            </w:pPr>
            <m:oMath>
              <m:rad>
                <m:radPr>
                  <m:degHide m:val="1"/>
                </m:radPr>
                <m:deg/>
                <m:e>
                  <m:f>
                    <m:fPr>
                      <m:type m:val="bar"/>
                    </m:fPr>
                    <m:num>
                      <m:r>
                        <m:t>1</m:t>
                      </m:r>
                    </m:num>
                    <m:den>
                      <m:sSub>
                        <m:e>
                          <m:r>
                            <m:t>N</m:t>
                          </m:r>
                        </m:e>
                        <m:sub>
                          <m:r>
                            <m:t>t</m:t>
                          </m:r>
                        </m:sub>
                      </m:sSub>
                    </m:den>
                  </m:f>
                  <m:nary>
                    <m:naryPr>
                      <m:chr m:val="∑"/>
                      <m:limLoc m:val="undOvr"/>
                      <m:subHide m:val="0"/>
                      <m:supHide m:val="0"/>
                    </m:naryPr>
                    <m:sub>
                      <m:r>
                        <m:t>i</m:t>
                      </m:r>
                      <m:r>
                        <m:rPr>
                          <m:sty m:val="p"/>
                        </m:rPr>
                        <m:t>=</m:t>
                      </m:r>
                      <m:r>
                        <m:t>1</m:t>
                      </m:r>
                    </m:sub>
                    <m:sup>
                      <m:sSub>
                        <m:e>
                          <m:r>
                            <m:t>N</m:t>
                          </m:r>
                        </m:e>
                        <m:sub>
                          <m:r>
                            <m:t>t</m:t>
                          </m:r>
                        </m:sub>
                      </m:sSub>
                    </m:sup>
                    <m:e>
                      <m:sSup>
                        <m:e>
                          <m:d>
                            <m:dPr>
                              <m:begChr m:val="("/>
                              <m:endChr m:val=")"/>
                              <m:sepChr m:val=""/>
                              <m:grow/>
                            </m:dPr>
                            <m:e>
                              <m:f>
                                <m:fPr>
                                  <m:type m:val="bar"/>
                                </m:fPr>
                                <m:num>
                                  <m:acc>
                                    <m:accPr>
                                      <m:chr m:val="̂"/>
                                    </m:accPr>
                                    <m:e>
                                      <m:sSub>
                                        <m:e>
                                          <m:r>
                                            <m:t>k</m:t>
                                          </m:r>
                                        </m:e>
                                        <m:sub>
                                          <m:r>
                                            <m:t>600</m:t>
                                          </m:r>
                                          <m:r>
                                            <m:rPr>
                                              <m:sty m:val="p"/>
                                            </m:rPr>
                                            <m:t>,</m:t>
                                          </m:r>
                                          <m:r>
                                            <m:t>i</m:t>
                                          </m:r>
                                        </m:sub>
                                      </m:sSub>
                                    </m:e>
                                  </m:acc>
                                  <m:r>
                                    <m:rPr>
                                      <m:sty m:val="p"/>
                                    </m:rPr>
                                    <m:t>−</m:t>
                                  </m:r>
                                  <m:sSub>
                                    <m:e>
                                      <m:r>
                                        <m:t>k</m:t>
                                      </m:r>
                                    </m:e>
                                    <m:sub>
                                      <m:r>
                                        <m:t>600</m:t>
                                      </m:r>
                                      <m:r>
                                        <m:rPr>
                                          <m:sty m:val="p"/>
                                        </m:rPr>
                                        <m:t>,</m:t>
                                      </m:r>
                                      <m:r>
                                        <m:t>i</m:t>
                                      </m:r>
                                    </m:sub>
                                  </m:sSub>
                                </m:num>
                                <m:den>
                                  <m:acc>
                                    <m:accPr>
                                      <m:chr m:val="‾"/>
                                    </m:accPr>
                                    <m:e>
                                      <m:sSub>
                                        <m:e>
                                          <m:r>
                                            <m:t>k</m:t>
                                          </m:r>
                                        </m:e>
                                        <m:sub>
                                          <m:r>
                                            <m:t>600</m:t>
                                          </m:r>
                                          <m:r>
                                            <m:rPr>
                                              <m:sty m:val="p"/>
                                            </m:rPr>
                                            <m:t>,</m:t>
                                          </m:r>
                                          <m:r>
                                            <m:t>i</m:t>
                                          </m:r>
                                        </m:sub>
                                      </m:sSub>
                                    </m:e>
                                  </m:acc>
                                </m:den>
                              </m:f>
                            </m:e>
                          </m:d>
                        </m:e>
                        <m:sup>
                          <m:r>
                            <m:t>2</m:t>
                          </m:r>
                        </m:sup>
                      </m:sSup>
                    </m:e>
                  </m:nary>
                </m:e>
              </m:rad>
            </m:oMath>
          </w:p>
        </w:tc>
        <w:tc>
          <w:tcPr/>
          <w:p>
            <w:pPr>
              <w:pStyle w:val="Compact"/>
              <w:jc w:val="left"/>
            </w:pPr>
            <w:r>
              <w:t xml:space="preserve">0</w:t>
            </w:r>
          </w:p>
        </w:tc>
        <w:tc>
          <w:tcPr/>
          <w:p>
            <w:pPr>
              <w:pStyle w:val="Compact"/>
              <w:jc w:val="left"/>
            </w:pPr>
            <w:r>
              <w:t xml:space="preserve">0 to ∞</w:t>
            </w:r>
          </w:p>
        </w:tc>
        <w:tc>
          <w:tcPr/>
          <w:p>
            <w:pPr>
              <w:pStyle w:val="Compact"/>
              <w:jc w:val="left"/>
            </w:pPr>
            <w:r>
              <w:t xml:space="preserve">By river</w:t>
            </w:r>
          </w:p>
        </w:tc>
      </w:tr>
      <w:tr>
        <w:tc>
          <w:tcPr/>
          <w:p>
            <w:pPr>
              <w:pStyle w:val="Compact"/>
              <w:jc w:val="left"/>
            </w:pPr>
            <w:r>
              <w:t xml:space="preserve">Relative bias</w:t>
            </w:r>
          </w:p>
        </w:tc>
        <w:tc>
          <w:tcPr/>
          <w:p>
            <w:pPr>
              <w:pStyle w:val="Compact"/>
              <w:jc w:val="left"/>
            </w:pPr>
            <w:r>
              <w:t xml:space="preserve">rBIAS</w:t>
            </w:r>
          </w:p>
        </w:tc>
        <w:tc>
          <w:tcPr/>
          <w:p>
            <w:pPr>
              <w:pStyle w:val="Compact"/>
              <w:jc w:val="left"/>
            </w:pPr>
            <m:oMath>
              <m:f>
                <m:fPr>
                  <m:type m:val="bar"/>
                </m:fPr>
                <m:num>
                  <m:r>
                    <m:t>1</m:t>
                  </m:r>
                </m:num>
                <m:den>
                  <m:sSub>
                    <m:e>
                      <m:r>
                        <m:t>N</m:t>
                      </m:r>
                    </m:e>
                    <m:sub>
                      <m:r>
                        <m:t>t</m:t>
                      </m:r>
                    </m:sub>
                  </m:sSub>
                </m:den>
              </m:f>
              <m:nary>
                <m:naryPr>
                  <m:chr m:val="∑"/>
                  <m:limLoc m:val="undOvr"/>
                  <m:subHide m:val="0"/>
                  <m:supHide m:val="0"/>
                </m:naryPr>
                <m:sub>
                  <m:r>
                    <m:t>i</m:t>
                  </m:r>
                  <m:r>
                    <m:rPr>
                      <m:sty m:val="p"/>
                    </m:rPr>
                    <m:t>=</m:t>
                  </m:r>
                  <m:r>
                    <m:t>1</m:t>
                  </m:r>
                </m:sub>
                <m:sup>
                  <m:sSub>
                    <m:e>
                      <m:r>
                        <m:t>N</m:t>
                      </m:r>
                    </m:e>
                    <m:sub>
                      <m:r>
                        <m:t>t</m:t>
                      </m:r>
                    </m:sub>
                  </m:sSub>
                </m:sup>
                <m:e>
                  <m:d>
                    <m:dPr>
                      <m:begChr m:val="("/>
                      <m:endChr m:val=")"/>
                      <m:sepChr m:val=""/>
                      <m:grow/>
                    </m:dPr>
                    <m:e>
                      <m:f>
                        <m:fPr>
                          <m:type m:val="bar"/>
                        </m:fPr>
                        <m:num>
                          <m:acc>
                            <m:accPr>
                              <m:chr m:val="̂"/>
                            </m:accPr>
                            <m:e>
                              <m:sSub>
                                <m:e>
                                  <m:r>
                                    <m:t>k</m:t>
                                  </m:r>
                                </m:e>
                                <m:sub>
                                  <m:r>
                                    <m:t>600</m:t>
                                  </m:r>
                                  <m:r>
                                    <m:rPr>
                                      <m:sty m:val="p"/>
                                    </m:rPr>
                                    <m:t>,</m:t>
                                  </m:r>
                                  <m:r>
                                    <m:t>i</m:t>
                                  </m:r>
                                </m:sub>
                              </m:sSub>
                            </m:e>
                          </m:acc>
                          <m:r>
                            <m:rPr>
                              <m:sty m:val="p"/>
                            </m:rPr>
                            <m:t>−</m:t>
                          </m:r>
                          <m:sSub>
                            <m:e>
                              <m:r>
                                <m:t>k</m:t>
                              </m:r>
                            </m:e>
                            <m:sub>
                              <m:r>
                                <m:t>600</m:t>
                              </m:r>
                              <m:r>
                                <m:rPr>
                                  <m:sty m:val="p"/>
                                </m:rPr>
                                <m:t>,</m:t>
                              </m:r>
                              <m:r>
                                <m:t>i</m:t>
                              </m:r>
                            </m:sub>
                          </m:sSub>
                        </m:num>
                        <m:den>
                          <m:acc>
                            <m:accPr>
                              <m:chr m:val="‾"/>
                            </m:accPr>
                            <m:e>
                              <m:sSub>
                                <m:e>
                                  <m:r>
                                    <m:t>k</m:t>
                                  </m:r>
                                </m:e>
                                <m:sub>
                                  <m:r>
                                    <m:t>600</m:t>
                                  </m:r>
                                  <m:r>
                                    <m:rPr>
                                      <m:sty m:val="p"/>
                                    </m:rPr>
                                    <m:t>,</m:t>
                                  </m:r>
                                  <m:r>
                                    <m:t>i</m:t>
                                  </m:r>
                                </m:sub>
                              </m:sSub>
                            </m:e>
                          </m:acc>
                        </m:den>
                      </m:f>
                    </m:e>
                  </m:d>
                </m:e>
              </m:nary>
            </m:oMath>
          </w:p>
        </w:tc>
        <w:tc>
          <w:tcPr/>
          <w:p>
            <w:pPr>
              <w:pStyle w:val="Compact"/>
              <w:jc w:val="left"/>
            </w:pPr>
            <w:r>
              <w:t xml:space="preserve">0</w:t>
            </w:r>
          </w:p>
        </w:tc>
        <w:tc>
          <w:tcPr/>
          <w:p>
            <w:pPr>
              <w:pStyle w:val="Compact"/>
              <w:jc w:val="left"/>
            </w:pPr>
            <w:r>
              <w:t xml:space="preserve">-∞ to ∞</w:t>
            </w:r>
          </w:p>
        </w:tc>
        <w:tc>
          <w:tcPr/>
          <w:p>
            <w:pPr>
              <w:pStyle w:val="Compact"/>
              <w:jc w:val="left"/>
            </w:pPr>
            <w:r>
              <w:t xml:space="preserve">By river</w:t>
            </w:r>
          </w:p>
        </w:tc>
      </w:tr>
    </w:tbl>
    <w:bookmarkEnd w:id="30"/>
    <w:bookmarkStart w:id="31" w:name="table-s3"/>
    <w:p>
      <w:pPr>
        <w:pStyle w:val="Heading2"/>
      </w:pPr>
      <w:r>
        <w:t xml:space="preserve">Table S3</w:t>
      </w:r>
    </w:p>
    <w:p>
      <w:pPr>
        <w:pStyle w:val="FirstParagraph"/>
      </w:pPr>
      <w:r>
        <w:rPr>
          <w:iCs/>
          <w:i/>
        </w:rPr>
        <w:t xml:space="preserve">Table S3: Details on the 3 depth hydraulic geometry models used to estimate FCO2 from the SWOT rivers (section 2.4).</w:t>
      </w:r>
    </w:p>
    <w:tbl>
      <w:tblPr>
        <w:tblStyle w:val="Table"/>
        <w:tblW w:type="pct" w:w="5000"/>
        <w:tblLook w:firstRow="1" w:lastRow="0" w:firstColumn="0" w:lastColumn="0" w:noHBand="0" w:noVBand="0" w:val="0020"/>
      </w:tblPr>
      <w:tblGrid>
        <w:gridCol w:w="844"/>
        <w:gridCol w:w="1900"/>
        <w:gridCol w:w="2217"/>
        <w:gridCol w:w="1584"/>
        <w:gridCol w:w="1372"/>
      </w:tblGrid>
      <w:tr>
        <w:trPr>
          <w:tblHeader w:val="true"/>
        </w:trPr>
        <w:tc>
          <w:tcPr/>
          <w:p>
            <w:pPr>
              <w:pStyle w:val="Compact"/>
              <w:jc w:val="left"/>
            </w:pPr>
            <w:r>
              <w:rPr>
                <w:bCs/>
                <w:b/>
              </w:rPr>
              <w:t xml:space="preserve">Name</w:t>
            </w:r>
          </w:p>
        </w:tc>
        <w:tc>
          <w:tcPr/>
          <w:p>
            <w:pPr>
              <w:pStyle w:val="Compact"/>
              <w:jc w:val="left"/>
            </w:pPr>
            <w:r>
              <w:rPr>
                <w:bCs/>
                <w:b/>
              </w:rPr>
              <w:t xml:space="preserve">Depth equation</w:t>
            </w:r>
          </w:p>
        </w:tc>
        <w:tc>
          <w:tcPr/>
          <w:p>
            <w:pPr>
              <w:pStyle w:val="Compact"/>
              <w:jc w:val="left"/>
            </w:pPr>
            <w:r>
              <w:rPr>
                <w:bCs/>
                <w:b/>
              </w:rPr>
              <w:t xml:space="preserve">Velocity equation</w:t>
            </w:r>
          </w:p>
        </w:tc>
        <w:tc>
          <w:tcPr/>
          <w:p>
            <w:pPr>
              <w:pStyle w:val="Compact"/>
              <w:jc w:val="left"/>
            </w:pPr>
            <w:r>
              <w:rPr>
                <w:bCs/>
                <w:b/>
              </w:rPr>
              <w:t xml:space="preserve">Description</w:t>
            </w:r>
          </w:p>
        </w:tc>
        <w:tc>
          <w:tcPr/>
          <w:p>
            <w:pPr>
              <w:pStyle w:val="Compact"/>
              <w:jc w:val="left"/>
            </w:pPr>
            <w:r>
              <w:rPr>
                <w:bCs/>
                <w:b/>
              </w:rPr>
              <w:t xml:space="preserve">Reference</w:t>
            </w:r>
          </w:p>
        </w:tc>
      </w:tr>
      <w:tr>
        <w:tc>
          <w:tcPr/>
          <w:p>
            <w:pPr>
              <w:pStyle w:val="Compact"/>
              <w:jc w:val="left"/>
            </w:pPr>
            <w:r>
              <w:t xml:space="preserve">Brinkerhoff 2019</w:t>
            </w:r>
          </w:p>
        </w:tc>
        <w:tc>
          <w:tcPr/>
          <w:p>
            <w:pPr>
              <w:pStyle w:val="Compact"/>
              <w:jc w:val="left"/>
            </w:pPr>
            <m:oMath>
              <m:r>
                <m:t>D</m:t>
              </m:r>
              <m:r>
                <m:rPr>
                  <m:sty m:val="p"/>
                </m:rPr>
                <m:t>=</m:t>
              </m:r>
              <m:r>
                <m:t>0.265</m:t>
              </m:r>
              <m:sSup>
                <m:e>
                  <m:r>
                    <m:t>Q</m:t>
                  </m:r>
                </m:e>
                <m:sup>
                  <m:r>
                    <m:t>0.395</m:t>
                  </m:r>
                </m:sup>
              </m:sSup>
            </m:oMath>
          </w:p>
        </w:tc>
        <w:tc>
          <w:tcPr/>
          <w:p>
            <w:pPr>
              <w:pStyle w:val="Compact"/>
              <w:jc w:val="left"/>
            </w:pPr>
            <m:oMath>
              <m:acc>
                <m:accPr>
                  <m:chr m:val="‾"/>
                </m:accPr>
                <m:e>
                  <m:r>
                    <m:t>U</m:t>
                  </m:r>
                </m:e>
              </m:acc>
              <m:r>
                <m:rPr>
                  <m:sty m:val="p"/>
                </m:rPr>
                <m:t>=</m:t>
              </m:r>
              <m:r>
                <m:t>0.284</m:t>
              </m:r>
              <m:sSup>
                <m:e>
                  <m:r>
                    <m:t>Q</m:t>
                  </m:r>
                </m:e>
                <m:sup>
                  <m:r>
                    <m:t>0.191</m:t>
                  </m:r>
                </m:sup>
              </m:sSup>
            </m:oMath>
          </w:p>
        </w:tc>
        <w:tc>
          <w:tcPr/>
          <w:p>
            <w:pPr>
              <w:pStyle w:val="Compact"/>
              <w:jc w:val="left"/>
            </w:pPr>
            <w:r>
              <w:t xml:space="preserve">530,945 measurements made across the United States at streamgauges</w:t>
            </w:r>
          </w:p>
        </w:tc>
        <w:tc>
          <w:tcPr/>
          <w:p>
            <w:pPr>
              <w:pStyle w:val="Compact"/>
              <w:jc w:val="left"/>
            </w:pPr>
            <w:r>
              <w:t xml:space="preserve">this study;</w:t>
            </w:r>
            <w:r>
              <w:t xml:space="preserve"> </w:t>
            </w:r>
            <w:r>
              <w:t xml:space="preserve">Brinkerhoff et al. (2019)</w:t>
            </w:r>
          </w:p>
        </w:tc>
      </w:tr>
      <w:tr>
        <w:tc>
          <w:tcPr/>
          <w:p>
            <w:pPr>
              <w:pStyle w:val="Compact"/>
              <w:jc w:val="left"/>
            </w:pPr>
            <w:r>
              <w:t xml:space="preserve">Raymond 2012</w:t>
            </w:r>
          </w:p>
        </w:tc>
        <w:tc>
          <w:tcPr/>
          <w:p>
            <w:pPr>
              <w:pStyle w:val="Compact"/>
              <w:jc w:val="left"/>
            </w:pPr>
            <m:oMath>
              <m:r>
                <m:t>D</m:t>
              </m:r>
              <m:r>
                <m:rPr>
                  <m:sty m:val="p"/>
                </m:rPr>
                <m:t>=</m:t>
              </m:r>
              <m:r>
                <m:t>0.409</m:t>
              </m:r>
              <m:sSup>
                <m:e>
                  <m:r>
                    <m:t>Q</m:t>
                  </m:r>
                </m:e>
                <m:sup>
                  <m:r>
                    <m:t>0.294</m:t>
                  </m:r>
                </m:sup>
              </m:sSup>
            </m:oMath>
          </w:p>
        </w:tc>
        <w:tc>
          <w:tcPr/>
          <w:p>
            <w:pPr>
              <w:pStyle w:val="Compact"/>
              <w:jc w:val="left"/>
            </w:pPr>
            <m:oMath>
              <m:acc>
                <m:accPr>
                  <m:chr m:val="‾"/>
                </m:accPr>
                <m:e>
                  <m:r>
                    <m:t>U</m:t>
                  </m:r>
                </m:e>
              </m:acc>
              <m:r>
                <m:rPr>
                  <m:sty m:val="p"/>
                </m:rPr>
                <m:t>=</m:t>
              </m:r>
              <m:r>
                <m:t>0.194</m:t>
              </m:r>
              <m:sSup>
                <m:e>
                  <m:r>
                    <m:t>Q</m:t>
                  </m:r>
                </m:e>
                <m:sup>
                  <m:r>
                    <m:t>0.285</m:t>
                  </m:r>
                </m:sup>
              </m:sSup>
            </m:oMath>
          </w:p>
        </w:tc>
        <w:tc>
          <w:tcPr/>
          <w:p>
            <w:pPr>
              <w:pStyle w:val="Compact"/>
            </w:pPr>
          </w:p>
        </w:tc>
        <w:tc>
          <w:tcPr/>
          <w:p>
            <w:pPr>
              <w:pStyle w:val="Compact"/>
              <w:jc w:val="left"/>
            </w:pPr>
            <w:r>
              <w:t xml:space="preserve">1,026 measurements across the United States</w:t>
            </w:r>
          </w:p>
        </w:tc>
      </w:tr>
      <w:tr>
        <w:tc>
          <w:tcPr/>
          <w:p>
            <w:pPr>
              <w:pStyle w:val="Compact"/>
              <w:jc w:val="left"/>
            </w:pPr>
            <w:r>
              <w:t xml:space="preserve">Raymond 2013</w:t>
            </w:r>
          </w:p>
        </w:tc>
        <w:tc>
          <w:tcPr/>
          <w:p>
            <w:pPr>
              <w:pStyle w:val="Compact"/>
              <w:jc w:val="left"/>
            </w:pPr>
            <m:oMath>
              <m:r>
                <m:t>D</m:t>
              </m:r>
              <m:r>
                <m:rPr>
                  <m:sty m:val="p"/>
                </m:rPr>
                <m:t>=</m:t>
              </m:r>
              <m:r>
                <m:t>0.409</m:t>
              </m:r>
              <m:sSup>
                <m:e>
                  <m:r>
                    <m:t>Q</m:t>
                  </m:r>
                </m:e>
                <m:sup>
                  <m:r>
                    <m:t>0.294</m:t>
                  </m:r>
                </m:sup>
              </m:sSup>
              <m:r>
                <m:rPr>
                  <m:sty m:val="p"/>
                </m:rPr>
                <m:t>,</m:t>
              </m:r>
              <m:r>
                <m:t>D</m:t>
              </m:r>
              <m:r>
                <m:rPr>
                  <m:sty m:val="p"/>
                </m:rPr>
                <m:t>=</m:t>
              </m:r>
              <m:r>
                <m:t>0.449</m:t>
              </m:r>
              <m:sSup>
                <m:e>
                  <m:r>
                    <m:t>Q</m:t>
                  </m:r>
                </m:e>
                <m:sup>
                  <m:r>
                    <m:t>0.37</m:t>
                  </m:r>
                </m:sup>
              </m:sSup>
            </m:oMath>
          </w:p>
        </w:tc>
        <w:tc>
          <w:tcPr/>
          <w:p>
            <w:pPr>
              <w:pStyle w:val="Compact"/>
              <w:jc w:val="left"/>
            </w:pPr>
            <m:oMath>
              <m:acc>
                <m:accPr>
                  <m:chr m:val="‾"/>
                </m:accPr>
                <m:e>
                  <m:r>
                    <m:t>U</m:t>
                  </m:r>
                </m:e>
              </m:acc>
              <m:r>
                <m:rPr>
                  <m:sty m:val="p"/>
                </m:rPr>
                <m:t>=</m:t>
              </m:r>
              <m:r>
                <m:t>0.194</m:t>
              </m:r>
              <m:sSup>
                <m:e>
                  <m:r>
                    <m:t>Q</m:t>
                  </m:r>
                </m:e>
                <m:sup>
                  <m:r>
                    <m:t>0.285</m:t>
                  </m:r>
                </m:sup>
              </m:sSup>
              <m:r>
                <m:rPr>
                  <m:sty m:val="p"/>
                </m:rPr>
                <m:t>,</m:t>
              </m:r>
              <m:acc>
                <m:accPr>
                  <m:chr m:val="‾"/>
                </m:accPr>
                <m:e>
                  <m:r>
                    <m:t>U</m:t>
                  </m:r>
                </m:e>
              </m:acc>
              <m:r>
                <m:rPr>
                  <m:sty m:val="p"/>
                </m:rPr>
                <m:t>=</m:t>
              </m:r>
              <m:r>
                <m:t>0.346</m:t>
              </m:r>
              <m:sSup>
                <m:e>
                  <m:r>
                    <m:t>Q</m:t>
                  </m:r>
                </m:e>
                <m:sup>
                  <m:r>
                    <m:t>0.120</m:t>
                  </m:r>
                </m:sup>
              </m:sSup>
            </m:oMath>
          </w:p>
        </w:tc>
        <w:tc>
          <w:tcPr/>
          <w:p>
            <w:pPr>
              <w:pStyle w:val="Compact"/>
              <w:jc w:val="left"/>
            </w:pPr>
            <w:r>
              <w:t xml:space="preserve">Average of the Raymond 2012 equation and one using 9,811 measurements at US streamgauges</w:t>
            </w:r>
          </w:p>
        </w:tc>
        <w:tc>
          <w:tcPr/>
          <w:p>
            <w:pPr>
              <w:pStyle w:val="Compact"/>
              <w:jc w:val="left"/>
            </w:pPr>
            <w:r>
              <w:t xml:space="preserve">Raymond et al. (2013)</w:t>
            </w:r>
          </w:p>
        </w:tc>
      </w:tr>
    </w:tbl>
    <w:bookmarkEnd w:id="31"/>
    <w:bookmarkStart w:id="71" w:name="references"/>
    <w:p>
      <w:pPr>
        <w:pStyle w:val="Heading2"/>
      </w:pPr>
      <w:r>
        <w:t xml:space="preserve">References</w:t>
      </w:r>
    </w:p>
    <w:bookmarkStart w:id="70" w:name="refs"/>
    <w:bookmarkStart w:id="33" w:name="ref-beaulieuControlsGasTransfer2012"/>
    <w:p>
      <w:pPr>
        <w:pStyle w:val="Bibliography"/>
      </w:pPr>
      <w:r>
        <w:t xml:space="preserve">Beaulieu, J. J., Shuster, W. D., &amp; Rebholz, J. A. (2012). Controls on gas transfer velocities in a large river.</w:t>
      </w:r>
      <w:r>
        <w:t xml:space="preserve"> </w:t>
      </w:r>
      <w:r>
        <w:rPr>
          <w:iCs/>
          <w:i/>
        </w:rPr>
        <w:t xml:space="preserve">Journal of Geophysical Research: Biogeosciences</w:t>
      </w:r>
      <w:r>
        <w:t xml:space="preserve">,</w:t>
      </w:r>
      <w:r>
        <w:t xml:space="preserve"> </w:t>
      </w:r>
      <w:r>
        <w:rPr>
          <w:iCs/>
          <w:i/>
        </w:rPr>
        <w:t xml:space="preserve">117</w:t>
      </w:r>
      <w:r>
        <w:t xml:space="preserve">(G2).</w:t>
      </w:r>
      <w:r>
        <w:t xml:space="preserve"> </w:t>
      </w:r>
      <w:hyperlink r:id="rId32">
        <w:r>
          <w:rPr>
            <w:rStyle w:val="Hyperlink"/>
          </w:rPr>
          <w:t xml:space="preserve">https://doi.org/10.1029/2011JG001794</w:t>
        </w:r>
      </w:hyperlink>
    </w:p>
    <w:bookmarkEnd w:id="33"/>
    <w:bookmarkStart w:id="35" w:name="Xf11a3fb693d1ae5f94e27f6115cb261ea2cab42"/>
    <w:p>
      <w:pPr>
        <w:pStyle w:val="Bibliography"/>
      </w:pPr>
      <w:r>
        <w:t xml:space="preserve">Bernot, M. J., Sobota, D. J., Hall Jr, R. O., Mulholland, P. J., Dodds, W. K., Webster, J. R., et al. (2010). Inter-regional comparison of land-use effects on stream metabolism.</w:t>
      </w:r>
      <w:r>
        <w:t xml:space="preserve"> </w:t>
      </w:r>
      <w:r>
        <w:rPr>
          <w:iCs/>
          <w:i/>
        </w:rPr>
        <w:t xml:space="preserve">Freshwater Biology</w:t>
      </w:r>
      <w:r>
        <w:t xml:space="preserve">,</w:t>
      </w:r>
      <w:r>
        <w:t xml:space="preserve"> </w:t>
      </w:r>
      <w:r>
        <w:rPr>
          <w:iCs/>
          <w:i/>
        </w:rPr>
        <w:t xml:space="preserve">55</w:t>
      </w:r>
      <w:r>
        <w:t xml:space="preserve">(9), 1874–1890.</w:t>
      </w:r>
      <w:r>
        <w:t xml:space="preserve"> </w:t>
      </w:r>
      <w:hyperlink r:id="rId34">
        <w:r>
          <w:rPr>
            <w:rStyle w:val="Hyperlink"/>
          </w:rPr>
          <w:t xml:space="preserve">https://doi.org/10.1111/j.1365-2427.2010.02422.x</w:t>
        </w:r>
      </w:hyperlink>
    </w:p>
    <w:bookmarkEnd w:id="35"/>
    <w:bookmarkStart w:id="37" w:name="ref-bottEcosystemMetabolismStreams2006"/>
    <w:p>
      <w:pPr>
        <w:pStyle w:val="Bibliography"/>
      </w:pPr>
      <w:r>
        <w:t xml:space="preserve">Bott, T. L., Montgomery, D. S., Newbold, J. D., Arscott, D. B., Dow, C. L., Aufdenkampe, A. K., et al. (2006). Ecosystem metabolism in streams of the</w:t>
      </w:r>
      <w:r>
        <w:t xml:space="preserve"> </w:t>
      </w:r>
      <w:r>
        <w:t xml:space="preserve">Catskill Mountains</w:t>
      </w:r>
      <w:r>
        <w:t xml:space="preserve"> </w:t>
      </w:r>
      <w:r>
        <w:t xml:space="preserve">(</w:t>
      </w:r>
      <w:r>
        <w:t xml:space="preserve">Delaware</w:t>
      </w:r>
      <w:r>
        <w:t xml:space="preserve"> </w:t>
      </w:r>
      <w:r>
        <w:t xml:space="preserve">and</w:t>
      </w:r>
      <w:r>
        <w:t xml:space="preserve"> </w:t>
      </w:r>
      <w:r>
        <w:t xml:space="preserve">Hudson River</w:t>
      </w:r>
      <w:r>
        <w:t xml:space="preserve"> </w:t>
      </w:r>
      <w:r>
        <w:t xml:space="preserve">watersheds) and</w:t>
      </w:r>
      <w:r>
        <w:t xml:space="preserve"> </w:t>
      </w:r>
      <w:r>
        <w:t xml:space="preserve">Lower Hudson Valley</w:t>
      </w:r>
      <w:r>
        <w:t xml:space="preserve">.</w:t>
      </w:r>
      <w:r>
        <w:t xml:space="preserve"> </w:t>
      </w:r>
      <w:r>
        <w:rPr>
          <w:iCs/>
          <w:i/>
        </w:rPr>
        <w:t xml:space="preserve">Journal of the North American Benthological Society</w:t>
      </w:r>
      <w:r>
        <w:t xml:space="preserve">,</w:t>
      </w:r>
      <w:r>
        <w:t xml:space="preserve"> </w:t>
      </w:r>
      <w:r>
        <w:rPr>
          <w:iCs/>
          <w:i/>
        </w:rPr>
        <w:t xml:space="preserve">25</w:t>
      </w:r>
      <w:r>
        <w:t xml:space="preserve">(4), 1018–1044.</w:t>
      </w:r>
      <w:r>
        <w:t xml:space="preserve"> </w:t>
      </w:r>
      <w:hyperlink r:id="rId36">
        <w:r>
          <w:rPr>
            <w:rStyle w:val="Hyperlink"/>
          </w:rPr>
          <w:t xml:space="preserve">https://doi.org/10.1899/0887-3593(2006)025[1018:EMISOT]2.0.CO;2</w:t>
        </w:r>
      </w:hyperlink>
    </w:p>
    <w:bookmarkEnd w:id="37"/>
    <w:bookmarkStart w:id="39" w:name="ref-bottEcosystemMetabolismPiedmont2006"/>
    <w:p>
      <w:pPr>
        <w:pStyle w:val="Bibliography"/>
      </w:pPr>
      <w:r>
        <w:t xml:space="preserve">Bott, T. L., Newbold, J. D., &amp; Arscott, D. B. (2006). Ecosystem</w:t>
      </w:r>
      <w:r>
        <w:t xml:space="preserve"> </w:t>
      </w:r>
      <w:r>
        <w:t xml:space="preserve">Metabolism</w:t>
      </w:r>
      <w:r>
        <w:t xml:space="preserve"> </w:t>
      </w:r>
      <w:r>
        <w:t xml:space="preserve">in</w:t>
      </w:r>
      <w:r>
        <w:t xml:space="preserve"> </w:t>
      </w:r>
      <w:r>
        <w:t xml:space="preserve">Piedmont Streams</w:t>
      </w:r>
      <w:r>
        <w:t xml:space="preserve">:</w:t>
      </w:r>
      <w:r>
        <w:t xml:space="preserve"> </w:t>
      </w:r>
      <w:r>
        <w:t xml:space="preserve">Reach Geomorphology Modulates</w:t>
      </w:r>
      <w:r>
        <w:t xml:space="preserve"> </w:t>
      </w:r>
      <w:r>
        <w:t xml:space="preserve">the</w:t>
      </w:r>
      <w:r>
        <w:t xml:space="preserve"> </w:t>
      </w:r>
      <w:r>
        <w:t xml:space="preserve">Influence</w:t>
      </w:r>
      <w:r>
        <w:t xml:space="preserve"> </w:t>
      </w:r>
      <w:r>
        <w:t xml:space="preserve">of</w:t>
      </w:r>
      <w:r>
        <w:t xml:space="preserve"> </w:t>
      </w:r>
      <w:r>
        <w:t xml:space="preserve">Riparian Vegetation</w:t>
      </w:r>
      <w:r>
        <w:t xml:space="preserve">.</w:t>
      </w:r>
      <w:r>
        <w:t xml:space="preserve"> </w:t>
      </w:r>
      <w:r>
        <w:rPr>
          <w:iCs/>
          <w:i/>
        </w:rPr>
        <w:t xml:space="preserve">Ecosystems</w:t>
      </w:r>
      <w:r>
        <w:t xml:space="preserve">,</w:t>
      </w:r>
      <w:r>
        <w:t xml:space="preserve"> </w:t>
      </w:r>
      <w:r>
        <w:rPr>
          <w:iCs/>
          <w:i/>
        </w:rPr>
        <w:t xml:space="preserve">9</w:t>
      </w:r>
      <w:r>
        <w:t xml:space="preserve">(3), 398–421.</w:t>
      </w:r>
      <w:r>
        <w:t xml:space="preserve"> </w:t>
      </w:r>
      <w:hyperlink r:id="rId38">
        <w:r>
          <w:rPr>
            <w:rStyle w:val="Hyperlink"/>
          </w:rPr>
          <w:t xml:space="preserve">https://doi.org/10.1007/s10021-005-0086-6</w:t>
        </w:r>
      </w:hyperlink>
    </w:p>
    <w:bookmarkEnd w:id="39"/>
    <w:bookmarkStart w:id="41" w:name="X1a76598ca511f3330c42372d0336b7d2eb8a399"/>
    <w:p>
      <w:pPr>
        <w:pStyle w:val="Bibliography"/>
      </w:pPr>
      <w:r>
        <w:t xml:space="preserve">Brinkerhoff, C. B., Gleason, C. J., &amp; Ostendorf, D. W. (2019). Reconciling at-a-</w:t>
      </w:r>
      <w:r>
        <w:t xml:space="preserve">Station</w:t>
      </w:r>
      <w:r>
        <w:t xml:space="preserve"> </w:t>
      </w:r>
      <w:r>
        <w:t xml:space="preserve">and at-</w:t>
      </w:r>
      <w:r>
        <w:t xml:space="preserve">Many-Stations Hydraulic Geometry Through River-Wide Geomorphology</w:t>
      </w:r>
      <w:r>
        <w:t xml:space="preserve">.</w:t>
      </w:r>
      <w:r>
        <w:t xml:space="preserve"> </w:t>
      </w:r>
      <w:r>
        <w:rPr>
          <w:iCs/>
          <w:i/>
        </w:rPr>
        <w:t xml:space="preserve">Geophysical Research Letters</w:t>
      </w:r>
      <w:r>
        <w:t xml:space="preserve">,</w:t>
      </w:r>
      <w:r>
        <w:t xml:space="preserve"> </w:t>
      </w:r>
      <w:r>
        <w:rPr>
          <w:iCs/>
          <w:i/>
        </w:rPr>
        <w:t xml:space="preserve">46</w:t>
      </w:r>
      <w:r>
        <w:t xml:space="preserve">(16), 9637–9647.</w:t>
      </w:r>
      <w:r>
        <w:t xml:space="preserve"> </w:t>
      </w:r>
      <w:hyperlink r:id="rId40">
        <w:r>
          <w:rPr>
            <w:rStyle w:val="Hyperlink"/>
          </w:rPr>
          <w:t xml:space="preserve">https://doi.org/10.1029/2019GL084529</w:t>
        </w:r>
      </w:hyperlink>
    </w:p>
    <w:bookmarkEnd w:id="41"/>
    <w:bookmarkStart w:id="43" w:name="Xdbd54ef9038a6546bc878e25d0471ceeef59cc0"/>
    <w:p>
      <w:pPr>
        <w:pStyle w:val="Bibliography"/>
      </w:pPr>
      <w:r>
        <w:t xml:space="preserve">Brinkerhoff, C. B., Gleason, C. J., Feng, D., &amp; Lin, P. (2020). Constraining</w:t>
      </w:r>
      <w:r>
        <w:t xml:space="preserve"> </w:t>
      </w:r>
      <w:r>
        <w:t xml:space="preserve">Remote River Discharge Estimation Using Reach-Scale Geomorphology</w:t>
      </w:r>
      <w:r>
        <w:t xml:space="preserve">.</w:t>
      </w:r>
      <w:r>
        <w:t xml:space="preserve"> </w:t>
      </w:r>
      <w:r>
        <w:rPr>
          <w:iCs/>
          <w:i/>
        </w:rPr>
        <w:t xml:space="preserve">Water Resources Research</w:t>
      </w:r>
      <w:r>
        <w:t xml:space="preserve">,</w:t>
      </w:r>
      <w:r>
        <w:t xml:space="preserve"> </w:t>
      </w:r>
      <w:r>
        <w:rPr>
          <w:iCs/>
          <w:i/>
        </w:rPr>
        <w:t xml:space="preserve">56</w:t>
      </w:r>
      <w:r>
        <w:t xml:space="preserve">(11), e2020WR027949.</w:t>
      </w:r>
      <w:r>
        <w:t xml:space="preserve"> </w:t>
      </w:r>
      <w:hyperlink r:id="rId42">
        <w:r>
          <w:rPr>
            <w:rStyle w:val="Hyperlink"/>
          </w:rPr>
          <w:t xml:space="preserve">https://doi.org/10.1029/2020WR027949</w:t>
        </w:r>
      </w:hyperlink>
    </w:p>
    <w:bookmarkEnd w:id="43"/>
    <w:bookmarkStart w:id="45" w:name="Xa3e9367adcd5dee389f99f86aad7b66314e7a15"/>
    <w:p>
      <w:pPr>
        <w:pStyle w:val="Bibliography"/>
      </w:pPr>
      <w:r>
        <w:t xml:space="preserve">Churchill, M. A., Elmore, H. L., &amp; Buckingham, R. A. (1964). The</w:t>
      </w:r>
      <w:r>
        <w:t xml:space="preserve"> </w:t>
      </w:r>
      <w:r>
        <w:t xml:space="preserve">Prediction</w:t>
      </w:r>
      <w:r>
        <w:t xml:space="preserve"> </w:t>
      </w:r>
      <w:r>
        <w:t xml:space="preserve">of</w:t>
      </w:r>
      <w:r>
        <w:t xml:space="preserve"> </w:t>
      </w:r>
      <w:r>
        <w:t xml:space="preserve">Stream Reaeration Rates</w:t>
      </w:r>
      <w:r>
        <w:t xml:space="preserve">. In B. A. Southgate (Ed.),</w:t>
      </w:r>
      <w:r>
        <w:t xml:space="preserve"> </w:t>
      </w:r>
      <w:r>
        <w:rPr>
          <w:iCs/>
          <w:i/>
        </w:rPr>
        <w:t xml:space="preserve">Advances in</w:t>
      </w:r>
      <w:r>
        <w:rPr>
          <w:iCs/>
          <w:i/>
        </w:rPr>
        <w:t xml:space="preserve"> </w:t>
      </w:r>
      <w:r>
        <w:rPr>
          <w:iCs/>
          <w:i/>
        </w:rPr>
        <w:t xml:space="preserve">Water Pollution Research</w:t>
      </w:r>
      <w:r>
        <w:t xml:space="preserve"> </w:t>
      </w:r>
      <w:r>
        <w:t xml:space="preserve">(pp. 89–136).</w:t>
      </w:r>
      <w:r>
        <w:t xml:space="preserve"> </w:t>
      </w:r>
      <w:r>
        <w:t xml:space="preserve">Pergamon</w:t>
      </w:r>
      <w:r>
        <w:t xml:space="preserve">.</w:t>
      </w:r>
      <w:r>
        <w:t xml:space="preserve"> </w:t>
      </w:r>
      <w:hyperlink r:id="rId44">
        <w:r>
          <w:rPr>
            <w:rStyle w:val="Hyperlink"/>
          </w:rPr>
          <w:t xml:space="preserve">https://doi.org/10.1016/B978-1-4832-8391-3.50015-4</w:t>
        </w:r>
      </w:hyperlink>
    </w:p>
    <w:bookmarkEnd w:id="45"/>
    <w:bookmarkStart w:id="47" w:name="X3ce31a8f5e08162768843120ddd33afff9a1ba0"/>
    <w:p>
      <w:pPr>
        <w:pStyle w:val="Bibliography"/>
      </w:pPr>
      <w:r>
        <w:t xml:space="preserve">Durand, M. T., Gleason, C. J., Garambois, P. A., Bjerklie, D., Smith, L. C., Roux, H., et al. (2016). An intercomparison of remote sensing river discharge estimation algorithms from measurements of river height, width, and slope.</w:t>
      </w:r>
      <w:r>
        <w:t xml:space="preserve"> </w:t>
      </w:r>
      <w:r>
        <w:rPr>
          <w:iCs/>
          <w:i/>
        </w:rPr>
        <w:t xml:space="preserve">Water Resources Research</w:t>
      </w:r>
      <w:r>
        <w:t xml:space="preserve">,</w:t>
      </w:r>
      <w:r>
        <w:t xml:space="preserve"> </w:t>
      </w:r>
      <w:r>
        <w:rPr>
          <w:iCs/>
          <w:i/>
        </w:rPr>
        <w:t xml:space="preserve">52</w:t>
      </w:r>
      <w:r>
        <w:t xml:space="preserve">(6), 4527–4549.</w:t>
      </w:r>
      <w:r>
        <w:t xml:space="preserve"> </w:t>
      </w:r>
      <w:hyperlink r:id="rId46">
        <w:r>
          <w:rPr>
            <w:rStyle w:val="Hyperlink"/>
          </w:rPr>
          <w:t xml:space="preserve">https://doi.org/10.1002/2015WR018434</w:t>
        </w:r>
      </w:hyperlink>
    </w:p>
    <w:bookmarkEnd w:id="47"/>
    <w:bookmarkStart w:id="49" w:name="X9be29eb630d4c00a21328a957102a710eabca70"/>
    <w:p>
      <w:pPr>
        <w:pStyle w:val="Bibliography"/>
      </w:pPr>
      <w:r>
        <w:t xml:space="preserve">Frasson, R. P. de M., Durand, M. T., Larnier, K., Gleason, C., Andreadis, K. M., Hagemann, M., et al. (2021). Exploring the factors controlling the error characteristics of the</w:t>
      </w:r>
      <w:r>
        <w:t xml:space="preserve"> </w:t>
      </w:r>
      <w:r>
        <w:t xml:space="preserve">Surface Water</w:t>
      </w:r>
      <w:r>
        <w:t xml:space="preserve"> </w:t>
      </w:r>
      <w:r>
        <w:t xml:space="preserve">and</w:t>
      </w:r>
      <w:r>
        <w:t xml:space="preserve"> </w:t>
      </w:r>
      <w:r>
        <w:t xml:space="preserve">Ocean Topography</w:t>
      </w:r>
      <w:r>
        <w:t xml:space="preserve"> </w:t>
      </w:r>
      <w:r>
        <w:t xml:space="preserve">mission discharge estimates.</w:t>
      </w:r>
      <w:r>
        <w:t xml:space="preserve"> </w:t>
      </w:r>
      <w:r>
        <w:rPr>
          <w:iCs/>
          <w:i/>
        </w:rPr>
        <w:t xml:space="preserve">Water Resources Research</w:t>
      </w:r>
      <w:r>
        <w:t xml:space="preserve">,</w:t>
      </w:r>
      <w:r>
        <w:t xml:space="preserve"> </w:t>
      </w:r>
      <w:r>
        <w:rPr>
          <w:iCs/>
          <w:i/>
        </w:rPr>
        <w:t xml:space="preserve">n/a</w:t>
      </w:r>
      <w:r>
        <w:t xml:space="preserve">(n/a), e2020WR028519.</w:t>
      </w:r>
      <w:r>
        <w:t xml:space="preserve"> </w:t>
      </w:r>
      <w:hyperlink r:id="rId48">
        <w:r>
          <w:rPr>
            <w:rStyle w:val="Hyperlink"/>
          </w:rPr>
          <w:t xml:space="preserve">https://doi.org/10.1029/2020WR028519</w:t>
        </w:r>
      </w:hyperlink>
    </w:p>
    <w:bookmarkEnd w:id="49"/>
    <w:bookmarkStart w:id="51" w:name="ref-hagemannBAMBayesianAMHGManning2017"/>
    <w:p>
      <w:pPr>
        <w:pStyle w:val="Bibliography"/>
      </w:pPr>
      <w:r>
        <w:t xml:space="preserve">Hagemann, M. W., Gleason, C. J., &amp; Durand, M. T. (2017).</w:t>
      </w:r>
      <w:r>
        <w:t xml:space="preserve"> </w:t>
      </w:r>
      <w:r>
        <w:t xml:space="preserve">BAM</w:t>
      </w:r>
      <w:r>
        <w:t xml:space="preserve">:</w:t>
      </w:r>
      <w:r>
        <w:t xml:space="preserve"> </w:t>
      </w:r>
      <w:r>
        <w:t xml:space="preserve">Bayesian AMHG-Manning Inference</w:t>
      </w:r>
      <w:r>
        <w:t xml:space="preserve"> </w:t>
      </w:r>
      <w:r>
        <w:t xml:space="preserve">of</w:t>
      </w:r>
      <w:r>
        <w:t xml:space="preserve"> </w:t>
      </w:r>
      <w:r>
        <w:t xml:space="preserve">Discharge Using Remotely Sensed Stream Width</w:t>
      </w:r>
      <w:r>
        <w:t xml:space="preserve">,</w:t>
      </w:r>
      <w:r>
        <w:t xml:space="preserve"> </w:t>
      </w:r>
      <w:r>
        <w:t xml:space="preserve">Slope</w:t>
      </w:r>
      <w:r>
        <w:t xml:space="preserve">, and</w:t>
      </w:r>
      <w:r>
        <w:t xml:space="preserve"> </w:t>
      </w:r>
      <w:r>
        <w:t xml:space="preserve">Height</w:t>
      </w:r>
      <w:r>
        <w:t xml:space="preserve">.</w:t>
      </w:r>
      <w:r>
        <w:t xml:space="preserve"> </w:t>
      </w:r>
      <w:r>
        <w:rPr>
          <w:iCs/>
          <w:i/>
        </w:rPr>
        <w:t xml:space="preserve">Water Resources Research</w:t>
      </w:r>
      <w:r>
        <w:t xml:space="preserve">,</w:t>
      </w:r>
      <w:r>
        <w:t xml:space="preserve"> </w:t>
      </w:r>
      <w:r>
        <w:rPr>
          <w:iCs/>
          <w:i/>
        </w:rPr>
        <w:t xml:space="preserve">53</w:t>
      </w:r>
      <w:r>
        <w:t xml:space="preserve">(11), 9692–9707.</w:t>
      </w:r>
      <w:r>
        <w:t xml:space="preserve"> </w:t>
      </w:r>
      <w:hyperlink r:id="rId50">
        <w:r>
          <w:rPr>
            <w:rStyle w:val="Hyperlink"/>
          </w:rPr>
          <w:t xml:space="preserve">https://doi.org/10.1002/2017WR021626</w:t>
        </w:r>
      </w:hyperlink>
    </w:p>
    <w:bookmarkEnd w:id="51"/>
    <w:bookmarkStart w:id="53" w:name="ref-hallUseArgonMeasure2018"/>
    <w:p>
      <w:pPr>
        <w:pStyle w:val="Bibliography"/>
      </w:pPr>
      <w:r>
        <w:t xml:space="preserve">Hall, R. O., &amp; Madinger, H. L. (2018). Use of argon to measure gas exchange in turbulent mountain streams.</w:t>
      </w:r>
      <w:r>
        <w:t xml:space="preserve"> </w:t>
      </w:r>
      <w:r>
        <w:rPr>
          <w:iCs/>
          <w:i/>
        </w:rPr>
        <w:t xml:space="preserve">Biogeosciences</w:t>
      </w:r>
      <w:r>
        <w:t xml:space="preserve">,</w:t>
      </w:r>
      <w:r>
        <w:t xml:space="preserve"> </w:t>
      </w:r>
      <w:r>
        <w:rPr>
          <w:iCs/>
          <w:i/>
        </w:rPr>
        <w:t xml:space="preserve">15</w:t>
      </w:r>
      <w:r>
        <w:t xml:space="preserve">(10), 3085–3092.</w:t>
      </w:r>
      <w:r>
        <w:t xml:space="preserve"> </w:t>
      </w:r>
      <w:hyperlink r:id="rId52">
        <w:r>
          <w:rPr>
            <w:rStyle w:val="Hyperlink"/>
          </w:rPr>
          <w:t xml:space="preserve">https://doi.org/10.5194/bg-15-3085-2018</w:t>
        </w:r>
      </w:hyperlink>
    </w:p>
    <w:bookmarkEnd w:id="53"/>
    <w:bookmarkStart w:id="55" w:name="ref-mauriceInfluenceFlowBed2017"/>
    <w:p>
      <w:pPr>
        <w:pStyle w:val="Bibliography"/>
      </w:pPr>
      <w:r>
        <w:t xml:space="preserve">Maurice, L., Rawlins, B. G., Farr, G., Bell, R., &amp; Gooddy, D. C. (2017). The influence of flow and bed slope on gas transfer in steep streams and their implications for evasion of</w:t>
      </w:r>
      <w:r>
        <w:t xml:space="preserve"> </w:t>
      </w:r>
      <w:r>
        <w:t xml:space="preserve">CO2</w:t>
      </w:r>
      <w:r>
        <w:t xml:space="preserve">.</w:t>
      </w:r>
      <w:r>
        <w:t xml:space="preserve"> </w:t>
      </w:r>
      <w:r>
        <w:rPr>
          <w:iCs/>
          <w:i/>
        </w:rPr>
        <w:t xml:space="preserve">JOURNAL OF GEOPHYSICAL RESEARCH-BIOGEOSCIENCES</w:t>
      </w:r>
      <w:r>
        <w:t xml:space="preserve">,</w:t>
      </w:r>
      <w:r>
        <w:t xml:space="preserve"> </w:t>
      </w:r>
      <w:r>
        <w:rPr>
          <w:iCs/>
          <w:i/>
        </w:rPr>
        <w:t xml:space="preserve">122</w:t>
      </w:r>
      <w:r>
        <w:t xml:space="preserve">(11), 2862–2875. Article.</w:t>
      </w:r>
      <w:r>
        <w:t xml:space="preserve"> </w:t>
      </w:r>
      <w:hyperlink r:id="rId54">
        <w:r>
          <w:rPr>
            <w:rStyle w:val="Hyperlink"/>
          </w:rPr>
          <w:t xml:space="preserve">https://doi.org/10.1002/2017JG004045</w:t>
        </w:r>
      </w:hyperlink>
    </w:p>
    <w:bookmarkEnd w:id="55"/>
    <w:bookmarkStart w:id="57" w:name="Xbd965ffa066c0a000f9e9701eda052d7099b98f"/>
    <w:p>
      <w:pPr>
        <w:pStyle w:val="Bibliography"/>
      </w:pPr>
      <w:r>
        <w:t xml:space="preserve">Melching, C. S., &amp; Flores, H. E. (1999). Reaeration</w:t>
      </w:r>
      <w:r>
        <w:t xml:space="preserve"> </w:t>
      </w:r>
      <w:r>
        <w:t xml:space="preserve">Equations Derived</w:t>
      </w:r>
      <w:r>
        <w:t xml:space="preserve"> </w:t>
      </w:r>
      <w:r>
        <w:t xml:space="preserve">from</w:t>
      </w:r>
      <w:r>
        <w:t xml:space="preserve"> </w:t>
      </w:r>
      <w:r>
        <w:t xml:space="preserve">U</w:t>
      </w:r>
      <w:r>
        <w:t xml:space="preserve">.</w:t>
      </w:r>
      <w:r>
        <w:t xml:space="preserve">S</w:t>
      </w:r>
      <w:r>
        <w:t xml:space="preserve">.</w:t>
      </w:r>
      <w:r>
        <w:t xml:space="preserve"> </w:t>
      </w:r>
      <w:r>
        <w:t xml:space="preserve">Geological Survey Database</w:t>
      </w:r>
      <w:r>
        <w:t xml:space="preserve">.</w:t>
      </w:r>
      <w:r>
        <w:t xml:space="preserve"> </w:t>
      </w:r>
      <w:r>
        <w:rPr>
          <w:iCs/>
          <w:i/>
        </w:rPr>
        <w:t xml:space="preserve">Journal of Environmental Engineering</w:t>
      </w:r>
      <w:r>
        <w:t xml:space="preserve">,</w:t>
      </w:r>
      <w:r>
        <w:t xml:space="preserve"> </w:t>
      </w:r>
      <w:r>
        <w:rPr>
          <w:iCs/>
          <w:i/>
        </w:rPr>
        <w:t xml:space="preserve">125</w:t>
      </w:r>
      <w:r>
        <w:t xml:space="preserve">(5), 407–414.</w:t>
      </w:r>
      <w:r>
        <w:t xml:space="preserve"> </w:t>
      </w:r>
      <w:hyperlink r:id="rId56">
        <w:r>
          <w:rPr>
            <w:rStyle w:val="Hyperlink"/>
          </w:rPr>
          <w:t xml:space="preserve">https://doi.org/10.1061/(ASCE)0733-9372(1999)125:5(407)</w:t>
        </w:r>
      </w:hyperlink>
    </w:p>
    <w:bookmarkEnd w:id="57"/>
    <w:bookmarkStart w:id="59" w:name="X38342e20fef63380505514b24780e31b2a8839c"/>
    <w:p>
      <w:pPr>
        <w:pStyle w:val="Bibliography"/>
      </w:pPr>
      <w:r>
        <w:t xml:space="preserve">Mulholland, P. J., Fellows, C. S., Tank, J. L., Grimm, N. B., Webster, J. R., Hamilton, S. K., et al. (2001). Inter-biome comparison of factors controlling stream metabolism.</w:t>
      </w:r>
      <w:r>
        <w:t xml:space="preserve"> </w:t>
      </w:r>
      <w:r>
        <w:rPr>
          <w:iCs/>
          <w:i/>
        </w:rPr>
        <w:t xml:space="preserve">Freshwater Biology</w:t>
      </w:r>
      <w:r>
        <w:t xml:space="preserve">,</w:t>
      </w:r>
      <w:r>
        <w:t xml:space="preserve"> </w:t>
      </w:r>
      <w:r>
        <w:rPr>
          <w:iCs/>
          <w:i/>
        </w:rPr>
        <w:t xml:space="preserve">46</w:t>
      </w:r>
      <w:r>
        <w:t xml:space="preserve">(11), 1503–1517.</w:t>
      </w:r>
      <w:r>
        <w:t xml:space="preserve"> </w:t>
      </w:r>
      <w:hyperlink r:id="rId58">
        <w:r>
          <w:rPr>
            <w:rStyle w:val="Hyperlink"/>
          </w:rPr>
          <w:t xml:space="preserve">https://doi.org/10.1046/j.1365-2427.2001.00773.x</w:t>
        </w:r>
      </w:hyperlink>
    </w:p>
    <w:bookmarkEnd w:id="59"/>
    <w:bookmarkStart w:id="60" w:name="ref-owensReaerationStudiesStreams1964"/>
    <w:p>
      <w:pPr>
        <w:pStyle w:val="Bibliography"/>
      </w:pPr>
      <w:r>
        <w:t xml:space="preserve">Owens, M., Edwards, R. W., &amp; Gibbs, J. W. (1964). Some reaeration studies in streams.</w:t>
      </w:r>
      <w:r>
        <w:t xml:space="preserve"> </w:t>
      </w:r>
      <w:r>
        <w:rPr>
          <w:iCs/>
          <w:i/>
        </w:rPr>
        <w:t xml:space="preserve">Inter. J. Air Water Poll.</w:t>
      </w:r>
      <w:r>
        <w:t xml:space="preserve">,</w:t>
      </w:r>
      <w:r>
        <w:t xml:space="preserve"> </w:t>
      </w:r>
      <w:r>
        <w:rPr>
          <w:iCs/>
          <w:i/>
        </w:rPr>
        <w:t xml:space="preserve">8</w:t>
      </w:r>
      <w:r>
        <w:t xml:space="preserve">, 469–486.</w:t>
      </w:r>
    </w:p>
    <w:bookmarkEnd w:id="60"/>
    <w:bookmarkStart w:id="62" w:name="ref-raymondScalingGasTransfer2012"/>
    <w:p>
      <w:pPr>
        <w:pStyle w:val="Bibliography"/>
      </w:pPr>
      <w:r>
        <w:t xml:space="preserve">Raymond, P. A., Zappa, C. J., Butman, D., Bott, T. L., Potter, J., Mulholland, P., et al. (2012). Scaling the gas transfer velocity and hydraulic geometry in streams and small rivers.</w:t>
      </w:r>
      <w:r>
        <w:t xml:space="preserve"> </w:t>
      </w:r>
      <w:r>
        <w:rPr>
          <w:iCs/>
          <w:i/>
        </w:rPr>
        <w:t xml:space="preserve">Limnology and Oceanography</w:t>
      </w:r>
      <w:r>
        <w:t xml:space="preserve">, 41–53.</w:t>
      </w:r>
      <w:r>
        <w:t xml:space="preserve"> </w:t>
      </w:r>
      <w:hyperlink r:id="rId61">
        <w:r>
          <w:rPr>
            <w:rStyle w:val="Hyperlink"/>
          </w:rPr>
          <w:t xml:space="preserve">https://doi.org/10.1215/21573689-1597669@10.1002/(ISSN)1939-5590.MethaneVI</w:t>
        </w:r>
      </w:hyperlink>
    </w:p>
    <w:bookmarkEnd w:id="62"/>
    <w:bookmarkStart w:id="64" w:name="ref-raymondGlobalCarbonDioxide2013"/>
    <w:p>
      <w:pPr>
        <w:pStyle w:val="Bibliography"/>
      </w:pPr>
      <w:r>
        <w:t xml:space="preserve">Raymond, P. A., Hartmann, J., Lauerwald, R., Sobek, S., McDonald, C., Hoover, M., et al. (2013). Global carbon dioxide emissions from inland waters.</w:t>
      </w:r>
      <w:r>
        <w:t xml:space="preserve"> </w:t>
      </w:r>
      <w:r>
        <w:rPr>
          <w:iCs/>
          <w:i/>
        </w:rPr>
        <w:t xml:space="preserve">Nature</w:t>
      </w:r>
      <w:r>
        <w:t xml:space="preserve">,</w:t>
      </w:r>
      <w:r>
        <w:t xml:space="preserve"> </w:t>
      </w:r>
      <w:r>
        <w:rPr>
          <w:iCs/>
          <w:i/>
        </w:rPr>
        <w:t xml:space="preserve">503</w:t>
      </w:r>
      <w:r>
        <w:t xml:space="preserve">(7476), 355–359.</w:t>
      </w:r>
      <w:r>
        <w:t xml:space="preserve"> </w:t>
      </w:r>
      <w:hyperlink r:id="rId63">
        <w:r>
          <w:rPr>
            <w:rStyle w:val="Hyperlink"/>
          </w:rPr>
          <w:t xml:space="preserve">https://doi.org/10.1038/nature12760</w:t>
        </w:r>
      </w:hyperlink>
    </w:p>
    <w:bookmarkEnd w:id="64"/>
    <w:bookmarkStart w:id="66" w:name="ref-schelkerCO2EvasionSteep2016"/>
    <w:p>
      <w:pPr>
        <w:pStyle w:val="Bibliography"/>
      </w:pPr>
      <w:r>
        <w:t xml:space="preserve">Schelker, J., Singer, G. A., Ulseth, A. J., Hengsberger, S., &amp; Battin, T. J. (2016).</w:t>
      </w:r>
      <w:r>
        <w:t xml:space="preserve"> </w:t>
      </w:r>
      <w:r>
        <w:t xml:space="preserve">CO2</w:t>
      </w:r>
      <w:r>
        <w:t xml:space="preserve"> </w:t>
      </w:r>
      <w:r>
        <w:t xml:space="preserve">evasion from a steep, high gradient stream network: Importance of seasonal and diurnal variation in aquatic</w:t>
      </w:r>
      <w:r>
        <w:t xml:space="preserve"> </w:t>
      </w:r>
      <w:r>
        <w:t xml:space="preserve">pCO2</w:t>
      </w:r>
      <w:r>
        <w:t xml:space="preserve"> </w:t>
      </w:r>
      <w:r>
        <w:t xml:space="preserve">and gas transfer.</w:t>
      </w:r>
      <w:r>
        <w:t xml:space="preserve"> </w:t>
      </w:r>
      <w:r>
        <w:rPr>
          <w:iCs/>
          <w:i/>
        </w:rPr>
        <w:t xml:space="preserve">Limnology and Oceanography</w:t>
      </w:r>
      <w:r>
        <w:t xml:space="preserve">,</w:t>
      </w:r>
      <w:r>
        <w:t xml:space="preserve"> </w:t>
      </w:r>
      <w:r>
        <w:rPr>
          <w:iCs/>
          <w:i/>
        </w:rPr>
        <w:t xml:space="preserve">61</w:t>
      </w:r>
      <w:r>
        <w:t xml:space="preserve">(5), 1826–1838.</w:t>
      </w:r>
      <w:r>
        <w:t xml:space="preserve"> </w:t>
      </w:r>
      <w:hyperlink r:id="rId65">
        <w:r>
          <w:rPr>
            <w:rStyle w:val="Hyperlink"/>
          </w:rPr>
          <w:t xml:space="preserve">https://doi.org/10.1002/lno.10339</w:t>
        </w:r>
      </w:hyperlink>
    </w:p>
    <w:bookmarkEnd w:id="66"/>
    <w:bookmarkStart w:id="67" w:name="X90b6cac308b0deb393ed6199be47ff2aa4117ea"/>
    <w:p>
      <w:pPr>
        <w:pStyle w:val="Bibliography"/>
      </w:pPr>
      <w:r>
        <w:t xml:space="preserve">Tsivoglou, E. C., &amp; Wallace, J. R. (1972).</w:t>
      </w:r>
      <w:r>
        <w:t xml:space="preserve"> </w:t>
      </w:r>
      <w:r>
        <w:rPr>
          <w:iCs/>
          <w:i/>
        </w:rPr>
        <w:t xml:space="preserve">Characterization of</w:t>
      </w:r>
      <w:r>
        <w:rPr>
          <w:iCs/>
          <w:i/>
        </w:rPr>
        <w:t xml:space="preserve"> </w:t>
      </w:r>
      <w:r>
        <w:rPr>
          <w:iCs/>
          <w:i/>
        </w:rPr>
        <w:t xml:space="preserve">Stream Reaeration Capacity</w:t>
      </w:r>
      <w:r>
        <w:t xml:space="preserve">.</w:t>
      </w:r>
      <w:r>
        <w:t xml:space="preserve"> </w:t>
      </w:r>
      <w:r>
        <w:t xml:space="preserve">U.S. Government Printing Office</w:t>
      </w:r>
      <w:r>
        <w:t xml:space="preserve">.</w:t>
      </w:r>
    </w:p>
    <w:bookmarkEnd w:id="67"/>
    <w:bookmarkStart w:id="69" w:name="ref-ulsethDistinctAirWater2019"/>
    <w:p>
      <w:pPr>
        <w:pStyle w:val="Bibliography"/>
      </w:pPr>
      <w:r>
        <w:t xml:space="preserve">Ulseth, A. J., Hall, R. O., Boix Canadell, M., Madinger, H. L., Niayifar, A., &amp; Battin, T. J. (2019). Distinct air</w:t>
      </w:r>
      <w:r>
        <w:t xml:space="preserve">water gas exchange regimes in low- and high-energy streams.</w:t>
      </w:r>
      <w:r>
        <w:t xml:space="preserve"> </w:t>
      </w:r>
      <w:r>
        <w:rPr>
          <w:iCs/>
          <w:i/>
        </w:rPr>
        <w:t xml:space="preserve">Nature Geoscience</w:t>
      </w:r>
      <w:r>
        <w:t xml:space="preserve">,</w:t>
      </w:r>
      <w:r>
        <w:t xml:space="preserve"> </w:t>
      </w:r>
      <w:r>
        <w:rPr>
          <w:iCs/>
          <w:i/>
        </w:rPr>
        <w:t xml:space="preserve">12</w:t>
      </w:r>
      <w:r>
        <w:t xml:space="preserve">(4), 259–263.</w:t>
      </w:r>
      <w:r>
        <w:t xml:space="preserve"> </w:t>
      </w:r>
      <w:hyperlink r:id="rId68">
        <w:r>
          <w:rPr>
            <w:rStyle w:val="Hyperlink"/>
          </w:rPr>
          <w:t xml:space="preserve">https://doi.org/10.1038/s41561-019-0324-8</w:t>
        </w:r>
      </w:hyperlink>
    </w:p>
    <w:bookmarkEnd w:id="69"/>
    <w:bookmarkEnd w:id="70"/>
    <w:bookmarkEnd w:id="71"/>
    <w:sectPr w:rsidR="00642D4E" w:rsidRPr="00642D4E" w:rsidSect="00EF1B30">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0835052"/>
      <w:docPartObj>
        <w:docPartGallery w:val="Page Numbers (Bottom of Page)"/>
        <w:docPartUnique/>
      </w:docPartObj>
    </w:sdtPr>
    <w:sdtEndPr>
      <w:rPr>
        <w:noProof/>
      </w:rPr>
    </w:sdtEndPr>
    <w:sdtContent>
      <w:p w14:paraId="2DECFDA7" w14:textId="5B0AAAEE" w:rsidR="00642D4E" w:rsidRDefault="00642D4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A576C5" w14:textId="77777777" w:rsidR="007B72BB" w:rsidRDefault="007B72BB" w:rsidP="00EB5DE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17F69BA"/>
    <w:multiLevelType w:val="multilevel"/>
    <w:tmpl w:val="AE9AFC2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FFFFF7C"/>
    <w:multiLevelType w:val="singleLevel"/>
    <w:tmpl w:val="1A628314"/>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1B76BD42"/>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0E6D490"/>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A39057E4"/>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98F4508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3E2A5C9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A93E469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61C401F6"/>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0AC8D554"/>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BEE4EB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3D0A2284"/>
    <w:multiLevelType w:val="multilevel"/>
    <w:tmpl w:val="B88A128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C0290"/>
    <w:pPr>
      <w:spacing w:after="180" w:before="180" w:line="480" w:lineRule="auto"/>
      <w:ind w:firstLine="720"/>
      <w:jc w:val="both"/>
    </w:pPr>
    <w:rPr>
      <w:rFonts w:ascii="Times New Roman" w:cs="Times New Roman" w:hAnsi="Times New Roman"/>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345A8A"/>
      <w:sz w:val="32"/>
      <w:szCs w:val="32"/>
    </w:rPr>
  </w:style>
  <w:style w:styleId="Heading2" w:type="paragraph">
    <w:name w:val="heading 2"/>
    <w:basedOn w:val="Normal"/>
    <w:next w:val="BodyText"/>
    <w:uiPriority w:val="9"/>
    <w:unhideWhenUsed/>
    <w:qFormat/>
    <w:rsid w:val="00062BF4"/>
    <w:pPr>
      <w:keepNext/>
      <w:keepLines/>
      <w:spacing w:after="0" w:before="200"/>
      <w:ind w:firstLine="0"/>
      <w:outlineLvl w:val="1"/>
    </w:pPr>
    <w:rPr>
      <w:rFonts w:eastAsiaTheme="majorEastAsia"/>
      <w:b/>
      <w:bCs/>
    </w:rPr>
  </w:style>
  <w:style w:styleId="Heading3" w:type="paragraph">
    <w:name w:val="heading 3"/>
    <w:basedOn w:val="Normal"/>
    <w:next w:val="BodyText"/>
    <w:uiPriority w:val="9"/>
    <w:unhideWhenUsed/>
    <w:qFormat/>
    <w:rsid w:val="00040E90"/>
    <w:pPr>
      <w:keepNext/>
      <w:keepLines/>
      <w:spacing w:after="0" w:before="200"/>
      <w:outlineLvl w:val="2"/>
    </w:pPr>
    <w:rPr>
      <w:rFonts w:eastAsiaTheme="majorEastAsia"/>
      <w:b/>
      <w:bCs/>
    </w:rPr>
  </w:style>
  <w:style w:styleId="Heading4" w:type="paragraph">
    <w:name w:val="heading 4"/>
    <w:basedOn w:val="Normal"/>
    <w:next w:val="BodyText"/>
    <w:uiPriority w:val="9"/>
    <w:unhideWhenUsed/>
    <w:qFormat/>
    <w:rsid w:val="00A33038"/>
    <w:pPr>
      <w:keepNext/>
      <w:keepLines/>
      <w:spacing w:after="0" w:before="200"/>
      <w:ind w:left="720"/>
      <w:outlineLvl w:val="3"/>
    </w:pPr>
    <w:rPr>
      <w:rFonts w:eastAsiaTheme="majorEastAsia"/>
      <w:b/>
      <w:bCs/>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B2464C"/>
  </w:style>
  <w:style w:customStyle="1" w:styleId="FirstParagraph" w:type="paragraph">
    <w:name w:val="First Paragraph"/>
    <w:basedOn w:val="BodyText"/>
    <w:next w:val="BodyText"/>
    <w:qFormat/>
    <w:rsid w:val="00B2464C"/>
  </w:style>
  <w:style w:customStyle="1" w:styleId="Compact" w:type="paragraph">
    <w:name w:val="Compact"/>
    <w:basedOn w:val="BodyText"/>
    <w:qFormat/>
    <w:rsid w:val="004C3344"/>
    <w:pPr>
      <w:spacing w:after="36" w:before="36" w:line="240" w:lineRule="auto"/>
      <w:ind w:firstLine="0"/>
    </w:pPr>
  </w:style>
  <w:style w:styleId="Title" w:type="paragraph">
    <w:name w:val="Title"/>
    <w:basedOn w:val="Normal"/>
    <w:next w:val="BodyText"/>
    <w:qFormat/>
    <w:rsid w:val="00C0593A"/>
    <w:pPr>
      <w:keepNext/>
      <w:keepLines/>
      <w:spacing w:after="240" w:before="480" w:line="240" w:lineRule="auto"/>
      <w:jc w:val="center"/>
    </w:pPr>
    <w:rPr>
      <w:rFonts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C0593A"/>
    <w:pPr>
      <w:keepNext/>
      <w:keepLines/>
      <w:jc w:val="center"/>
    </w:pPr>
    <w:rPr>
      <w:rFonts w:ascii="Times New Roman" w:cs="Times New Roman" w:hAnsi="Times New Roman"/>
    </w:rPr>
  </w:style>
  <w:style w:styleId="Date" w:type="paragraph">
    <w:name w:val="Date"/>
    <w:next w:val="BodyText"/>
    <w:qFormat/>
    <w:rsid w:val="00C0593A"/>
    <w:pPr>
      <w:keepNext/>
      <w:keepLines/>
      <w:jc w:val="center"/>
    </w:pPr>
    <w:rPr>
      <w:rFonts w:ascii="Times New Roman" w:cs="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sid w:val="005C7BD9"/>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B2464C"/>
    <w:rPr>
      <w:rFonts w:ascii="Times New Roman" w:cs="Times New Roman" w:hAnsi="Times New Roman"/>
    </w:rPr>
  </w:style>
  <w:style w:styleId="LineNumber" w:type="character">
    <w:name w:val="line number"/>
    <w:basedOn w:val="DefaultParagraphFont"/>
    <w:semiHidden/>
    <w:unhideWhenUsed/>
    <w:rsid w:val="00EF1B30"/>
  </w:style>
  <w:style w:styleId="TableGrid" w:type="table">
    <w:name w:val="Table Grid"/>
    <w:basedOn w:val="TableNormal"/>
    <w:rsid w:val="00F3367E"/>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Header" w:type="paragraph">
    <w:name w:val="header"/>
    <w:basedOn w:val="Normal"/>
    <w:link w:val="HeaderChar"/>
    <w:unhideWhenUsed/>
    <w:rsid w:val="002059CC"/>
    <w:pPr>
      <w:tabs>
        <w:tab w:pos="4680" w:val="center"/>
        <w:tab w:pos="9360" w:val="right"/>
      </w:tabs>
      <w:spacing w:after="0"/>
    </w:pPr>
  </w:style>
  <w:style w:customStyle="1" w:styleId="HeaderChar" w:type="character">
    <w:name w:val="Header Char"/>
    <w:basedOn w:val="DefaultParagraphFont"/>
    <w:link w:val="Header"/>
    <w:rsid w:val="002059CC"/>
  </w:style>
  <w:style w:styleId="Footer" w:type="paragraph">
    <w:name w:val="footer"/>
    <w:basedOn w:val="Normal"/>
    <w:link w:val="FooterChar"/>
    <w:uiPriority w:val="99"/>
    <w:unhideWhenUsed/>
    <w:rsid w:val="002059CC"/>
    <w:pPr>
      <w:tabs>
        <w:tab w:pos="4680" w:val="center"/>
        <w:tab w:pos="9360" w:val="right"/>
      </w:tabs>
      <w:spacing w:after="0"/>
    </w:pPr>
  </w:style>
  <w:style w:customStyle="1" w:styleId="FooterChar" w:type="character">
    <w:name w:val="Footer Char"/>
    <w:basedOn w:val="DefaultParagraphFont"/>
    <w:link w:val="Footer"/>
    <w:uiPriority w:val="99"/>
    <w:rsid w:val="00205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7" Target="media/rId27.jpg" /><Relationship Type="http://schemas.openxmlformats.org/officeDocument/2006/relationships/hyperlink" Id="rId46" Target="https://doi.org/10.1002/2015WR018434" TargetMode="External" /><Relationship Type="http://schemas.openxmlformats.org/officeDocument/2006/relationships/hyperlink" Id="rId54" Target="https://doi.org/10.1002/2017JG004045" TargetMode="External" /><Relationship Type="http://schemas.openxmlformats.org/officeDocument/2006/relationships/hyperlink" Id="rId50" Target="https://doi.org/10.1002/2017WR021626" TargetMode="External" /><Relationship Type="http://schemas.openxmlformats.org/officeDocument/2006/relationships/hyperlink" Id="rId65" Target="https://doi.org/10.1002/lno.10339" TargetMode="External" /><Relationship Type="http://schemas.openxmlformats.org/officeDocument/2006/relationships/hyperlink" Id="rId38" Target="https://doi.org/10.1007/s10021-005-0086-6" TargetMode="External" /><Relationship Type="http://schemas.openxmlformats.org/officeDocument/2006/relationships/hyperlink" Id="rId44" Target="https://doi.org/10.1016/B978-1-4832-8391-3.50015-4" TargetMode="External" /><Relationship Type="http://schemas.openxmlformats.org/officeDocument/2006/relationships/hyperlink" Id="rId32" Target="https://doi.org/10.1029/2011JG001794" TargetMode="External" /><Relationship Type="http://schemas.openxmlformats.org/officeDocument/2006/relationships/hyperlink" Id="rId40" Target="https://doi.org/10.1029/2019GL084529" TargetMode="External" /><Relationship Type="http://schemas.openxmlformats.org/officeDocument/2006/relationships/hyperlink" Id="rId42" Target="https://doi.org/10.1029/2020WR027949" TargetMode="External" /><Relationship Type="http://schemas.openxmlformats.org/officeDocument/2006/relationships/hyperlink" Id="rId48" Target="https://doi.org/10.1029/2020WR028519" TargetMode="External" /><Relationship Type="http://schemas.openxmlformats.org/officeDocument/2006/relationships/hyperlink" Id="rId63" Target="https://doi.org/10.1038/nature12760" TargetMode="External" /><Relationship Type="http://schemas.openxmlformats.org/officeDocument/2006/relationships/hyperlink" Id="rId68" Target="https://doi.org/10.1038/s41561-019-0324-8" TargetMode="External" /><Relationship Type="http://schemas.openxmlformats.org/officeDocument/2006/relationships/hyperlink" Id="rId58" Target="https://doi.org/10.1046/j.1365-2427.2001.00773.x" TargetMode="External" /><Relationship Type="http://schemas.openxmlformats.org/officeDocument/2006/relationships/hyperlink" Id="rId56" Target="https://doi.org/10.1061/(ASCE)0733-9372(1999)125:5(407)" TargetMode="External" /><Relationship Type="http://schemas.openxmlformats.org/officeDocument/2006/relationships/hyperlink" Id="rId34" Target="https://doi.org/10.1111/j.1365-2427.2010.02422.x" TargetMode="External" /><Relationship Type="http://schemas.openxmlformats.org/officeDocument/2006/relationships/hyperlink" Id="rId61" Target="https://doi.org/10.1215/21573689-1597669@10.1002/(ISSN)1939-5590.MethaneVI" TargetMode="External" /><Relationship Type="http://schemas.openxmlformats.org/officeDocument/2006/relationships/hyperlink" Id="rId36" Target="https://doi.org/10.1899/0887-3593(2006)025[1018:EMISOT]2.0.CO;2" TargetMode="External" /><Relationship Type="http://schemas.openxmlformats.org/officeDocument/2006/relationships/hyperlink" Id="rId52" Target="https://doi.org/10.5194/bg-15-3085-2018" TargetMode="External" /><Relationship Type="http://schemas.openxmlformats.org/officeDocument/2006/relationships/hyperlink" Id="rId21" Target="https://github.com/craigbrinkerhoff/RSK600" TargetMode="External" /><Relationship Type="http://schemas.openxmlformats.org/officeDocument/2006/relationships/hyperlink" Id="rId20" Target="mailto:cbrinkerhoff@umass.edu" TargetMode="External" /></Relationships>
</file>

<file path=word/_rels/footnotes.xml.rels><?xml version="1.0" encoding="UTF-8"?><Relationships xmlns="http://schemas.openxmlformats.org/package/2006/relationships"><Relationship Type="http://schemas.openxmlformats.org/officeDocument/2006/relationships/hyperlink" Id="rId46" Target="https://doi.org/10.1002/2015WR018434" TargetMode="External" /><Relationship Type="http://schemas.openxmlformats.org/officeDocument/2006/relationships/hyperlink" Id="rId54" Target="https://doi.org/10.1002/2017JG004045" TargetMode="External" /><Relationship Type="http://schemas.openxmlformats.org/officeDocument/2006/relationships/hyperlink" Id="rId50" Target="https://doi.org/10.1002/2017WR021626" TargetMode="External" /><Relationship Type="http://schemas.openxmlformats.org/officeDocument/2006/relationships/hyperlink" Id="rId65" Target="https://doi.org/10.1002/lno.10339" TargetMode="External" /><Relationship Type="http://schemas.openxmlformats.org/officeDocument/2006/relationships/hyperlink" Id="rId38" Target="https://doi.org/10.1007/s10021-005-0086-6" TargetMode="External" /><Relationship Type="http://schemas.openxmlformats.org/officeDocument/2006/relationships/hyperlink" Id="rId44" Target="https://doi.org/10.1016/B978-1-4832-8391-3.50015-4" TargetMode="External" /><Relationship Type="http://schemas.openxmlformats.org/officeDocument/2006/relationships/hyperlink" Id="rId32" Target="https://doi.org/10.1029/2011JG001794" TargetMode="External" /><Relationship Type="http://schemas.openxmlformats.org/officeDocument/2006/relationships/hyperlink" Id="rId40" Target="https://doi.org/10.1029/2019GL084529" TargetMode="External" /><Relationship Type="http://schemas.openxmlformats.org/officeDocument/2006/relationships/hyperlink" Id="rId42" Target="https://doi.org/10.1029/2020WR027949" TargetMode="External" /><Relationship Type="http://schemas.openxmlformats.org/officeDocument/2006/relationships/hyperlink" Id="rId48" Target="https://doi.org/10.1029/2020WR028519" TargetMode="External" /><Relationship Type="http://schemas.openxmlformats.org/officeDocument/2006/relationships/hyperlink" Id="rId63" Target="https://doi.org/10.1038/nature12760" TargetMode="External" /><Relationship Type="http://schemas.openxmlformats.org/officeDocument/2006/relationships/hyperlink" Id="rId68" Target="https://doi.org/10.1038/s41561-019-0324-8" TargetMode="External" /><Relationship Type="http://schemas.openxmlformats.org/officeDocument/2006/relationships/hyperlink" Id="rId58" Target="https://doi.org/10.1046/j.1365-2427.2001.00773.x" TargetMode="External" /><Relationship Type="http://schemas.openxmlformats.org/officeDocument/2006/relationships/hyperlink" Id="rId56" Target="https://doi.org/10.1061/(ASCE)0733-9372(1999)125:5(407)" TargetMode="External" /><Relationship Type="http://schemas.openxmlformats.org/officeDocument/2006/relationships/hyperlink" Id="rId34" Target="https://doi.org/10.1111/j.1365-2427.2010.02422.x" TargetMode="External" /><Relationship Type="http://schemas.openxmlformats.org/officeDocument/2006/relationships/hyperlink" Id="rId61" Target="https://doi.org/10.1215/21573689-1597669@10.1002/(ISSN)1939-5590.MethaneVI" TargetMode="External" /><Relationship Type="http://schemas.openxmlformats.org/officeDocument/2006/relationships/hyperlink" Id="rId36" Target="https://doi.org/10.1899/0887-3593(2006)025[1018:EMISOT]2.0.CO;2" TargetMode="External" /><Relationship Type="http://schemas.openxmlformats.org/officeDocument/2006/relationships/hyperlink" Id="rId52" Target="https://doi.org/10.5194/bg-15-3085-2018" TargetMode="External" /><Relationship Type="http://schemas.openxmlformats.org/officeDocument/2006/relationships/hyperlink" Id="rId21" Target="https://github.com/craigbrinkerhoff/RSK600" TargetMode="External" /><Relationship Type="http://schemas.openxmlformats.org/officeDocument/2006/relationships/hyperlink" Id="rId20" Target="mailto:cbrinkerhoff@umass.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43</Words>
  <Characters>246</Characters>
  <Application>Microsoft Office Word</Application>
  <DocSecurity>0</DocSecurity>
  <Lines>2</Lines>
  <Paragraphs>1</Paragraphs>
  <ScaleCrop>false</ScaleCrop>
  <Company/>
  <LinksUpToDate>false</LinksUpToDate>
  <CharactersWithSpaces>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Information: Using hydraulic geometry and the SWOT satellite to remotely sense river gas exchange velocity</dc:title>
  <dc:creator>Craig B Brinkerhoff1,*, Colin J Gleason1, Christopher J Zappa2, Peter A Raymond3, and Merritt H Harlan1</dc:creator>
  <cp:keywords/>
  <dcterms:created xsi:type="dcterms:W3CDTF">2022-01-21T22:25:50Z</dcterms:created>
  <dcterms:modified xsi:type="dcterms:W3CDTF">2022-01-21T22:25:50Z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agu_citation_style.csl</vt:lpwstr>
  </property>
  <property fmtid="{D5CDD505-2E9C-101B-9397-08002B2CF9AE}" pid="4" name="output">
    <vt:lpwstr/>
  </property>
</Properties>
</file>