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1A1A1A"/>
          <w:sz w:val="56"/>
          <w:szCs w:val="56"/>
        </w:rPr>
        <w:t xml:space="preserve">FlowCue AI</w:t>
      </w:r>
    </w:p>
    <w:p>
      <w:pPr>
        <w:spacing w:after="480"/>
        <w:jc w:val="center"/>
      </w:pPr>
      <w:r>
        <w:rPr>
          <w:color w:val="555555"/>
          <w:sz w:val="28"/>
          <w:szCs w:val="28"/>
        </w:rPr>
        <w:t xml:space="preserve">Decision Log</w:t>
      </w:r>
    </w:p>
    <w:p>
      <w:pPr>
        <w:spacing w:after="80"/>
        <w:jc w:val="center"/>
      </w:pPr>
      <w:r>
        <w:rPr>
          <w:color w:val="777777"/>
          <w:sz w:val="22"/>
          <w:szCs w:val="22"/>
        </w:rPr>
        <w:t xml:space="preserve">Prepared by: Founder Office</w:t>
      </w:r>
    </w:p>
    <w:p>
      <w:pPr>
        <w:spacing w:after="80"/>
        <w:jc w:val="center"/>
      </w:pPr>
      <w:r>
        <w:rPr>
          <w:color w:val="777777"/>
          <w:sz w:val="22"/>
          <w:szCs w:val="22"/>
        </w:rPr>
        <w:t xml:space="preserve">Version 0.2 — consolidated from all prior documents</w:t>
      </w:r>
    </w:p>
    <w:p>
      <w:pPr>
        <w:spacing w:after="80"/>
        <w:jc w:val="center"/>
      </w:pPr>
      <w:r>
        <w:rPr>
          <w:color w:val="777777"/>
          <w:sz w:val="22"/>
          <w:szCs w:val="22"/>
        </w:rPr>
        <w:t xml:space="preserve">July 24, 2026</w:t>
      </w:r>
    </w:p>
    <w:p>
      <w:pPr>
        <w:pageBreakBefore/>
      </w:pPr>
      <w:r>
        <w:br w:type="page"/>
      </w:r>
    </w:p>
    <w:p>
      <w:pPr>
        <w:pStyle w:val="Heading1"/>
        <w:spacing w:after="160" w:before="360"/>
      </w:pPr>
      <w:r>
        <w:t xml:space="preserve">1. Purpose</w:t>
      </w:r>
    </w:p>
    <w:p>
      <w:pPr>
        <w:spacing w:after="160"/>
      </w:pPr>
      <w:r>
        <w:t xml:space="preserve">Every prior document ends with its own "Founder Decisions Needed" appendix. This log pulls all of those into one place -- both the decisions already made (with rationale, so future work doesn't relitigate them) and the ones still open -- so the project has a single source of truth as it grows, per the founder prompt's requirement to maintain complete project memory and never restart from scratch.</w:t>
      </w:r>
    </w:p>
    <w:p>
      <w:pPr>
        <w:pStyle w:val="Heading1"/>
        <w:spacing w:after="160" w:before="360"/>
      </w:pPr>
      <w:r>
        <w:t xml:space="preserve">2. Urgent: Naming Conflict Found</w:t>
      </w:r>
    </w:p>
    <w:p>
      <w:pPr>
        <w:spacing w:after="160"/>
      </w:pPr>
      <w:r>
        <w:t xml:space="preserve">A trademark and domain scan (July 24, 2026) turned up a live, active product at flowcue.app -- "FlowCue - AI-Powered Teleprompter &amp; Script Generator" -- in the identical category. There is no exact registered trademark for "FlowCue AI" (searched directly, zero results), and a separate 2008-filed "FLOWCUE" mark in the same software class is dead/cancelled since June 2020. Neither fact fully clears the name: trademark law weighs likelihood of confusion, not exact string matches, and "AI" is the kind of generic suffix courts typically don't treat as differentiating -- on top of the practical problem that beta testers searching "FlowCue" during the beta will land on a competitor's site.</w:t>
      </w:r>
    </w:p>
    <w:p>
      <w:pPr>
        <w:spacing w:after="160"/>
      </w:pPr>
      <w:r>
        <w:t xml:space="preserve">Decision on file: proceed with "FlowCue AI" for now, limited to low-visibility beta outreach (direct emails, not public posts with the name in a searchable title), and treat trademark clearance as the top open item to resolve -- with a lawyer, not with more web searches -- before any public launch, paid marketing, or trademark filing.</w:t>
      </w:r>
    </w:p>
    <w:p>
      <w:pPr>
        <w:pStyle w:val="Heading1"/>
        <w:spacing w:after="160" w:before="360"/>
      </w:pPr>
      <w:r>
        <w:t xml:space="preserve">3. Decisions Made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00"/>
      </w:tblGrid>
      <w:tr>
        <w:tc>
          <w:tcPr>
            <w:tcW w:type="dxa" w:w="3200"/>
            <w:shd w:fill="2B2B2B" w:val="clear"/>
            <w:tcMar>
              <w:top w:type="dxa" w:w="80"/>
              <w:left w:type="dxa" w:w="120"/>
              <w:bottom w:type="dxa" w:w="80"/>
              <w:right w:type="dxa" w:w="120"/>
            </w:tcMar>
          </w:tcPr>
          <w:p>
            <w:r>
              <w:rPr>
                <w:b/>
                <w:bCs/>
                <w:color w:val="FFFFFF"/>
                <w:sz w:val="20"/>
                <w:szCs w:val="20"/>
              </w:rPr>
              <w:t xml:space="preserve">Decision</w:t>
            </w:r>
          </w:p>
        </w:tc>
        <w:tc>
          <w:tcPr>
            <w:tcW w:type="dxa" w:w="2000"/>
            <w:shd w:fill="2B2B2B" w:val="clear"/>
            <w:tcMar>
              <w:top w:type="dxa" w:w="80"/>
              <w:left w:type="dxa" w:w="120"/>
              <w:bottom w:type="dxa" w:w="80"/>
              <w:right w:type="dxa" w:w="120"/>
            </w:tcMar>
          </w:tcPr>
          <w:p>
            <w:r>
              <w:rPr>
                <w:b/>
                <w:bCs/>
                <w:color w:val="FFFFFF"/>
                <w:sz w:val="20"/>
                <w:szCs w:val="20"/>
              </w:rPr>
              <w:t xml:space="preserve">Source</w:t>
            </w:r>
          </w:p>
        </w:tc>
        <w:tc>
          <w:tcPr>
            <w:tcW w:type="dxa" w:w="3800"/>
            <w:shd w:fill="2B2B2B" w:val="clear"/>
            <w:tcMar>
              <w:top w:type="dxa" w:w="80"/>
              <w:left w:type="dxa" w:w="120"/>
              <w:bottom w:type="dxa" w:w="80"/>
              <w:right w:type="dxa" w:w="120"/>
            </w:tcMar>
          </w:tcPr>
          <w:p>
            <w:r>
              <w:rPr>
                <w:b/>
                <w:bCs/>
                <w:color w:val="FFFFFF"/>
                <w:sz w:val="20"/>
                <w:szCs w:val="20"/>
              </w:rPr>
              <w:t xml:space="preserve">Rationale</w:t>
            </w:r>
          </w:p>
        </w:tc>
      </w:tr>
      <w:tr>
        <w:tc>
          <w:tcPr>
            <w:tcW w:type="dxa" w:w="3200"/>
            <w:tcMar>
              <w:top w:type="dxa" w:w="80"/>
              <w:left w:type="dxa" w:w="120"/>
              <w:bottom w:type="dxa" w:w="80"/>
              <w:right w:type="dxa" w:w="120"/>
            </w:tcMar>
          </w:tcPr>
          <w:p>
            <w:r>
              <w:rPr>
                <w:b w:val="false"/>
                <w:bCs w:val="false"/>
                <w:color w:val="1A1A1A"/>
                <w:sz w:val="20"/>
                <w:szCs w:val="20"/>
              </w:rPr>
              <w:t xml:space="preserve">Core differentiator is the real-time speech-following engine, not the pronunciation assistant or AI coach</w:t>
            </w:r>
          </w:p>
        </w:tc>
        <w:tc>
          <w:tcPr>
            <w:tcW w:type="dxa" w:w="2000"/>
            <w:tcMar>
              <w:top w:type="dxa" w:w="80"/>
              <w:left w:type="dxa" w:w="120"/>
              <w:bottom w:type="dxa" w:w="80"/>
              <w:right w:type="dxa" w:w="120"/>
            </w:tcMar>
          </w:tcPr>
          <w:p>
            <w:r>
              <w:rPr>
                <w:b w:val="false"/>
                <w:bCs w:val="false"/>
                <w:color w:val="1A1A1A"/>
                <w:sz w:val="20"/>
                <w:szCs w:val="20"/>
              </w:rPr>
              <w:t xml:space="preserve">Founder brief / PRD §5</w:t>
            </w:r>
          </w:p>
        </w:tc>
        <w:tc>
          <w:tcPr>
            <w:tcW w:type="dxa" w:w="3800"/>
            <w:tcMar>
              <w:top w:type="dxa" w:w="80"/>
              <w:left w:type="dxa" w:w="120"/>
              <w:bottom w:type="dxa" w:w="80"/>
              <w:right w:type="dxa" w:w="120"/>
            </w:tcMar>
          </w:tcPr>
          <w:p>
            <w:r>
              <w:rPr>
                <w:b w:val="false"/>
                <w:bCs w:val="false"/>
                <w:color w:val="1A1A1A"/>
                <w:sz w:val="20"/>
                <w:szCs w:val="20"/>
              </w:rPr>
              <w:t xml:space="preserve">Founder brief explicitly states everything else is secondary; confirmed by competitor research showing this is the reliability gap incumbents haven't closed</w:t>
            </w:r>
          </w:p>
        </w:tc>
      </w:tr>
      <w:tr>
        <w:tc>
          <w:tcPr>
            <w:tcW w:type="dxa" w:w="3200"/>
            <w:shd w:fill="F2F2F2" w:val="clear"/>
            <w:tcMar>
              <w:top w:type="dxa" w:w="80"/>
              <w:left w:type="dxa" w:w="120"/>
              <w:bottom w:type="dxa" w:w="80"/>
              <w:right w:type="dxa" w:w="120"/>
            </w:tcMar>
          </w:tcPr>
          <w:p>
            <w:r>
              <w:rPr>
                <w:b w:val="false"/>
                <w:bCs w:val="false"/>
                <w:color w:val="1A1A1A"/>
                <w:sz w:val="20"/>
                <w:szCs w:val="20"/>
              </w:rPr>
              <w:t xml:space="preserve">v1 platforms: Web + iOS. Android deferred to v1.1, desktop offline-first to v1.2</w:t>
            </w:r>
          </w:p>
        </w:tc>
        <w:tc>
          <w:tcPr>
            <w:tcW w:type="dxa" w:w="2000"/>
            <w:shd w:fill="F2F2F2" w:val="clear"/>
            <w:tcMar>
              <w:top w:type="dxa" w:w="80"/>
              <w:left w:type="dxa" w:w="120"/>
              <w:bottom w:type="dxa" w:w="80"/>
              <w:right w:type="dxa" w:w="120"/>
            </w:tcMar>
          </w:tcPr>
          <w:p>
            <w:r>
              <w:rPr>
                <w:b w:val="false"/>
                <w:bCs w:val="false"/>
                <w:color w:val="1A1A1A"/>
                <w:sz w:val="20"/>
                <w:szCs w:val="20"/>
              </w:rPr>
              <w:t xml:space="preserve">PRD §9</w:t>
            </w:r>
          </w:p>
        </w:tc>
        <w:tc>
          <w:tcPr>
            <w:tcW w:type="dxa" w:w="3800"/>
            <w:shd w:fill="F2F2F2" w:val="clear"/>
            <w:tcMar>
              <w:top w:type="dxa" w:w="80"/>
              <w:left w:type="dxa" w:w="120"/>
              <w:bottom w:type="dxa" w:w="80"/>
              <w:right w:type="dxa" w:w="120"/>
            </w:tcMar>
          </w:tcPr>
          <w:p>
            <w:r>
              <w:rPr>
                <w:b w:val="false"/>
                <w:bCs w:val="false"/>
                <w:color w:val="1A1A1A"/>
                <w:sz w:val="20"/>
                <w:szCs w:val="20"/>
              </w:rPr>
              <w:t xml:space="preserve">Covers highest-intent segments (professionals, wedding speakers) with least platform-fragmentation risk</w:t>
            </w:r>
          </w:p>
        </w:tc>
      </w:tr>
      <w:tr>
        <w:tc>
          <w:tcPr>
            <w:tcW w:type="dxa" w:w="3200"/>
            <w:tcMar>
              <w:top w:type="dxa" w:w="80"/>
              <w:left w:type="dxa" w:w="120"/>
              <w:bottom w:type="dxa" w:w="80"/>
              <w:right w:type="dxa" w:w="120"/>
            </w:tcMar>
          </w:tcPr>
          <w:p>
            <w:r>
              <w:rPr>
                <w:b w:val="false"/>
                <w:bCs w:val="false"/>
                <w:color w:val="1A1A1A"/>
                <w:sz w:val="20"/>
                <w:szCs w:val="20"/>
              </w:rPr>
              <w:t xml:space="preserve">Default visual mode: sentence-glow + auto-scroll; word-level karaoke offered as a setting</w:t>
            </w:r>
          </w:p>
        </w:tc>
        <w:tc>
          <w:tcPr>
            <w:tcW w:type="dxa" w:w="2000"/>
            <w:tcMar>
              <w:top w:type="dxa" w:w="80"/>
              <w:left w:type="dxa" w:w="120"/>
              <w:bottom w:type="dxa" w:w="80"/>
              <w:right w:type="dxa" w:w="120"/>
            </w:tcMar>
          </w:tcPr>
          <w:p>
            <w:r>
              <w:rPr>
                <w:b w:val="false"/>
                <w:bCs w:val="false"/>
                <w:color w:val="1A1A1A"/>
                <w:sz w:val="20"/>
                <w:szCs w:val="20"/>
              </w:rPr>
              <w:t xml:space="preserve">PRD §6</w:t>
            </w:r>
          </w:p>
        </w:tc>
        <w:tc>
          <w:tcPr>
            <w:tcW w:type="dxa" w:w="3800"/>
            <w:tcMar>
              <w:top w:type="dxa" w:w="80"/>
              <w:left w:type="dxa" w:w="120"/>
              <w:bottom w:type="dxa" w:w="80"/>
              <w:right w:type="dxa" w:w="120"/>
            </w:tcMar>
          </w:tcPr>
          <w:p>
            <w:r>
              <w:rPr>
                <w:b w:val="false"/>
                <w:bCs w:val="false"/>
                <w:color w:val="1A1A1A"/>
                <w:sz w:val="20"/>
                <w:szCs w:val="20"/>
              </w:rPr>
              <w:t xml:space="preserve">Lowest cognitive load as default; both modes share the same underlying position signal so offering both is low-cost</w:t>
            </w:r>
          </w:p>
        </w:tc>
      </w:tr>
      <w:tr>
        <w:tc>
          <w:tcPr>
            <w:tcW w:type="dxa" w:w="3200"/>
            <w:shd w:fill="F2F2F2" w:val="clear"/>
            <w:tcMar>
              <w:top w:type="dxa" w:w="80"/>
              <w:left w:type="dxa" w:w="120"/>
              <w:bottom w:type="dxa" w:w="80"/>
              <w:right w:type="dxa" w:w="120"/>
            </w:tcMar>
          </w:tcPr>
          <w:p>
            <w:r>
              <w:rPr>
                <w:b w:val="false"/>
                <w:bCs w:val="false"/>
                <w:color w:val="1A1A1A"/>
                <w:sz w:val="20"/>
                <w:szCs w:val="20"/>
              </w:rPr>
              <w:t xml:space="preserve">AI coach excludes live on-stage overlays and breathing reminders for v1</w:t>
            </w:r>
          </w:p>
        </w:tc>
        <w:tc>
          <w:tcPr>
            <w:tcW w:type="dxa" w:w="2000"/>
            <w:shd w:fill="F2F2F2" w:val="clear"/>
            <w:tcMar>
              <w:top w:type="dxa" w:w="80"/>
              <w:left w:type="dxa" w:w="120"/>
              <w:bottom w:type="dxa" w:w="80"/>
              <w:right w:type="dxa" w:w="120"/>
            </w:tcMar>
          </w:tcPr>
          <w:p>
            <w:r>
              <w:rPr>
                <w:b w:val="false"/>
                <w:bCs w:val="false"/>
                <w:color w:val="1A1A1A"/>
                <w:sz w:val="20"/>
                <w:szCs w:val="20"/>
              </w:rPr>
              <w:t xml:space="preserve">PRD §8</w:t>
            </w:r>
          </w:p>
        </w:tc>
        <w:tc>
          <w:tcPr>
            <w:tcW w:type="dxa" w:w="3800"/>
            <w:shd w:fill="F2F2F2" w:val="clear"/>
            <w:tcMar>
              <w:top w:type="dxa" w:w="80"/>
              <w:left w:type="dxa" w:w="120"/>
              <w:bottom w:type="dxa" w:w="80"/>
              <w:right w:type="dxa" w:w="120"/>
            </w:tcMar>
          </w:tcPr>
          <w:p>
            <w:r>
              <w:rPr>
                <w:b w:val="false"/>
                <w:bCs w:val="false"/>
                <w:color w:val="1A1A1A"/>
                <w:sz w:val="20"/>
                <w:szCs w:val="20"/>
              </w:rPr>
              <w:t xml:space="preserve">Must never overshadow or interrupt the live cueing engine per the founder brief's explicit priority order</w:t>
            </w:r>
          </w:p>
        </w:tc>
      </w:tr>
      <w:tr>
        <w:tc>
          <w:tcPr>
            <w:tcW w:type="dxa" w:w="3200"/>
            <w:tcMar>
              <w:top w:type="dxa" w:w="80"/>
              <w:left w:type="dxa" w:w="120"/>
              <w:bottom w:type="dxa" w:w="80"/>
              <w:right w:type="dxa" w:w="120"/>
            </w:tcMar>
          </w:tcPr>
          <w:p>
            <w:r>
              <w:rPr>
                <w:b w:val="false"/>
                <w:bCs w:val="false"/>
                <w:color w:val="1A1A1A"/>
                <w:sz w:val="20"/>
                <w:szCs w:val="20"/>
              </w:rPr>
              <w:t xml:space="preserve">Production speech recognition: hybrid on-device + cloud STT (Deepgram Nova-3 / AssemblyAI), not the browser's Web Speech API alone</w:t>
            </w:r>
          </w:p>
        </w:tc>
        <w:tc>
          <w:tcPr>
            <w:tcW w:type="dxa" w:w="2000"/>
            <w:tcMar>
              <w:top w:type="dxa" w:w="80"/>
              <w:left w:type="dxa" w:w="120"/>
              <w:bottom w:type="dxa" w:w="80"/>
              <w:right w:type="dxa" w:w="120"/>
            </w:tcMar>
          </w:tcPr>
          <w:p>
            <w:r>
              <w:rPr>
                <w:b w:val="false"/>
                <w:bCs w:val="false"/>
                <w:color w:val="1A1A1A"/>
                <w:sz w:val="20"/>
                <w:szCs w:val="20"/>
              </w:rPr>
              <w:t xml:space="preserve">Technical Architecture §2</w:t>
            </w:r>
          </w:p>
        </w:tc>
        <w:tc>
          <w:tcPr>
            <w:tcW w:type="dxa" w:w="3800"/>
            <w:tcMar>
              <w:top w:type="dxa" w:w="80"/>
              <w:left w:type="dxa" w:w="120"/>
              <w:bottom w:type="dxa" w:w="80"/>
              <w:right w:type="dxa" w:w="120"/>
            </w:tcMar>
          </w:tcPr>
          <w:p>
            <w:r>
              <w:rPr>
                <w:b w:val="false"/>
                <w:bCs w:val="false"/>
                <w:color w:val="1A1A1A"/>
                <w:sz w:val="20"/>
                <w:szCs w:val="20"/>
              </w:rPr>
              <w:t xml:space="preserve">Web Speech API has no offline mode, no SLA, and sends audio to Google with no guarantee -- unacceptable for a paid, reliability-critical product</w:t>
            </w:r>
          </w:p>
        </w:tc>
      </w:tr>
      <w:tr>
        <w:tc>
          <w:tcPr>
            <w:tcW w:type="dxa" w:w="3200"/>
            <w:shd w:fill="F2F2F2" w:val="clear"/>
            <w:tcMar>
              <w:top w:type="dxa" w:w="80"/>
              <w:left w:type="dxa" w:w="120"/>
              <w:bottom w:type="dxa" w:w="80"/>
              <w:right w:type="dxa" w:w="120"/>
            </w:tcMar>
          </w:tcPr>
          <w:p>
            <w:r>
              <w:rPr>
                <w:b w:val="false"/>
                <w:bCs w:val="false"/>
                <w:color w:val="1A1A1A"/>
                <w:sz w:val="20"/>
                <w:szCs w:val="20"/>
              </w:rPr>
              <w:t xml:space="preserve">Sync algorithm: windowed local alignment with a confidence threshold; freezes rather than guesses on low confidence</w:t>
            </w:r>
          </w:p>
        </w:tc>
        <w:tc>
          <w:tcPr>
            <w:tcW w:type="dxa" w:w="2000"/>
            <w:shd w:fill="F2F2F2" w:val="clear"/>
            <w:tcMar>
              <w:top w:type="dxa" w:w="80"/>
              <w:left w:type="dxa" w:w="120"/>
              <w:bottom w:type="dxa" w:w="80"/>
              <w:right w:type="dxa" w:w="120"/>
            </w:tcMar>
          </w:tcPr>
          <w:p>
            <w:r>
              <w:rPr>
                <w:b w:val="false"/>
                <w:bCs w:val="false"/>
                <w:color w:val="1A1A1A"/>
                <w:sz w:val="20"/>
                <w:szCs w:val="20"/>
              </w:rPr>
              <w:t xml:space="preserve">Technical Architecture §3</w:t>
            </w:r>
          </w:p>
        </w:tc>
        <w:tc>
          <w:tcPr>
            <w:tcW w:type="dxa" w:w="3800"/>
            <w:shd w:fill="F2F2F2" w:val="clear"/>
            <w:tcMar>
              <w:top w:type="dxa" w:w="80"/>
              <w:left w:type="dxa" w:w="120"/>
              <w:bottom w:type="dxa" w:w="80"/>
              <w:right w:type="dxa" w:w="120"/>
            </w:tcMar>
          </w:tcPr>
          <w:p>
            <w:r>
              <w:rPr>
                <w:b w:val="false"/>
                <w:bCs w:val="false"/>
                <w:color w:val="1A1A1A"/>
                <w:sz w:val="20"/>
                <w:szCs w:val="20"/>
              </w:rPr>
              <w:t xml:space="preserve">Directly implements the PRD's "never lose position silently" requirement</w:t>
            </w:r>
          </w:p>
        </w:tc>
      </w:tr>
      <w:tr>
        <w:tc>
          <w:tcPr>
            <w:tcW w:type="dxa" w:w="3200"/>
            <w:tcMar>
              <w:top w:type="dxa" w:w="80"/>
              <w:left w:type="dxa" w:w="120"/>
              <w:bottom w:type="dxa" w:w="80"/>
              <w:right w:type="dxa" w:w="120"/>
            </w:tcMar>
          </w:tcPr>
          <w:p>
            <w:r>
              <w:rPr>
                <w:b w:val="false"/>
                <w:bCs w:val="false"/>
                <w:color w:val="1A1A1A"/>
                <w:sz w:val="20"/>
                <w:szCs w:val="20"/>
              </w:rPr>
              <w:t xml:space="preserve">Pricing: 6 tiers (Free, Pro, Life Events, Team, Education, Enterprise/Gov)</w:t>
            </w:r>
          </w:p>
        </w:tc>
        <w:tc>
          <w:tcPr>
            <w:tcW w:type="dxa" w:w="2000"/>
            <w:tcMar>
              <w:top w:type="dxa" w:w="80"/>
              <w:left w:type="dxa" w:w="120"/>
              <w:bottom w:type="dxa" w:w="80"/>
              <w:right w:type="dxa" w:w="120"/>
            </w:tcMar>
          </w:tcPr>
          <w:p>
            <w:r>
              <w:rPr>
                <w:b w:val="false"/>
                <w:bCs w:val="false"/>
                <w:color w:val="1A1A1A"/>
                <w:sz w:val="20"/>
                <w:szCs w:val="20"/>
              </w:rPr>
              <w:t xml:space="preserve">Business Plan §2</w:t>
            </w:r>
          </w:p>
        </w:tc>
        <w:tc>
          <w:tcPr>
            <w:tcW w:type="dxa" w:w="3800"/>
            <w:tcMar>
              <w:top w:type="dxa" w:w="80"/>
              <w:left w:type="dxa" w:w="120"/>
              <w:bottom w:type="dxa" w:w="80"/>
              <w:right w:type="dxa" w:w="120"/>
            </w:tcMar>
          </w:tcPr>
          <w:p>
            <w:r>
              <w:rPr>
                <w:b w:val="false"/>
                <w:bCs w:val="false"/>
                <w:color w:val="1A1A1A"/>
                <w:sz w:val="20"/>
                <w:szCs w:val="20"/>
              </w:rPr>
              <w:t xml:space="preserve">Monetizes the full spread of founder-brief segments without bespoke products for each</w:t>
            </w:r>
          </w:p>
        </w:tc>
      </w:tr>
      <w:tr>
        <w:tc>
          <w:tcPr>
            <w:tcW w:type="dxa" w:w="3200"/>
            <w:shd w:fill="F2F2F2" w:val="clear"/>
            <w:tcMar>
              <w:top w:type="dxa" w:w="80"/>
              <w:left w:type="dxa" w:w="120"/>
              <w:bottom w:type="dxa" w:w="80"/>
              <w:right w:type="dxa" w:w="120"/>
            </w:tcMar>
          </w:tcPr>
          <w:p>
            <w:r>
              <w:rPr>
                <w:b w:val="false"/>
                <w:bCs w:val="false"/>
                <w:color w:val="1A1A1A"/>
                <w:sz w:val="20"/>
                <w:szCs w:val="20"/>
              </w:rPr>
              <w:t xml:space="preserve">Beta primary segments: Toastmasters members and wedding/life-event speakers</w:t>
            </w:r>
          </w:p>
        </w:tc>
        <w:tc>
          <w:tcPr>
            <w:tcW w:type="dxa" w:w="2000"/>
            <w:shd w:fill="F2F2F2" w:val="clear"/>
            <w:tcMar>
              <w:top w:type="dxa" w:w="80"/>
              <w:left w:type="dxa" w:w="120"/>
              <w:bottom w:type="dxa" w:w="80"/>
              <w:right w:type="dxa" w:w="120"/>
            </w:tcMar>
          </w:tcPr>
          <w:p>
            <w:r>
              <w:rPr>
                <w:b w:val="false"/>
                <w:bCs w:val="false"/>
                <w:color w:val="1A1A1A"/>
                <w:sz w:val="20"/>
                <w:szCs w:val="20"/>
              </w:rPr>
              <w:t xml:space="preserve">Beta Recruiting Plan §2</w:t>
            </w:r>
          </w:p>
        </w:tc>
        <w:tc>
          <w:tcPr>
            <w:tcW w:type="dxa" w:w="3800"/>
            <w:shd w:fill="F2F2F2" w:val="clear"/>
            <w:tcMar>
              <w:top w:type="dxa" w:w="80"/>
              <w:left w:type="dxa" w:w="120"/>
              <w:bottom w:type="dxa" w:w="80"/>
              <w:right w:type="dxa" w:w="120"/>
            </w:tcMar>
          </w:tcPr>
          <w:p>
            <w:r>
              <w:rPr>
                <w:b w:val="false"/>
                <w:bCs w:val="false"/>
                <w:color w:val="1A1A1A"/>
                <w:sz w:val="20"/>
                <w:szCs w:val="20"/>
              </w:rPr>
              <w:t xml:space="preserve">Highest product-market fit and strongest referral loop, per PRD target-user prioritization</w:t>
            </w:r>
          </w:p>
        </w:tc>
      </w:tr>
      <w:tr>
        <w:tc>
          <w:tcPr>
            <w:tcW w:type="dxa" w:w="3200"/>
            <w:tcMar>
              <w:top w:type="dxa" w:w="80"/>
              <w:left w:type="dxa" w:w="120"/>
              <w:bottom w:type="dxa" w:w="80"/>
              <w:right w:type="dxa" w:w="120"/>
            </w:tcMar>
          </w:tcPr>
          <w:p>
            <w:r>
              <w:rPr>
                <w:b w:val="false"/>
                <w:bCs w:val="false"/>
                <w:color w:val="1A1A1A"/>
                <w:sz w:val="20"/>
                <w:szCs w:val="20"/>
              </w:rPr>
              <w:t xml:space="preserve">Beta go/no-go thresholds tied to Sean Ellis score, sync failure rate, and time-to-first-rehearsal</w:t>
            </w:r>
          </w:p>
        </w:tc>
        <w:tc>
          <w:tcPr>
            <w:tcW w:type="dxa" w:w="2000"/>
            <w:tcMar>
              <w:top w:type="dxa" w:w="80"/>
              <w:left w:type="dxa" w:w="120"/>
              <w:bottom w:type="dxa" w:w="80"/>
              <w:right w:type="dxa" w:w="120"/>
            </w:tcMar>
          </w:tcPr>
          <w:p>
            <w:r>
              <w:rPr>
                <w:b w:val="false"/>
                <w:bCs w:val="false"/>
                <w:color w:val="1A1A1A"/>
                <w:sz w:val="20"/>
                <w:szCs w:val="20"/>
              </w:rPr>
              <w:t xml:space="preserve">Beta Recruiting Plan §6</w:t>
            </w:r>
          </w:p>
        </w:tc>
        <w:tc>
          <w:tcPr>
            <w:tcW w:type="dxa" w:w="3800"/>
            <w:tcMar>
              <w:top w:type="dxa" w:w="80"/>
              <w:left w:type="dxa" w:w="120"/>
              <w:bottom w:type="dxa" w:w="80"/>
              <w:right w:type="dxa" w:w="120"/>
            </w:tcMar>
          </w:tcPr>
          <w:p>
            <w:r>
              <w:rPr>
                <w:b w:val="false"/>
                <w:bCs w:val="false"/>
                <w:color w:val="1A1A1A"/>
                <w:sz w:val="20"/>
                <w:szCs w:val="20"/>
              </w:rPr>
              <w:t xml:space="preserve">Maps beta results onto a real launch decision instead of anecdotal impressions</w:t>
            </w:r>
          </w:p>
        </w:tc>
      </w:tr>
      <w:tr>
        <w:tc>
          <w:tcPr>
            <w:tcW w:type="dxa" w:w="3200"/>
            <w:shd w:fill="F2F2F2" w:val="clear"/>
            <w:tcMar>
              <w:top w:type="dxa" w:w="80"/>
              <w:left w:type="dxa" w:w="120"/>
              <w:bottom w:type="dxa" w:w="80"/>
              <w:right w:type="dxa" w:w="120"/>
            </w:tcMar>
          </w:tcPr>
          <w:p>
            <w:r>
              <w:rPr>
                <w:b w:val="false"/>
                <w:bCs w:val="false"/>
                <w:color w:val="1A1A1A"/>
                <w:sz w:val="20"/>
                <w:szCs w:val="20"/>
              </w:rPr>
              <w:t xml:space="preserve">Brand palette: navy / ice-blue / gold, carried across the investor deck, web app, and landing page</w:t>
            </w:r>
          </w:p>
        </w:tc>
        <w:tc>
          <w:tcPr>
            <w:tcW w:type="dxa" w:w="2000"/>
            <w:shd w:fill="F2F2F2" w:val="clear"/>
            <w:tcMar>
              <w:top w:type="dxa" w:w="80"/>
              <w:left w:type="dxa" w:w="120"/>
              <w:bottom w:type="dxa" w:w="80"/>
              <w:right w:type="dxa" w:w="120"/>
            </w:tcMar>
          </w:tcPr>
          <w:p>
            <w:r>
              <w:rPr>
                <w:b w:val="false"/>
                <w:bCs w:val="false"/>
                <w:color w:val="1A1A1A"/>
                <w:sz w:val="20"/>
                <w:szCs w:val="20"/>
              </w:rPr>
              <w:t xml:space="preserve">Investor Deck; Web App</w:t>
            </w:r>
          </w:p>
        </w:tc>
        <w:tc>
          <w:tcPr>
            <w:tcW w:type="dxa" w:w="3800"/>
            <w:shd w:fill="F2F2F2" w:val="clear"/>
            <w:tcMar>
              <w:top w:type="dxa" w:w="80"/>
              <w:left w:type="dxa" w:w="120"/>
              <w:bottom w:type="dxa" w:w="80"/>
              <w:right w:type="dxa" w:w="120"/>
            </w:tcMar>
          </w:tcPr>
          <w:p>
            <w:r>
              <w:rPr>
                <w:b w:val="false"/>
                <w:bCs w:val="false"/>
                <w:color w:val="1A1A1A"/>
                <w:sz w:val="20"/>
                <w:szCs w:val="20"/>
              </w:rPr>
              <w:t xml:space="preserve">Consistent brand across every founder-facing and user-facing surface, matching the PRD's "premium, calm, intelligent" UX principles</w:t>
            </w:r>
          </w:p>
        </w:tc>
      </w:tr>
      <w:tr>
        <w:tc>
          <w:tcPr>
            <w:tcW w:type="dxa" w:w="3200"/>
            <w:tcMar>
              <w:top w:type="dxa" w:w="80"/>
              <w:left w:type="dxa" w:w="120"/>
              <w:bottom w:type="dxa" w:w="80"/>
              <w:right w:type="dxa" w:w="120"/>
            </w:tcMar>
          </w:tcPr>
          <w:p>
            <w:r>
              <w:rPr>
                <w:b w:val="false"/>
                <w:bCs w:val="false"/>
                <w:color w:val="1A1A1A"/>
                <w:sz w:val="20"/>
                <w:szCs w:val="20"/>
              </w:rPr>
              <w:t xml:space="preserve">Web app stack: React + TypeScript, localStorage persistence as a stand-in for the backend during beta</w:t>
            </w:r>
          </w:p>
        </w:tc>
        <w:tc>
          <w:tcPr>
            <w:tcW w:type="dxa" w:w="2000"/>
            <w:tcMar>
              <w:top w:type="dxa" w:w="80"/>
              <w:left w:type="dxa" w:w="120"/>
              <w:bottom w:type="dxa" w:w="80"/>
              <w:right w:type="dxa" w:w="120"/>
            </w:tcMar>
          </w:tcPr>
          <w:p>
            <w:r>
              <w:rPr>
                <w:b w:val="false"/>
                <w:bCs w:val="false"/>
                <w:color w:val="1A1A1A"/>
                <w:sz w:val="20"/>
                <w:szCs w:val="20"/>
              </w:rPr>
              <w:t xml:space="preserve">Technical Architecture §4; Web App README</w:t>
            </w:r>
          </w:p>
        </w:tc>
        <w:tc>
          <w:tcPr>
            <w:tcW w:type="dxa" w:w="3800"/>
            <w:tcMar>
              <w:top w:type="dxa" w:w="80"/>
              <w:left w:type="dxa" w:w="120"/>
              <w:bottom w:type="dxa" w:w="80"/>
              <w:right w:type="dxa" w:w="120"/>
            </w:tcMar>
          </w:tcPr>
          <w:p>
            <w:r>
              <w:rPr>
                <w:b w:val="false"/>
                <w:bCs w:val="false"/>
                <w:color w:val="1A1A1A"/>
                <w:sz w:val="20"/>
                <w:szCs w:val="20"/>
              </w:rPr>
              <w:t xml:space="preserve">Matches the architecture doc's frontend recommendation; storage layer is written behind the same interface a real API client would use, so it's a backend swap later, not a rewrite</w:t>
            </w:r>
          </w:p>
        </w:tc>
      </w:tr>
      <w:tr>
        <w:tc>
          <w:tcPr>
            <w:tcW w:type="dxa" w:w="3200"/>
            <w:shd w:fill="F2F2F2" w:val="clear"/>
            <w:tcMar>
              <w:top w:type="dxa" w:w="80"/>
              <w:left w:type="dxa" w:w="120"/>
              <w:bottom w:type="dxa" w:w="80"/>
              <w:right w:type="dxa" w:w="120"/>
            </w:tcMar>
          </w:tcPr>
          <w:p>
            <w:r>
              <w:rPr>
                <w:b w:val="false"/>
                <w:bCs w:val="false"/>
                <w:color w:val="1A1A1A"/>
                <w:sz w:val="20"/>
                <w:szCs w:val="20"/>
              </w:rPr>
              <w:t xml:space="preserve">Seed round target: ~$1.5M</w:t>
            </w:r>
          </w:p>
        </w:tc>
        <w:tc>
          <w:tcPr>
            <w:tcW w:type="dxa" w:w="2000"/>
            <w:shd w:fill="F2F2F2" w:val="clear"/>
            <w:tcMar>
              <w:top w:type="dxa" w:w="80"/>
              <w:left w:type="dxa" w:w="120"/>
              <w:bottom w:type="dxa" w:w="80"/>
              <w:right w:type="dxa" w:w="120"/>
            </w:tcMar>
          </w:tcPr>
          <w:p>
            <w:r>
              <w:rPr>
                <w:b w:val="false"/>
                <w:bCs w:val="false"/>
                <w:color w:val="1A1A1A"/>
                <w:sz w:val="20"/>
                <w:szCs w:val="20"/>
              </w:rPr>
              <w:t xml:space="preserve">Investor Deck §13</w:t>
            </w:r>
          </w:p>
        </w:tc>
        <w:tc>
          <w:tcPr>
            <w:tcW w:type="dxa" w:w="3800"/>
            <w:shd w:fill="F2F2F2" w:val="clear"/>
            <w:tcMar>
              <w:top w:type="dxa" w:w="80"/>
              <w:left w:type="dxa" w:w="120"/>
              <w:bottom w:type="dxa" w:w="80"/>
              <w:right w:type="dxa" w:w="120"/>
            </w:tcMar>
          </w:tcPr>
          <w:p>
            <w:r>
              <w:rPr>
                <w:b w:val="false"/>
                <w:bCs w:val="false"/>
                <w:color w:val="1A1A1A"/>
                <w:sz w:val="20"/>
                <w:szCs w:val="20"/>
              </w:rPr>
              <w:t xml:space="preserve">Midpoint of the $1M-$2M range matching the deck's existing use-of-funds breakdown; founder-approved July 24, 2026</w:t>
            </w:r>
          </w:p>
        </w:tc>
      </w:tr>
      <w:tr>
        <w:tc>
          <w:tcPr>
            <w:tcW w:type="dxa" w:w="3200"/>
            <w:tcMar>
              <w:top w:type="dxa" w:w="80"/>
              <w:left w:type="dxa" w:w="120"/>
              <w:bottom w:type="dxa" w:w="80"/>
              <w:right w:type="dxa" w:w="120"/>
            </w:tcMar>
          </w:tcPr>
          <w:p>
            <w:r>
              <w:rPr>
                <w:b w:val="false"/>
                <w:bCs w:val="false"/>
                <w:color w:val="1A1A1A"/>
                <w:sz w:val="20"/>
                <w:szCs w:val="20"/>
              </w:rPr>
              <w:t xml:space="preserve">On-device-only privacy mode is free for all users, not an Enterprise-exclusive paid tier</w:t>
            </w:r>
          </w:p>
        </w:tc>
        <w:tc>
          <w:tcPr>
            <w:tcW w:type="dxa" w:w="2000"/>
            <w:tcMar>
              <w:top w:type="dxa" w:w="80"/>
              <w:left w:type="dxa" w:w="120"/>
              <w:bottom w:type="dxa" w:w="80"/>
              <w:right w:type="dxa" w:w="120"/>
            </w:tcMar>
          </w:tcPr>
          <w:p>
            <w:r>
              <w:rPr>
                <w:b w:val="false"/>
                <w:bCs w:val="false"/>
                <w:color w:val="1A1A1A"/>
                <w:sz w:val="20"/>
                <w:szCs w:val="20"/>
              </w:rPr>
              <w:t xml:space="preserve">Technical Architecture §6; Business Plan §2</w:t>
            </w:r>
          </w:p>
        </w:tc>
        <w:tc>
          <w:tcPr>
            <w:tcW w:type="dxa" w:w="3800"/>
            <w:tcMar>
              <w:top w:type="dxa" w:w="80"/>
              <w:left w:type="dxa" w:w="120"/>
              <w:bottom w:type="dxa" w:w="80"/>
              <w:right w:type="dxa" w:w="120"/>
            </w:tcMar>
          </w:tcPr>
          <w:p>
            <w:r>
              <w:rPr>
                <w:b w:val="false"/>
                <w:bCs w:val="false"/>
                <w:color w:val="1A1A1A"/>
                <w:sz w:val="20"/>
                <w:szCs w:val="20"/>
              </w:rPr>
              <w:t xml:space="preserve">Removes a trust barrier for privacy-sensitive segments at low cost, since on-device is already the default cost-saving path; founder-approved July 24, 2026</w:t>
            </w:r>
          </w:p>
        </w:tc>
      </w:tr>
      <w:tr>
        <w:tc>
          <w:tcPr>
            <w:tcW w:type="dxa" w:w="3200"/>
            <w:shd w:fill="F2F2F2" w:val="clear"/>
            <w:tcMar>
              <w:top w:type="dxa" w:w="80"/>
              <w:left w:type="dxa" w:w="120"/>
              <w:bottom w:type="dxa" w:w="80"/>
              <w:right w:type="dxa" w:w="120"/>
            </w:tcMar>
          </w:tcPr>
          <w:p>
            <w:r>
              <w:rPr>
                <w:b w:val="false"/>
                <w:bCs w:val="false"/>
                <w:color w:val="1A1A1A"/>
                <w:sz w:val="20"/>
                <w:szCs w:val="20"/>
              </w:rPr>
              <w:t xml:space="preserve">Beta follow-up: personal reply to every signup within 24 hours</w:t>
            </w:r>
          </w:p>
        </w:tc>
        <w:tc>
          <w:tcPr>
            <w:tcW w:type="dxa" w:w="2000"/>
            <w:shd w:fill="F2F2F2" w:val="clear"/>
            <w:tcMar>
              <w:top w:type="dxa" w:w="80"/>
              <w:left w:type="dxa" w:w="120"/>
              <w:bottom w:type="dxa" w:w="80"/>
              <w:right w:type="dxa" w:w="120"/>
            </w:tcMar>
          </w:tcPr>
          <w:p>
            <w:r>
              <w:rPr>
                <w:b w:val="false"/>
                <w:bCs w:val="false"/>
                <w:color w:val="1A1A1A"/>
                <w:sz w:val="20"/>
                <w:szCs w:val="20"/>
              </w:rPr>
              <w:t xml:space="preserve">Beta Recruiting Plan §5</w:t>
            </w:r>
          </w:p>
        </w:tc>
        <w:tc>
          <w:tcPr>
            <w:tcW w:type="dxa" w:w="3800"/>
            <w:shd w:fill="F2F2F2" w:val="clear"/>
            <w:tcMar>
              <w:top w:type="dxa" w:w="80"/>
              <w:left w:type="dxa" w:w="120"/>
              <w:bottom w:type="dxa" w:w="80"/>
              <w:right w:type="dxa" w:w="120"/>
            </w:tcMar>
          </w:tcPr>
          <w:p>
            <w:r>
              <w:rPr>
                <w:b w:val="false"/>
                <w:bCs w:val="false"/>
                <w:color w:val="1A1A1A"/>
                <w:sz w:val="20"/>
                <w:szCs w:val="20"/>
              </w:rPr>
              <w:t xml:space="preserve">Matches the plan as drafted; founder-approved July 24, 2026 -- revisit if signup volume exceeds what one person can sustain</w:t>
            </w:r>
          </w:p>
        </w:tc>
      </w:tr>
      <w:tr>
        <w:tc>
          <w:tcPr>
            <w:tcW w:type="dxa" w:w="3200"/>
            <w:tcMar>
              <w:top w:type="dxa" w:w="80"/>
              <w:left w:type="dxa" w:w="120"/>
              <w:bottom w:type="dxa" w:w="80"/>
              <w:right w:type="dxa" w:w="120"/>
            </w:tcMar>
          </w:tcPr>
          <w:p>
            <w:r>
              <w:rPr>
                <w:b w:val="false"/>
                <w:bCs w:val="false"/>
                <w:color w:val="1A1A1A"/>
                <w:sz w:val="20"/>
                <w:szCs w:val="20"/>
              </w:rPr>
              <w:t xml:space="preserve">Consent approach: plain-language on-device disclosure added to the app and to in-person outreach messaging, beta proceeds without waiting for full legal review</w:t>
            </w:r>
          </w:p>
        </w:tc>
        <w:tc>
          <w:tcPr>
            <w:tcW w:type="dxa" w:w="2000"/>
            <w:tcMar>
              <w:top w:type="dxa" w:w="80"/>
              <w:left w:type="dxa" w:w="120"/>
              <w:bottom w:type="dxa" w:w="80"/>
              <w:right w:type="dxa" w:w="120"/>
            </w:tcMar>
          </w:tcPr>
          <w:p>
            <w:r>
              <w:rPr>
                <w:b w:val="false"/>
                <w:bCs w:val="false"/>
                <w:color w:val="1A1A1A"/>
                <w:sz w:val="20"/>
                <w:szCs w:val="20"/>
              </w:rPr>
              <w:t xml:space="preserve">Risk Register L1</w:t>
            </w:r>
          </w:p>
        </w:tc>
        <w:tc>
          <w:tcPr>
            <w:tcW w:type="dxa" w:w="3800"/>
            <w:tcMar>
              <w:top w:type="dxa" w:w="80"/>
              <w:left w:type="dxa" w:w="120"/>
              <w:bottom w:type="dxa" w:w="80"/>
              <w:right w:type="dxa" w:w="120"/>
            </w:tcMar>
          </w:tcPr>
          <w:p>
            <w:r>
              <w:rPr>
                <w:b w:val="false"/>
                <w:bCs w:val="false"/>
                <w:color w:val="1A1A1A"/>
                <w:sz w:val="20"/>
                <w:szCs w:val="20"/>
              </w:rPr>
              <w:t xml:space="preserve">Reasonable precaution without blocking the beta; founder-approved July 24, 2026 -- does not replace the still-open legal review before public launch</w:t>
            </w:r>
          </w:p>
        </w:tc>
      </w:tr>
    </w:tbl>
    <w:p>
      <w:pPr>
        <w:pStyle w:val="Heading1"/>
        <w:spacing w:after="160" w:before="360"/>
      </w:pPr>
      <w:r>
        <w:t xml:space="preserve">4. Decisions Still Open</w:t>
      </w:r>
    </w:p>
    <w:p>
      <w:pPr>
        <w:spacing w:after="160"/>
      </w:pPr>
      <w:r>
        <w:t xml:space="preserve">Consolidated from every document's appendix, in rough priority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c>
          <w:tcPr>
            <w:tcW w:type="dxa" w:w="3200"/>
            <w:shd w:fill="2B2B2B" w:val="clear"/>
            <w:tcMar>
              <w:top w:type="dxa" w:w="80"/>
              <w:left w:type="dxa" w:w="120"/>
              <w:bottom w:type="dxa" w:w="80"/>
              <w:right w:type="dxa" w:w="120"/>
            </w:tcMar>
          </w:tcPr>
          <w:p>
            <w:r>
              <w:rPr>
                <w:b/>
                <w:bCs/>
                <w:color w:val="FFFFFF"/>
                <w:sz w:val="20"/>
                <w:szCs w:val="20"/>
              </w:rPr>
              <w:t xml:space="preserve">Decision needed</w:t>
            </w:r>
          </w:p>
        </w:tc>
        <w:tc>
          <w:tcPr>
            <w:tcW w:type="dxa" w:w="2400"/>
            <w:shd w:fill="2B2B2B" w:val="clear"/>
            <w:tcMar>
              <w:top w:type="dxa" w:w="80"/>
              <w:left w:type="dxa" w:w="120"/>
              <w:bottom w:type="dxa" w:w="80"/>
              <w:right w:type="dxa" w:w="120"/>
            </w:tcMar>
          </w:tcPr>
          <w:p>
            <w:r>
              <w:rPr>
                <w:b/>
                <w:bCs/>
                <w:color w:val="FFFFFF"/>
                <w:sz w:val="20"/>
                <w:szCs w:val="20"/>
              </w:rPr>
              <w:t xml:space="preserve">Where it's discussed</w:t>
            </w:r>
          </w:p>
        </w:tc>
        <w:tc>
          <w:tcPr>
            <w:tcW w:type="dxa" w:w="3400"/>
            <w:shd w:fill="2B2B2B" w:val="clear"/>
            <w:tcMar>
              <w:top w:type="dxa" w:w="80"/>
              <w:left w:type="dxa" w:w="120"/>
              <w:bottom w:type="dxa" w:w="80"/>
              <w:right w:type="dxa" w:w="120"/>
            </w:tcMar>
          </w:tcPr>
          <w:p>
            <w:r>
              <w:rPr>
                <w:b/>
                <w:bCs/>
                <w:color w:val="FFFFFF"/>
                <w:sz w:val="20"/>
                <w:szCs w:val="20"/>
              </w:rPr>
              <w:t xml:space="preserve">Recommendation on file (if any)</w:t>
            </w:r>
          </w:p>
        </w:tc>
      </w:tr>
      <w:tr>
        <w:tc>
          <w:tcPr>
            <w:tcW w:type="dxa" w:w="3200"/>
            <w:tcMar>
              <w:top w:type="dxa" w:w="80"/>
              <w:left w:type="dxa" w:w="120"/>
              <w:bottom w:type="dxa" w:w="80"/>
              <w:right w:type="dxa" w:w="120"/>
            </w:tcMar>
          </w:tcPr>
          <w:p>
            <w:r>
              <w:rPr>
                <w:b w:val="false"/>
                <w:bCs w:val="false"/>
                <w:color w:val="1A1A1A"/>
                <w:sz w:val="20"/>
                <w:szCs w:val="20"/>
              </w:rPr>
              <w:t xml:space="preserve">Resolve the "FlowCue AI" naming conflict with flowcue.app -- rename, negotiate, or accept the risk</w:t>
            </w:r>
          </w:p>
        </w:tc>
        <w:tc>
          <w:tcPr>
            <w:tcW w:type="dxa" w:w="2400"/>
            <w:tcMar>
              <w:top w:type="dxa" w:w="80"/>
              <w:left w:type="dxa" w:w="120"/>
              <w:bottom w:type="dxa" w:w="80"/>
              <w:right w:type="dxa" w:w="120"/>
            </w:tcMar>
          </w:tcPr>
          <w:p>
            <w:r>
              <w:rPr>
                <w:b w:val="false"/>
                <w:bCs w:val="false"/>
                <w:color w:val="1A1A1A"/>
                <w:sz w:val="20"/>
                <w:szCs w:val="20"/>
              </w:rPr>
              <w:t xml:space="preserve">Section 2 above; Risk Register L2</w:t>
            </w:r>
          </w:p>
        </w:tc>
        <w:tc>
          <w:tcPr>
            <w:tcW w:type="dxa" w:w="3400"/>
            <w:tcMar>
              <w:top w:type="dxa" w:w="80"/>
              <w:left w:type="dxa" w:w="120"/>
              <w:bottom w:type="dxa" w:w="80"/>
              <w:right w:type="dxa" w:w="120"/>
            </w:tcMar>
          </w:tcPr>
          <w:p>
            <w:r>
              <w:rPr>
                <w:b w:val="false"/>
                <w:bCs w:val="false"/>
                <w:color w:val="1A1A1A"/>
                <w:sz w:val="20"/>
                <w:szCs w:val="20"/>
              </w:rPr>
              <w:t xml:space="preserve">Beta proceeds low-visibility in the meantime; treat as top priority before public launch</w:t>
            </w:r>
          </w:p>
        </w:tc>
      </w:tr>
      <w:tr>
        <w:tc>
          <w:tcPr>
            <w:tcW w:type="dxa" w:w="3200"/>
            <w:shd w:fill="F2F2F2" w:val="clear"/>
            <w:tcMar>
              <w:top w:type="dxa" w:w="80"/>
              <w:left w:type="dxa" w:w="120"/>
              <w:bottom w:type="dxa" w:w="80"/>
              <w:right w:type="dxa" w:w="120"/>
            </w:tcMar>
          </w:tcPr>
          <w:p>
            <w:r>
              <w:rPr>
                <w:b w:val="false"/>
                <w:bCs w:val="false"/>
                <w:color w:val="1A1A1A"/>
                <w:sz w:val="20"/>
                <w:szCs w:val="20"/>
              </w:rPr>
              <w:t xml:space="preserve">Founder bio, photo, and background for the team slide</w:t>
            </w:r>
          </w:p>
        </w:tc>
        <w:tc>
          <w:tcPr>
            <w:tcW w:type="dxa" w:w="2400"/>
            <w:shd w:fill="F2F2F2" w:val="clear"/>
            <w:tcMar>
              <w:top w:type="dxa" w:w="80"/>
              <w:left w:type="dxa" w:w="120"/>
              <w:bottom w:type="dxa" w:w="80"/>
              <w:right w:type="dxa" w:w="120"/>
            </w:tcMar>
          </w:tcPr>
          <w:p>
            <w:r>
              <w:rPr>
                <w:b w:val="false"/>
                <w:bCs w:val="false"/>
                <w:color w:val="1A1A1A"/>
                <w:sz w:val="20"/>
                <w:szCs w:val="20"/>
              </w:rPr>
              <w:t xml:space="preserve">Investor Deck §12</w:t>
            </w:r>
          </w:p>
        </w:tc>
        <w:tc>
          <w:tcPr>
            <w:tcW w:type="dxa" w:w="3400"/>
            <w:shd w:fill="F2F2F2" w:val="clear"/>
            <w:tcMar>
              <w:top w:type="dxa" w:w="80"/>
              <w:left w:type="dxa" w:w="120"/>
              <w:bottom w:type="dxa" w:w="80"/>
              <w:right w:type="dxa" w:w="120"/>
            </w:tcMar>
          </w:tcPr>
          <w:p>
            <w:r>
              <w:rPr>
                <w:b w:val="false"/>
                <w:bCs w:val="false"/>
                <w:color w:val="1A1A1A"/>
                <w:sz w:val="20"/>
                <w:szCs w:val="20"/>
              </w:rPr>
              <w:t xml:space="preserve">Placeholder -- blocks sending the deck externally</w:t>
            </w:r>
          </w:p>
        </w:tc>
      </w:tr>
      <w:tr>
        <w:tc>
          <w:tcPr>
            <w:tcW w:type="dxa" w:w="3200"/>
            <w:tcMar>
              <w:top w:type="dxa" w:w="80"/>
              <w:left w:type="dxa" w:w="120"/>
              <w:bottom w:type="dxa" w:w="80"/>
              <w:right w:type="dxa" w:w="120"/>
            </w:tcMar>
          </w:tcPr>
          <w:p>
            <w:r>
              <w:rPr>
                <w:b w:val="false"/>
                <w:bCs w:val="false"/>
                <w:color w:val="1A1A1A"/>
                <w:sz w:val="20"/>
                <w:szCs w:val="20"/>
              </w:rPr>
              <w:t xml:space="preserve">Approve the 6-tier pricing table before it appears in public materials</w:t>
            </w:r>
          </w:p>
        </w:tc>
        <w:tc>
          <w:tcPr>
            <w:tcW w:type="dxa" w:w="2400"/>
            <w:tcMar>
              <w:top w:type="dxa" w:w="80"/>
              <w:left w:type="dxa" w:w="120"/>
              <w:bottom w:type="dxa" w:w="80"/>
              <w:right w:type="dxa" w:w="120"/>
            </w:tcMar>
          </w:tcPr>
          <w:p>
            <w:r>
              <w:rPr>
                <w:b w:val="false"/>
                <w:bCs w:val="false"/>
                <w:color w:val="1A1A1A"/>
                <w:sz w:val="20"/>
                <w:szCs w:val="20"/>
              </w:rPr>
              <w:t xml:space="preserve">Business Plan §2</w:t>
            </w:r>
          </w:p>
        </w:tc>
        <w:tc>
          <w:tcPr>
            <w:tcW w:type="dxa" w:w="3400"/>
            <w:tcMar>
              <w:top w:type="dxa" w:w="80"/>
              <w:left w:type="dxa" w:w="120"/>
              <w:bottom w:type="dxa" w:w="80"/>
              <w:right w:type="dxa" w:w="120"/>
            </w:tcMar>
          </w:tcPr>
          <w:p>
            <w:r>
              <w:rPr>
                <w:b w:val="false"/>
                <w:bCs w:val="false"/>
                <w:color w:val="1A1A1A"/>
                <w:sz w:val="20"/>
                <w:szCs w:val="20"/>
              </w:rPr>
              <w:t xml:space="preserve">Table is drafted and ready for approval</w:t>
            </w:r>
          </w:p>
        </w:tc>
      </w:tr>
      <w:tr>
        <w:tc>
          <w:tcPr>
            <w:tcW w:type="dxa" w:w="3200"/>
            <w:shd w:fill="F2F2F2" w:val="clear"/>
            <w:tcMar>
              <w:top w:type="dxa" w:w="80"/>
              <w:left w:type="dxa" w:w="120"/>
              <w:bottom w:type="dxa" w:w="80"/>
              <w:right w:type="dxa" w:w="120"/>
            </w:tcMar>
          </w:tcPr>
          <w:p>
            <w:r>
              <w:rPr>
                <w:b w:val="false"/>
                <w:bCs w:val="false"/>
                <w:color w:val="1A1A1A"/>
                <w:sz w:val="20"/>
                <w:szCs w:val="20"/>
              </w:rPr>
              <w:t xml:space="preserve">Confirm cloud provider (AWS recommended) and initial regions</w:t>
            </w:r>
          </w:p>
        </w:tc>
        <w:tc>
          <w:tcPr>
            <w:tcW w:type="dxa" w:w="2400"/>
            <w:shd w:fill="F2F2F2" w:val="clear"/>
            <w:tcMar>
              <w:top w:type="dxa" w:w="80"/>
              <w:left w:type="dxa" w:w="120"/>
              <w:bottom w:type="dxa" w:w="80"/>
              <w:right w:type="dxa" w:w="120"/>
            </w:tcMar>
          </w:tcPr>
          <w:p>
            <w:r>
              <w:rPr>
                <w:b w:val="false"/>
                <w:bCs w:val="false"/>
                <w:color w:val="1A1A1A"/>
                <w:sz w:val="20"/>
                <w:szCs w:val="20"/>
              </w:rPr>
              <w:t xml:space="preserve">Technical Architecture §11</w:t>
            </w:r>
          </w:p>
        </w:tc>
        <w:tc>
          <w:tcPr>
            <w:tcW w:type="dxa" w:w="3400"/>
            <w:shd w:fill="F2F2F2" w:val="clear"/>
            <w:tcMar>
              <w:top w:type="dxa" w:w="80"/>
              <w:left w:type="dxa" w:w="120"/>
              <w:bottom w:type="dxa" w:w="80"/>
              <w:right w:type="dxa" w:w="120"/>
            </w:tcMar>
          </w:tcPr>
          <w:p>
            <w:r>
              <w:rPr>
                <w:b w:val="false"/>
                <w:bCs w:val="false"/>
                <w:color w:val="1A1A1A"/>
                <w:sz w:val="20"/>
                <w:szCs w:val="20"/>
              </w:rPr>
              <w:t xml:space="preserve">AWS recommended for breadth of managed real-time/ML tooling; not urgent until backend build begins</w:t>
            </w:r>
          </w:p>
        </w:tc>
      </w:tr>
      <w:tr>
        <w:tc>
          <w:tcPr>
            <w:tcW w:type="dxa" w:w="3200"/>
            <w:tcMar>
              <w:top w:type="dxa" w:w="80"/>
              <w:left w:type="dxa" w:w="120"/>
              <w:bottom w:type="dxa" w:w="80"/>
              <w:right w:type="dxa" w:w="120"/>
            </w:tcMar>
          </w:tcPr>
          <w:p>
            <w:r>
              <w:rPr>
                <w:b w:val="false"/>
                <w:bCs w:val="false"/>
                <w:color w:val="1A1A1A"/>
                <w:sz w:val="20"/>
                <w:szCs w:val="20"/>
              </w:rPr>
              <w:t xml:space="preserve">Approve beta outreach messaging before it goes out publicly</w:t>
            </w:r>
          </w:p>
        </w:tc>
        <w:tc>
          <w:tcPr>
            <w:tcW w:type="dxa" w:w="2400"/>
            <w:tcMar>
              <w:top w:type="dxa" w:w="80"/>
              <w:left w:type="dxa" w:w="120"/>
              <w:bottom w:type="dxa" w:w="80"/>
              <w:right w:type="dxa" w:w="120"/>
            </w:tcMar>
          </w:tcPr>
          <w:p>
            <w:r>
              <w:rPr>
                <w:b w:val="false"/>
                <w:bCs w:val="false"/>
                <w:color w:val="1A1A1A"/>
                <w:sz w:val="20"/>
                <w:szCs w:val="20"/>
              </w:rPr>
              <w:t xml:space="preserve">Beta Recruiting Plan §3</w:t>
            </w:r>
          </w:p>
        </w:tc>
        <w:tc>
          <w:tcPr>
            <w:tcW w:type="dxa" w:w="3400"/>
            <w:tcMar>
              <w:top w:type="dxa" w:w="80"/>
              <w:left w:type="dxa" w:w="120"/>
              <w:bottom w:type="dxa" w:w="80"/>
              <w:right w:type="dxa" w:w="120"/>
            </w:tcMar>
          </w:tcPr>
          <w:p>
            <w:r>
              <w:rPr>
                <w:b w:val="false"/>
                <w:bCs w:val="false"/>
                <w:color w:val="1A1A1A"/>
                <w:sz w:val="20"/>
                <w:szCs w:val="20"/>
              </w:rPr>
              <w:t xml:space="preserve">Drafted and ready for approval -- see the ready-to-send messages delivered alongside this log</w:t>
            </w:r>
          </w:p>
        </w:tc>
      </w:tr>
      <w:tr>
        <w:tc>
          <w:tcPr>
            <w:tcW w:type="dxa" w:w="3200"/>
            <w:shd w:fill="F2F2F2" w:val="clear"/>
            <w:tcMar>
              <w:top w:type="dxa" w:w="80"/>
              <w:left w:type="dxa" w:w="120"/>
              <w:bottom w:type="dxa" w:w="80"/>
              <w:right w:type="dxa" w:w="120"/>
            </w:tcMar>
          </w:tcPr>
          <w:p>
            <w:r>
              <w:rPr>
                <w:b w:val="false"/>
                <w:bCs w:val="false"/>
                <w:color w:val="1A1A1A"/>
                <w:sz w:val="20"/>
                <w:szCs w:val="20"/>
              </w:rPr>
              <w:t xml:space="preserve">Full legal review of audio-recording consent requirements</w:t>
            </w:r>
          </w:p>
        </w:tc>
        <w:tc>
          <w:tcPr>
            <w:tcW w:type="dxa" w:w="2400"/>
            <w:shd w:fill="F2F2F2" w:val="clear"/>
            <w:tcMar>
              <w:top w:type="dxa" w:w="80"/>
              <w:left w:type="dxa" w:w="120"/>
              <w:bottom w:type="dxa" w:w="80"/>
              <w:right w:type="dxa" w:w="120"/>
            </w:tcMar>
          </w:tcPr>
          <w:p>
            <w:r>
              <w:rPr>
                <w:b w:val="false"/>
                <w:bCs w:val="false"/>
                <w:color w:val="1A1A1A"/>
                <w:sz w:val="20"/>
                <w:szCs w:val="20"/>
              </w:rPr>
              <w:t xml:space="preserve">Risk Register L1</w:t>
            </w:r>
          </w:p>
        </w:tc>
        <w:tc>
          <w:tcPr>
            <w:tcW w:type="dxa" w:w="3400"/>
            <w:shd w:fill="F2F2F2" w:val="clear"/>
            <w:tcMar>
              <w:top w:type="dxa" w:w="80"/>
              <w:left w:type="dxa" w:w="120"/>
              <w:bottom w:type="dxa" w:w="80"/>
              <w:right w:type="dxa" w:w="120"/>
            </w:tcMar>
          </w:tcPr>
          <w:p>
            <w:r>
              <w:rPr>
                <w:b w:val="false"/>
                <w:bCs w:val="false"/>
                <w:color w:val="1A1A1A"/>
                <w:sz w:val="20"/>
                <w:szCs w:val="20"/>
              </w:rPr>
              <w:t xml:space="preserve">Interim disclosure approach adopted; full review still needed before scaling past the beta</w:t>
            </w:r>
          </w:p>
        </w:tc>
      </w:tr>
      <w:tr>
        <w:tc>
          <w:tcPr>
            <w:tcW w:type="dxa" w:w="3200"/>
            <w:tcMar>
              <w:top w:type="dxa" w:w="80"/>
              <w:left w:type="dxa" w:w="120"/>
              <w:bottom w:type="dxa" w:w="80"/>
              <w:right w:type="dxa" w:w="120"/>
            </w:tcMar>
          </w:tcPr>
          <w:p>
            <w:r>
              <w:rPr>
                <w:b w:val="false"/>
                <w:bCs w:val="false"/>
                <w:color w:val="1A1A1A"/>
                <w:sz w:val="20"/>
                <w:szCs w:val="20"/>
              </w:rPr>
              <w:t xml:space="preserve">Hiring priority and timeline relative to the seed raise</w:t>
            </w:r>
          </w:p>
        </w:tc>
        <w:tc>
          <w:tcPr>
            <w:tcW w:type="dxa" w:w="2400"/>
            <w:tcMar>
              <w:top w:type="dxa" w:w="80"/>
              <w:left w:type="dxa" w:w="120"/>
              <w:bottom w:type="dxa" w:w="80"/>
              <w:right w:type="dxa" w:w="120"/>
            </w:tcMar>
          </w:tcPr>
          <w:p>
            <w:r>
              <w:rPr>
                <w:b w:val="false"/>
                <w:bCs w:val="false"/>
                <w:color w:val="1A1A1A"/>
                <w:sz w:val="20"/>
                <w:szCs w:val="20"/>
              </w:rPr>
              <w:t xml:space="preserve">Investor Deck §12; Risk Register B4</w:t>
            </w:r>
          </w:p>
        </w:tc>
        <w:tc>
          <w:tcPr>
            <w:tcW w:type="dxa" w:w="3400"/>
            <w:tcMar>
              <w:top w:type="dxa" w:w="80"/>
              <w:left w:type="dxa" w:w="120"/>
              <w:bottom w:type="dxa" w:w="80"/>
              <w:right w:type="dxa" w:w="120"/>
            </w:tcMar>
          </w:tcPr>
          <w:p>
            <w:r>
              <w:rPr>
                <w:b w:val="false"/>
                <w:bCs w:val="false"/>
                <w:color w:val="1A1A1A"/>
                <w:sz w:val="20"/>
                <w:szCs w:val="20"/>
              </w:rPr>
              <w:t xml:space="preserve">Senior ML/Speech Engineer, iOS Engineer, Founding Designer named as first hires; timing follows the funding decision</w:t>
            </w:r>
          </w:p>
        </w:tc>
      </w:tr>
    </w:tbl>
    <w:p>
      <w:pPr>
        <w:pStyle w:val="Heading1"/>
        <w:spacing w:after="160" w:before="360"/>
      </w:pPr>
      <w:r>
        <w:t xml:space="preserve">5. Using This Log</w:t>
      </w:r>
    </w:p>
    <w:p>
      <w:pPr>
        <w:spacing w:after="160"/>
      </w:pPr>
      <w:r>
        <w:t xml:space="preserve">Update this log, not the individual documents' appendices, once a decision is made -- then note it in the relevant document if the decision changes its content (e.g., locking the pricing table once approved). This keeps one authoritative record instead of six documents quietly drifting out of sync with each other.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2026-07-24T10:12:12.238Z</dcterms:created>
  <dcterms:modified xsi:type="dcterms:W3CDTF">2026-07-24T10:12:12.239Z</dcterms:modified>
</cp:coreProperties>
</file>

<file path=docProps/custom.xml><?xml version="1.0" encoding="utf-8"?>
<Properties xmlns="http://schemas.openxmlformats.org/officeDocument/2006/custom-properties" xmlns:vt="http://schemas.openxmlformats.org/officeDocument/2006/docPropsVTypes"/>
</file>