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A1A1A"/>
          <w:sz w:val="56"/>
          <w:szCs w:val="56"/>
        </w:rPr>
        <w:t xml:space="preserve">FlowCue AI</w:t>
      </w:r>
    </w:p>
    <w:p>
      <w:pPr>
        <w:spacing w:after="480"/>
        <w:jc w:val="center"/>
      </w:pPr>
      <w:r>
        <w:rPr>
          <w:color w:val="555555"/>
          <w:sz w:val="28"/>
          <w:szCs w:val="28"/>
        </w:rPr>
        <w:t xml:space="preserve">Risk Register</w:t>
      </w:r>
    </w:p>
    <w:p>
      <w:pPr>
        <w:spacing w:after="80"/>
        <w:jc w:val="center"/>
      </w:pPr>
      <w:r>
        <w:rPr>
          <w:color w:val="777777"/>
          <w:sz w:val="22"/>
          <w:szCs w:val="22"/>
        </w:rPr>
        <w:t xml:space="preserve">Prepared by: Founder Office</w:t>
      </w:r>
    </w:p>
    <w:p>
      <w:pPr>
        <w:spacing w:after="80"/>
        <w:jc w:val="center"/>
      </w:pPr>
      <w:r>
        <w:rPr>
          <w:color w:val="777777"/>
          <w:sz w:val="22"/>
          <w:szCs w:val="22"/>
        </w:rPr>
        <w:t xml:space="preserve">Version 0.1 — Draft, consolidated from PRD / Architecture / Business Plan</w:t>
      </w:r>
    </w:p>
    <w:p>
      <w:pPr>
        <w:spacing w:after="80"/>
        <w:jc w:val="center"/>
      </w:pPr>
      <w:r>
        <w:rPr>
          <w:color w:val="777777"/>
          <w:sz w:val="22"/>
          <w:szCs w:val="22"/>
        </w:rPr>
        <w:t xml:space="preserve">July 24, 2026</w:t>
      </w:r>
    </w:p>
    <w:p>
      <w:pPr>
        <w:pageBreakBefore/>
      </w:pPr>
      <w:r>
        <w:br w:type="page"/>
      </w:r>
    </w:p>
    <w:p>
      <w:pPr>
        <w:pStyle w:val="Heading1"/>
        <w:spacing w:after="160" w:before="360"/>
      </w:pPr>
      <w:r>
        <w:t xml:space="preserve">1. Purpose</w:t>
      </w:r>
    </w:p>
    <w:p>
      <w:pPr>
        <w:spacing w:after="160"/>
      </w:pPr>
      <w:r>
        <w:t xml:space="preserve">Individual risks are already called out inside the PRD, Technical Architecture, and Business Plan documents. This register consolidates all of them into one place, adds risks that don't belong in any single document (legal, IP, data handling), and tracks status so nothing gets lost as the project moves from beta into public launch — per the founder prompt's requirement to maintain complete project memory.</w:t>
      </w:r>
    </w:p>
    <w:p>
      <w:pPr>
        <w:pStyle w:val="Heading1"/>
        <w:spacing w:after="160" w:before="360"/>
      </w:pPr>
      <w:r>
        <w:t xml:space="preserve">2. Product &amp; Technical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300"/>
        <w:gridCol w:w="1300"/>
        <w:gridCol w:w="3000"/>
      </w:tblGrid>
      <w:tr>
        <w:tc>
          <w:tcPr>
            <w:tcW w:type="dxa" w:w="500"/>
            <w:shd w:fill="2B2B2B" w:val="clear"/>
            <w:tcMar>
              <w:top w:type="dxa" w:w="80"/>
              <w:left w:type="dxa" w:w="120"/>
              <w:bottom w:type="dxa" w:w="80"/>
              <w:right w:type="dxa" w:w="120"/>
            </w:tcMar>
          </w:tcPr>
          <w:p>
            <w:r>
              <w:rPr>
                <w:b/>
                <w:bCs/>
                <w:color w:val="FFFFFF"/>
                <w:sz w:val="20"/>
                <w:szCs w:val="20"/>
              </w:rPr>
              <w:t xml:space="preserve">#</w:t>
            </w:r>
          </w:p>
        </w:tc>
        <w:tc>
          <w:tcPr>
            <w:tcW w:type="dxa" w:w="2900"/>
            <w:shd w:fill="2B2B2B" w:val="clear"/>
            <w:tcMar>
              <w:top w:type="dxa" w:w="80"/>
              <w:left w:type="dxa" w:w="120"/>
              <w:bottom w:type="dxa" w:w="80"/>
              <w:right w:type="dxa" w:w="120"/>
            </w:tcMar>
          </w:tcPr>
          <w:p>
            <w:r>
              <w:rPr>
                <w:b/>
                <w:bCs/>
                <w:color w:val="FFFFFF"/>
                <w:sz w:val="20"/>
                <w:szCs w:val="20"/>
              </w:rPr>
              <w:t xml:space="preserve">Risk</w:t>
            </w:r>
          </w:p>
        </w:tc>
        <w:tc>
          <w:tcPr>
            <w:tcW w:type="dxa" w:w="1300"/>
            <w:shd w:fill="2B2B2B" w:val="clear"/>
            <w:tcMar>
              <w:top w:type="dxa" w:w="80"/>
              <w:left w:type="dxa" w:w="120"/>
              <w:bottom w:type="dxa" w:w="80"/>
              <w:right w:type="dxa" w:w="120"/>
            </w:tcMar>
          </w:tcPr>
          <w:p>
            <w:r>
              <w:rPr>
                <w:b/>
                <w:bCs/>
                <w:color w:val="FFFFFF"/>
                <w:sz w:val="20"/>
                <w:szCs w:val="20"/>
              </w:rPr>
              <w:t xml:space="preserve">Likelihood</w:t>
            </w:r>
          </w:p>
        </w:tc>
        <w:tc>
          <w:tcPr>
            <w:tcW w:type="dxa" w:w="1300"/>
            <w:shd w:fill="2B2B2B" w:val="clear"/>
            <w:tcMar>
              <w:top w:type="dxa" w:w="80"/>
              <w:left w:type="dxa" w:w="120"/>
              <w:bottom w:type="dxa" w:w="80"/>
              <w:right w:type="dxa" w:w="120"/>
            </w:tcMar>
          </w:tcPr>
          <w:p>
            <w:r>
              <w:rPr>
                <w:b/>
                <w:bCs/>
                <w:color w:val="FFFFFF"/>
                <w:sz w:val="20"/>
                <w:szCs w:val="20"/>
              </w:rPr>
              <w:t xml:space="preserve">Impact</w:t>
            </w:r>
          </w:p>
        </w:tc>
        <w:tc>
          <w:tcPr>
            <w:tcW w:type="dxa" w:w="3000"/>
            <w:shd w:fill="2B2B2B" w:val="clear"/>
            <w:tcMar>
              <w:top w:type="dxa" w:w="80"/>
              <w:left w:type="dxa" w:w="120"/>
              <w:bottom w:type="dxa" w:w="80"/>
              <w:right w:type="dxa" w:w="120"/>
            </w:tcMar>
          </w:tcPr>
          <w:p>
            <w:r>
              <w:rPr>
                <w:b/>
                <w:bCs/>
                <w:color w:val="FFFFFF"/>
                <w:sz w:val="20"/>
                <w:szCs w:val="20"/>
              </w:rPr>
              <w:t xml:space="preserve">Mitigation / Current Status</w:t>
            </w:r>
          </w:p>
        </w:tc>
      </w:tr>
      <w:tr>
        <w:tc>
          <w:tcPr>
            <w:tcW w:type="dxa" w:w="500"/>
            <w:tcMar>
              <w:top w:type="dxa" w:w="80"/>
              <w:left w:type="dxa" w:w="120"/>
              <w:bottom w:type="dxa" w:w="80"/>
              <w:right w:type="dxa" w:w="120"/>
            </w:tcMar>
          </w:tcPr>
          <w:p>
            <w:r>
              <w:rPr>
                <w:b w:val="false"/>
                <w:bCs w:val="false"/>
                <w:color w:val="1A1A1A"/>
                <w:sz w:val="20"/>
                <w:szCs w:val="20"/>
              </w:rPr>
              <w:t xml:space="preserve">T1</w:t>
            </w:r>
          </w:p>
        </w:tc>
        <w:tc>
          <w:tcPr>
            <w:tcW w:type="dxa" w:w="2900"/>
            <w:tcMar>
              <w:top w:type="dxa" w:w="80"/>
              <w:left w:type="dxa" w:w="120"/>
              <w:bottom w:type="dxa" w:w="80"/>
              <w:right w:type="dxa" w:w="120"/>
            </w:tcMar>
          </w:tcPr>
          <w:p>
            <w:r>
              <w:rPr>
                <w:b w:val="false"/>
                <w:bCs w:val="false"/>
                <w:color w:val="1A1A1A"/>
                <w:sz w:val="20"/>
                <w:szCs w:val="20"/>
              </w:rPr>
              <w:t xml:space="preserve">Speech recognition cost/latency at scale if cloud STT usage grows faster than the on-device fallback can absorb</w:t>
            </w:r>
          </w:p>
        </w:tc>
        <w:tc>
          <w:tcPr>
            <w:tcW w:type="dxa" w:w="1300"/>
            <w:tcMar>
              <w:top w:type="dxa" w:w="80"/>
              <w:left w:type="dxa" w:w="120"/>
              <w:bottom w:type="dxa" w:w="80"/>
              <w:right w:type="dxa" w:w="120"/>
            </w:tcMar>
          </w:tcPr>
          <w:p>
            <w:r>
              <w:rPr>
                <w:b w:val="false"/>
                <w:bCs w:val="false"/>
                <w:color w:val="1A1A1A"/>
                <w:sz w:val="20"/>
                <w:szCs w:val="20"/>
              </w:rPr>
              <w:t xml:space="preserve">Medium</w:t>
            </w:r>
          </w:p>
        </w:tc>
        <w:tc>
          <w:tcPr>
            <w:tcW w:type="dxa" w:w="1300"/>
            <w:tcMar>
              <w:top w:type="dxa" w:w="80"/>
              <w:left w:type="dxa" w:w="120"/>
              <w:bottom w:type="dxa" w:w="80"/>
              <w:right w:type="dxa" w:w="120"/>
            </w:tcMar>
          </w:tcPr>
          <w:p>
            <w:r>
              <w:rPr>
                <w:b w:val="false"/>
                <w:bCs w:val="false"/>
                <w:color w:val="1A1A1A"/>
                <w:sz w:val="20"/>
                <w:szCs w:val="20"/>
              </w:rPr>
              <w:t xml:space="preserve">High</w:t>
            </w:r>
          </w:p>
        </w:tc>
        <w:tc>
          <w:tcPr>
            <w:tcW w:type="dxa" w:w="3000"/>
            <w:tcMar>
              <w:top w:type="dxa" w:w="80"/>
              <w:left w:type="dxa" w:w="120"/>
              <w:bottom w:type="dxa" w:w="80"/>
              <w:right w:type="dxa" w:w="120"/>
            </w:tcMar>
          </w:tcPr>
          <w:p>
            <w:r>
              <w:rPr>
                <w:b w:val="false"/>
                <w:bCs w:val="false"/>
                <w:color w:val="1A1A1A"/>
                <w:sz w:val="20"/>
                <w:szCs w:val="20"/>
              </w:rPr>
              <w:t xml:space="preserve">Hybrid on-device + cloud architecture (Technical Architecture, §2) is designed specifically to contain this; monitor cloud-STT spend per session as a KPI once beta starts</w:t>
            </w:r>
          </w:p>
        </w:tc>
      </w:tr>
      <w:tr>
        <w:tc>
          <w:tcPr>
            <w:tcW w:type="dxa" w:w="500"/>
            <w:shd w:fill="F2F2F2" w:val="clear"/>
            <w:tcMar>
              <w:top w:type="dxa" w:w="80"/>
              <w:left w:type="dxa" w:w="120"/>
              <w:bottom w:type="dxa" w:w="80"/>
              <w:right w:type="dxa" w:w="120"/>
            </w:tcMar>
          </w:tcPr>
          <w:p>
            <w:r>
              <w:rPr>
                <w:b w:val="false"/>
                <w:bCs w:val="false"/>
                <w:color w:val="1A1A1A"/>
                <w:sz w:val="20"/>
                <w:szCs w:val="20"/>
              </w:rPr>
              <w:t xml:space="preserve">T2</w:t>
            </w:r>
          </w:p>
        </w:tc>
        <w:tc>
          <w:tcPr>
            <w:tcW w:type="dxa" w:w="2900"/>
            <w:shd w:fill="F2F2F2" w:val="clear"/>
            <w:tcMar>
              <w:top w:type="dxa" w:w="80"/>
              <w:left w:type="dxa" w:w="120"/>
              <w:bottom w:type="dxa" w:w="80"/>
              <w:right w:type="dxa" w:w="120"/>
            </w:tcMar>
          </w:tcPr>
          <w:p>
            <w:r>
              <w:rPr>
                <w:b w:val="false"/>
                <w:bCs w:val="false"/>
                <w:color w:val="1A1A1A"/>
                <w:sz w:val="20"/>
                <w:szCs w:val="20"/>
              </w:rPr>
              <w:t xml:space="preserve">"Voice-tracking teleprompter" is not a novel category — competitors could close the reliability gap before FlowCue AI builds distribution</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Medium</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High</w:t>
            </w:r>
          </w:p>
        </w:tc>
        <w:tc>
          <w:tcPr>
            <w:tcW w:type="dxa" w:w="3000"/>
            <w:shd w:fill="F2F2F2" w:val="clear"/>
            <w:tcMar>
              <w:top w:type="dxa" w:w="80"/>
              <w:left w:type="dxa" w:w="120"/>
              <w:bottom w:type="dxa" w:w="80"/>
              <w:right w:type="dxa" w:w="120"/>
            </w:tcMar>
          </w:tcPr>
          <w:p>
            <w:r>
              <w:rPr>
                <w:b w:val="false"/>
                <w:bCs w:val="false"/>
                <w:color w:val="1A1A1A"/>
                <w:sz w:val="20"/>
                <w:szCs w:val="20"/>
              </w:rPr>
              <w:t xml:space="preserve">Reliability is being treated as an engineering requirement, not a marketing claim; regression suite (8/8 scenarios) is the leading indicator, see PRD §12</w:t>
            </w:r>
          </w:p>
        </w:tc>
      </w:tr>
      <w:tr>
        <w:tc>
          <w:tcPr>
            <w:tcW w:type="dxa" w:w="500"/>
            <w:tcMar>
              <w:top w:type="dxa" w:w="80"/>
              <w:left w:type="dxa" w:w="120"/>
              <w:bottom w:type="dxa" w:w="80"/>
              <w:right w:type="dxa" w:w="120"/>
            </w:tcMar>
          </w:tcPr>
          <w:p>
            <w:r>
              <w:rPr>
                <w:b w:val="false"/>
                <w:bCs w:val="false"/>
                <w:color w:val="1A1A1A"/>
                <w:sz w:val="20"/>
                <w:szCs w:val="20"/>
              </w:rPr>
              <w:t xml:space="preserve">T3</w:t>
            </w:r>
          </w:p>
        </w:tc>
        <w:tc>
          <w:tcPr>
            <w:tcW w:type="dxa" w:w="2900"/>
            <w:tcMar>
              <w:top w:type="dxa" w:w="80"/>
              <w:left w:type="dxa" w:w="120"/>
              <w:bottom w:type="dxa" w:w="80"/>
              <w:right w:type="dxa" w:w="120"/>
            </w:tcMar>
          </w:tcPr>
          <w:p>
            <w:r>
              <w:rPr>
                <w:b w:val="false"/>
                <w:bCs w:val="false"/>
                <w:color w:val="1A1A1A"/>
                <w:sz w:val="20"/>
                <w:szCs w:val="20"/>
              </w:rPr>
              <w:t xml:space="preserve">Live, one-shot use cases (weddings, funerals) have zero tolerance for failure</w:t>
            </w:r>
          </w:p>
        </w:tc>
        <w:tc>
          <w:tcPr>
            <w:tcW w:type="dxa" w:w="1300"/>
            <w:tcMar>
              <w:top w:type="dxa" w:w="80"/>
              <w:left w:type="dxa" w:w="120"/>
              <w:bottom w:type="dxa" w:w="80"/>
              <w:right w:type="dxa" w:w="120"/>
            </w:tcMar>
          </w:tcPr>
          <w:p>
            <w:r>
              <w:rPr>
                <w:b w:val="false"/>
                <w:bCs w:val="false"/>
                <w:color w:val="1A1A1A"/>
                <w:sz w:val="20"/>
                <w:szCs w:val="20"/>
              </w:rPr>
              <w:t xml:space="preserve">Medium</w:t>
            </w:r>
          </w:p>
        </w:tc>
        <w:tc>
          <w:tcPr>
            <w:tcW w:type="dxa" w:w="1300"/>
            <w:tcMar>
              <w:top w:type="dxa" w:w="80"/>
              <w:left w:type="dxa" w:w="120"/>
              <w:bottom w:type="dxa" w:w="80"/>
              <w:right w:type="dxa" w:w="120"/>
            </w:tcMar>
          </w:tcPr>
          <w:p>
            <w:r>
              <w:rPr>
                <w:b w:val="false"/>
                <w:bCs w:val="false"/>
                <w:color w:val="1A1A1A"/>
                <w:sz w:val="20"/>
                <w:szCs w:val="20"/>
              </w:rPr>
              <w:t xml:space="preserve">High</w:t>
            </w:r>
          </w:p>
        </w:tc>
        <w:tc>
          <w:tcPr>
            <w:tcW w:type="dxa" w:w="3000"/>
            <w:tcMar>
              <w:top w:type="dxa" w:w="80"/>
              <w:left w:type="dxa" w:w="120"/>
              <w:bottom w:type="dxa" w:w="80"/>
              <w:right w:type="dxa" w:w="120"/>
            </w:tcMar>
          </w:tcPr>
          <w:p>
            <w:r>
              <w:rPr>
                <w:b w:val="false"/>
                <w:bCs w:val="false"/>
                <w:color w:val="1A1A1A"/>
                <w:sz w:val="20"/>
                <w:szCs w:val="20"/>
              </w:rPr>
              <w:t xml:space="preserve">Freeze-rather-than-guess behavior is built into the sync engine by design; beta feedback rubric explicitly tracks recovery time per PRD §11</w:t>
            </w:r>
          </w:p>
        </w:tc>
      </w:tr>
      <w:tr>
        <w:tc>
          <w:tcPr>
            <w:tcW w:type="dxa" w:w="500"/>
            <w:shd w:fill="F2F2F2" w:val="clear"/>
            <w:tcMar>
              <w:top w:type="dxa" w:w="80"/>
              <w:left w:type="dxa" w:w="120"/>
              <w:bottom w:type="dxa" w:w="80"/>
              <w:right w:type="dxa" w:w="120"/>
            </w:tcMar>
          </w:tcPr>
          <w:p>
            <w:r>
              <w:rPr>
                <w:b w:val="false"/>
                <w:bCs w:val="false"/>
                <w:color w:val="1A1A1A"/>
                <w:sz w:val="20"/>
                <w:szCs w:val="20"/>
              </w:rPr>
              <w:t xml:space="preserve">T4</w:t>
            </w:r>
          </w:p>
        </w:tc>
        <w:tc>
          <w:tcPr>
            <w:tcW w:type="dxa" w:w="2900"/>
            <w:shd w:fill="F2F2F2" w:val="clear"/>
            <w:tcMar>
              <w:top w:type="dxa" w:w="80"/>
              <w:left w:type="dxa" w:w="120"/>
              <w:bottom w:type="dxa" w:w="80"/>
              <w:right w:type="dxa" w:w="120"/>
            </w:tcMar>
          </w:tcPr>
          <w:p>
            <w:r>
              <w:rPr>
                <w:b w:val="false"/>
                <w:bCs w:val="false"/>
                <w:color w:val="1A1A1A"/>
                <w:sz w:val="20"/>
                <w:szCs w:val="20"/>
              </w:rPr>
              <w:t xml:space="preserve">Web Speech API (used for the current MVP/beta) only works reliably in Chrome/Edge, excluding Safari and Firefox users from the beta pool</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High</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Medium</w:t>
            </w:r>
          </w:p>
        </w:tc>
        <w:tc>
          <w:tcPr>
            <w:tcW w:type="dxa" w:w="3000"/>
            <w:shd w:fill="F2F2F2" w:val="clear"/>
            <w:tcMar>
              <w:top w:type="dxa" w:w="80"/>
              <w:left w:type="dxa" w:w="120"/>
              <w:bottom w:type="dxa" w:w="80"/>
              <w:right w:type="dxa" w:w="120"/>
            </w:tcMar>
          </w:tcPr>
          <w:p>
            <w:r>
              <w:rPr>
                <w:b w:val="false"/>
                <w:bCs w:val="false"/>
                <w:color w:val="1A1A1A"/>
                <w:sz w:val="20"/>
                <w:szCs w:val="20"/>
              </w:rPr>
              <w:t xml:space="preserve">Accepted for beta scope; production plan (Technical Architecture §2) replaces it with a cross-browser hybrid STT pipeline before public launch</w:t>
            </w:r>
          </w:p>
        </w:tc>
      </w:tr>
      <w:tr>
        <w:tc>
          <w:tcPr>
            <w:tcW w:type="dxa" w:w="500"/>
            <w:tcMar>
              <w:top w:type="dxa" w:w="80"/>
              <w:left w:type="dxa" w:w="120"/>
              <w:bottom w:type="dxa" w:w="80"/>
              <w:right w:type="dxa" w:w="120"/>
            </w:tcMar>
          </w:tcPr>
          <w:p>
            <w:r>
              <w:rPr>
                <w:b w:val="false"/>
                <w:bCs w:val="false"/>
                <w:color w:val="1A1A1A"/>
                <w:sz w:val="20"/>
                <w:szCs w:val="20"/>
              </w:rPr>
              <w:t xml:space="preserve">T5</w:t>
            </w:r>
          </w:p>
        </w:tc>
        <w:tc>
          <w:tcPr>
            <w:tcW w:type="dxa" w:w="2900"/>
            <w:tcMar>
              <w:top w:type="dxa" w:w="80"/>
              <w:left w:type="dxa" w:w="120"/>
              <w:bottom w:type="dxa" w:w="80"/>
              <w:right w:type="dxa" w:w="120"/>
            </w:tcMar>
          </w:tcPr>
          <w:p>
            <w:r>
              <w:rPr>
                <w:b w:val="false"/>
                <w:bCs w:val="false"/>
                <w:color w:val="1A1A1A"/>
                <w:sz w:val="20"/>
                <w:szCs w:val="20"/>
              </w:rPr>
              <w:t xml:space="preserve">No backend yet — scripts and session history live only in each tester's browser (localStorage), so a cleared cache means lost data with no recovery</w:t>
            </w:r>
          </w:p>
        </w:tc>
        <w:tc>
          <w:tcPr>
            <w:tcW w:type="dxa" w:w="1300"/>
            <w:tcMar>
              <w:top w:type="dxa" w:w="80"/>
              <w:left w:type="dxa" w:w="120"/>
              <w:bottom w:type="dxa" w:w="80"/>
              <w:right w:type="dxa" w:w="120"/>
            </w:tcMar>
          </w:tcPr>
          <w:p>
            <w:r>
              <w:rPr>
                <w:b w:val="false"/>
                <w:bCs w:val="false"/>
                <w:color w:val="1A1A1A"/>
                <w:sz w:val="20"/>
                <w:szCs w:val="20"/>
              </w:rPr>
              <w:t xml:space="preserve">High</w:t>
            </w:r>
          </w:p>
        </w:tc>
        <w:tc>
          <w:tcPr>
            <w:tcW w:type="dxa" w:w="1300"/>
            <w:tcMar>
              <w:top w:type="dxa" w:w="80"/>
              <w:left w:type="dxa" w:w="120"/>
              <w:bottom w:type="dxa" w:w="80"/>
              <w:right w:type="dxa" w:w="120"/>
            </w:tcMar>
          </w:tcPr>
          <w:p>
            <w:r>
              <w:rPr>
                <w:b w:val="false"/>
                <w:bCs w:val="false"/>
                <w:color w:val="1A1A1A"/>
                <w:sz w:val="20"/>
                <w:szCs w:val="20"/>
              </w:rPr>
              <w:t xml:space="preserve">Medium</w:t>
            </w:r>
          </w:p>
        </w:tc>
        <w:tc>
          <w:tcPr>
            <w:tcW w:type="dxa" w:w="3000"/>
            <w:tcMar>
              <w:top w:type="dxa" w:w="80"/>
              <w:left w:type="dxa" w:w="120"/>
              <w:bottom w:type="dxa" w:w="80"/>
              <w:right w:type="dxa" w:w="120"/>
            </w:tcMar>
          </w:tcPr>
          <w:p>
            <w:r>
              <w:rPr>
                <w:b w:val="false"/>
                <w:bCs w:val="false"/>
                <w:color w:val="1A1A1A"/>
                <w:sz w:val="20"/>
                <w:szCs w:val="20"/>
              </w:rPr>
              <w:t xml:space="preserve">Acceptable for a single-device beta; flagged in Business Plan as a prerequisite before multi-device or team use cases</w:t>
            </w:r>
          </w:p>
        </w:tc>
      </w:tr>
      <w:tr>
        <w:tc>
          <w:tcPr>
            <w:tcW w:type="dxa" w:w="500"/>
            <w:shd w:fill="F2F2F2" w:val="clear"/>
            <w:tcMar>
              <w:top w:type="dxa" w:w="80"/>
              <w:left w:type="dxa" w:w="120"/>
              <w:bottom w:type="dxa" w:w="80"/>
              <w:right w:type="dxa" w:w="120"/>
            </w:tcMar>
          </w:tcPr>
          <w:p>
            <w:r>
              <w:rPr>
                <w:b w:val="false"/>
                <w:bCs w:val="false"/>
                <w:color w:val="1A1A1A"/>
                <w:sz w:val="20"/>
                <w:szCs w:val="20"/>
              </w:rPr>
              <w:t xml:space="preserve">T6</w:t>
            </w:r>
          </w:p>
        </w:tc>
        <w:tc>
          <w:tcPr>
            <w:tcW w:type="dxa" w:w="2900"/>
            <w:shd w:fill="F2F2F2" w:val="clear"/>
            <w:tcMar>
              <w:top w:type="dxa" w:w="80"/>
              <w:left w:type="dxa" w:w="120"/>
              <w:bottom w:type="dxa" w:w="80"/>
              <w:right w:type="dxa" w:w="120"/>
            </w:tcMar>
          </w:tcPr>
          <w:p>
            <w:r>
              <w:rPr>
                <w:b w:val="false"/>
                <w:bCs w:val="false"/>
                <w:color w:val="1A1A1A"/>
                <w:sz w:val="20"/>
                <w:szCs w:val="20"/>
              </w:rPr>
              <w:t xml:space="preserve">Pronunciation assistant and AI coach are rule-based heuristics, not a licensed pronunciation dictionary or clinical-grade coaching model</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High</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Low</w:t>
            </w:r>
          </w:p>
        </w:tc>
        <w:tc>
          <w:tcPr>
            <w:tcW w:type="dxa" w:w="3000"/>
            <w:shd w:fill="F2F2F2" w:val="clear"/>
            <w:tcMar>
              <w:top w:type="dxa" w:w="80"/>
              <w:left w:type="dxa" w:w="120"/>
              <w:bottom w:type="dxa" w:w="80"/>
              <w:right w:type="dxa" w:w="120"/>
            </w:tcMar>
          </w:tcPr>
          <w:p>
            <w:r>
              <w:rPr>
                <w:b w:val="false"/>
                <w:bCs w:val="false"/>
                <w:color w:val="1A1A1A"/>
                <w:sz w:val="20"/>
                <w:szCs w:val="20"/>
              </w:rPr>
              <w:t xml:space="preserve">Explicitly scoped as good-enough for MVP validation (PRD §7-8); revisit if beta users report inaccurate syllable breakdowns</w:t>
            </w:r>
          </w:p>
        </w:tc>
      </w:tr>
    </w:tbl>
    <w:p>
      <w:pPr>
        <w:pStyle w:val="Heading1"/>
        <w:spacing w:after="160" w:before="360"/>
      </w:pPr>
      <w:r>
        <w:t xml:space="preserve">3. Legal &amp; Compliance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300"/>
        <w:gridCol w:w="1300"/>
        <w:gridCol w:w="3000"/>
      </w:tblGrid>
      <w:tr>
        <w:tc>
          <w:tcPr>
            <w:tcW w:type="dxa" w:w="500"/>
            <w:shd w:fill="2B2B2B" w:val="clear"/>
            <w:tcMar>
              <w:top w:type="dxa" w:w="80"/>
              <w:left w:type="dxa" w:w="120"/>
              <w:bottom w:type="dxa" w:w="80"/>
              <w:right w:type="dxa" w:w="120"/>
            </w:tcMar>
          </w:tcPr>
          <w:p>
            <w:r>
              <w:rPr>
                <w:b/>
                <w:bCs/>
                <w:color w:val="FFFFFF"/>
                <w:sz w:val="20"/>
                <w:szCs w:val="20"/>
              </w:rPr>
              <w:t xml:space="preserve">#</w:t>
            </w:r>
          </w:p>
        </w:tc>
        <w:tc>
          <w:tcPr>
            <w:tcW w:type="dxa" w:w="2900"/>
            <w:shd w:fill="2B2B2B" w:val="clear"/>
            <w:tcMar>
              <w:top w:type="dxa" w:w="80"/>
              <w:left w:type="dxa" w:w="120"/>
              <w:bottom w:type="dxa" w:w="80"/>
              <w:right w:type="dxa" w:w="120"/>
            </w:tcMar>
          </w:tcPr>
          <w:p>
            <w:r>
              <w:rPr>
                <w:b/>
                <w:bCs/>
                <w:color w:val="FFFFFF"/>
                <w:sz w:val="20"/>
                <w:szCs w:val="20"/>
              </w:rPr>
              <w:t xml:space="preserve">Risk</w:t>
            </w:r>
          </w:p>
        </w:tc>
        <w:tc>
          <w:tcPr>
            <w:tcW w:type="dxa" w:w="1300"/>
            <w:shd w:fill="2B2B2B" w:val="clear"/>
            <w:tcMar>
              <w:top w:type="dxa" w:w="80"/>
              <w:left w:type="dxa" w:w="120"/>
              <w:bottom w:type="dxa" w:w="80"/>
              <w:right w:type="dxa" w:w="120"/>
            </w:tcMar>
          </w:tcPr>
          <w:p>
            <w:r>
              <w:rPr>
                <w:b/>
                <w:bCs/>
                <w:color w:val="FFFFFF"/>
                <w:sz w:val="20"/>
                <w:szCs w:val="20"/>
              </w:rPr>
              <w:t xml:space="preserve">Likelihood</w:t>
            </w:r>
          </w:p>
        </w:tc>
        <w:tc>
          <w:tcPr>
            <w:tcW w:type="dxa" w:w="1300"/>
            <w:shd w:fill="2B2B2B" w:val="clear"/>
            <w:tcMar>
              <w:top w:type="dxa" w:w="80"/>
              <w:left w:type="dxa" w:w="120"/>
              <w:bottom w:type="dxa" w:w="80"/>
              <w:right w:type="dxa" w:w="120"/>
            </w:tcMar>
          </w:tcPr>
          <w:p>
            <w:r>
              <w:rPr>
                <w:b/>
                <w:bCs/>
                <w:color w:val="FFFFFF"/>
                <w:sz w:val="20"/>
                <w:szCs w:val="20"/>
              </w:rPr>
              <w:t xml:space="preserve">Impact</w:t>
            </w:r>
          </w:p>
        </w:tc>
        <w:tc>
          <w:tcPr>
            <w:tcW w:type="dxa" w:w="3000"/>
            <w:shd w:fill="2B2B2B" w:val="clear"/>
            <w:tcMar>
              <w:top w:type="dxa" w:w="80"/>
              <w:left w:type="dxa" w:w="120"/>
              <w:bottom w:type="dxa" w:w="80"/>
              <w:right w:type="dxa" w:w="120"/>
            </w:tcMar>
          </w:tcPr>
          <w:p>
            <w:r>
              <w:rPr>
                <w:b/>
                <w:bCs/>
                <w:color w:val="FFFFFF"/>
                <w:sz w:val="20"/>
                <w:szCs w:val="20"/>
              </w:rPr>
              <w:t xml:space="preserve">Mitigation / Current Status</w:t>
            </w:r>
          </w:p>
        </w:tc>
      </w:tr>
      <w:tr>
        <w:tc>
          <w:tcPr>
            <w:tcW w:type="dxa" w:w="500"/>
            <w:tcMar>
              <w:top w:type="dxa" w:w="80"/>
              <w:left w:type="dxa" w:w="120"/>
              <w:bottom w:type="dxa" w:w="80"/>
              <w:right w:type="dxa" w:w="120"/>
            </w:tcMar>
          </w:tcPr>
          <w:p>
            <w:r>
              <w:rPr>
                <w:b w:val="false"/>
                <w:bCs w:val="false"/>
                <w:color w:val="1A1A1A"/>
                <w:sz w:val="20"/>
                <w:szCs w:val="20"/>
              </w:rPr>
              <w:t xml:space="preserve">L1</w:t>
            </w:r>
          </w:p>
        </w:tc>
        <w:tc>
          <w:tcPr>
            <w:tcW w:type="dxa" w:w="2900"/>
            <w:tcMar>
              <w:top w:type="dxa" w:w="80"/>
              <w:left w:type="dxa" w:w="120"/>
              <w:bottom w:type="dxa" w:w="80"/>
              <w:right w:type="dxa" w:w="120"/>
            </w:tcMar>
          </w:tcPr>
          <w:p>
            <w:r>
              <w:rPr>
                <w:b w:val="false"/>
                <w:bCs w:val="false"/>
                <w:color w:val="1A1A1A"/>
                <w:sz w:val="20"/>
                <w:szCs w:val="20"/>
              </w:rPr>
              <w:t xml:space="preserve">Recording and processing another person's speech may trigger two-party consent / wiretapping laws in some U.S. states and other jurisdictions, especially at in-person Toastmasters meetings or events with bystanders</w:t>
            </w:r>
          </w:p>
        </w:tc>
        <w:tc>
          <w:tcPr>
            <w:tcW w:type="dxa" w:w="1300"/>
            <w:tcMar>
              <w:top w:type="dxa" w:w="80"/>
              <w:left w:type="dxa" w:w="120"/>
              <w:bottom w:type="dxa" w:w="80"/>
              <w:right w:type="dxa" w:w="120"/>
            </w:tcMar>
          </w:tcPr>
          <w:p>
            <w:r>
              <w:rPr>
                <w:b w:val="false"/>
                <w:bCs w:val="false"/>
                <w:color w:val="1A1A1A"/>
                <w:sz w:val="20"/>
                <w:szCs w:val="20"/>
              </w:rPr>
              <w:t xml:space="preserve">Medium</w:t>
            </w:r>
          </w:p>
        </w:tc>
        <w:tc>
          <w:tcPr>
            <w:tcW w:type="dxa" w:w="1300"/>
            <w:tcMar>
              <w:top w:type="dxa" w:w="80"/>
              <w:left w:type="dxa" w:w="120"/>
              <w:bottom w:type="dxa" w:w="80"/>
              <w:right w:type="dxa" w:w="120"/>
            </w:tcMar>
          </w:tcPr>
          <w:p>
            <w:r>
              <w:rPr>
                <w:b w:val="false"/>
                <w:bCs w:val="false"/>
                <w:color w:val="1A1A1A"/>
                <w:sz w:val="20"/>
                <w:szCs w:val="20"/>
              </w:rPr>
              <w:t xml:space="preserve">High</w:t>
            </w:r>
          </w:p>
        </w:tc>
        <w:tc>
          <w:tcPr>
            <w:tcW w:type="dxa" w:w="3000"/>
            <w:tcMar>
              <w:top w:type="dxa" w:w="80"/>
              <w:left w:type="dxa" w:w="120"/>
              <w:bottom w:type="dxa" w:w="80"/>
              <w:right w:type="dxa" w:w="120"/>
            </w:tcMar>
          </w:tcPr>
          <w:p>
            <w:r>
              <w:rPr>
                <w:b w:val="false"/>
                <w:bCs w:val="false"/>
                <w:color w:val="1A1A1A"/>
                <w:sz w:val="20"/>
                <w:szCs w:val="20"/>
              </w:rPr>
              <w:t xml:space="preserve">Not yet reviewed by counsel — recommend legal review before public launch; beta should include a visible notice that audio is processed locally and not stored by default</w:t>
            </w:r>
          </w:p>
        </w:tc>
      </w:tr>
      <w:tr>
        <w:tc>
          <w:tcPr>
            <w:tcW w:type="dxa" w:w="500"/>
            <w:shd w:fill="F2F2F2" w:val="clear"/>
            <w:tcMar>
              <w:top w:type="dxa" w:w="80"/>
              <w:left w:type="dxa" w:w="120"/>
              <w:bottom w:type="dxa" w:w="80"/>
              <w:right w:type="dxa" w:w="120"/>
            </w:tcMar>
          </w:tcPr>
          <w:p>
            <w:r>
              <w:rPr>
                <w:b w:val="false"/>
                <w:bCs w:val="false"/>
                <w:color w:val="1A1A1A"/>
                <w:sz w:val="20"/>
                <w:szCs w:val="20"/>
              </w:rPr>
              <w:t xml:space="preserve">L2</w:t>
            </w:r>
          </w:p>
        </w:tc>
        <w:tc>
          <w:tcPr>
            <w:tcW w:type="dxa" w:w="2900"/>
            <w:shd w:fill="F2F2F2" w:val="clear"/>
            <w:tcMar>
              <w:top w:type="dxa" w:w="80"/>
              <w:left w:type="dxa" w:w="120"/>
              <w:bottom w:type="dxa" w:w="80"/>
              <w:right w:type="dxa" w:w="120"/>
            </w:tcMar>
          </w:tcPr>
          <w:p>
            <w:r>
              <w:rPr>
                <w:b w:val="false"/>
                <w:bCs w:val="false"/>
                <w:color w:val="1A1A1A"/>
                <w:sz w:val="20"/>
                <w:szCs w:val="20"/>
              </w:rPr>
              <w:t xml:space="preserve">"FlowCue AI" working title has not been cleared for trademark availability</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Medium</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Medium</w:t>
            </w:r>
          </w:p>
        </w:tc>
        <w:tc>
          <w:tcPr>
            <w:tcW w:type="dxa" w:w="3000"/>
            <w:shd w:fill="F2F2F2" w:val="clear"/>
            <w:tcMar>
              <w:top w:type="dxa" w:w="80"/>
              <w:left w:type="dxa" w:w="120"/>
              <w:bottom w:type="dxa" w:w="80"/>
              <w:right w:type="dxa" w:w="120"/>
            </w:tcMar>
          </w:tcPr>
          <w:p>
            <w:r>
              <w:rPr>
                <w:b w:val="false"/>
                <w:bCs w:val="false"/>
                <w:color w:val="1A1A1A"/>
                <w:sz w:val="20"/>
                <w:szCs w:val="20"/>
              </w:rPr>
              <w:t xml:space="preserve">PRD §12 already flags this as a founder decision; do not commit to the name in paid marketing or app store listings until cleared</w:t>
            </w:r>
          </w:p>
        </w:tc>
      </w:tr>
      <w:tr>
        <w:tc>
          <w:tcPr>
            <w:tcW w:type="dxa" w:w="500"/>
            <w:tcMar>
              <w:top w:type="dxa" w:w="80"/>
              <w:left w:type="dxa" w:w="120"/>
              <w:bottom w:type="dxa" w:w="80"/>
              <w:right w:type="dxa" w:w="120"/>
            </w:tcMar>
          </w:tcPr>
          <w:p>
            <w:r>
              <w:rPr>
                <w:b w:val="false"/>
                <w:bCs w:val="false"/>
                <w:color w:val="1A1A1A"/>
                <w:sz w:val="20"/>
                <w:szCs w:val="20"/>
              </w:rPr>
              <w:t xml:space="preserve">L3</w:t>
            </w:r>
          </w:p>
        </w:tc>
        <w:tc>
          <w:tcPr>
            <w:tcW w:type="dxa" w:w="2900"/>
            <w:tcMar>
              <w:top w:type="dxa" w:w="80"/>
              <w:left w:type="dxa" w:w="120"/>
              <w:bottom w:type="dxa" w:w="80"/>
              <w:right w:type="dxa" w:w="120"/>
            </w:tcMar>
          </w:tcPr>
          <w:p>
            <w:r>
              <w:rPr>
                <w:b w:val="false"/>
                <w:bCs w:val="false"/>
                <w:color w:val="1A1A1A"/>
                <w:sz w:val="20"/>
                <w:szCs w:val="20"/>
              </w:rPr>
              <w:t xml:space="preserve">Education tier may bring FERPA/COPPA obligations if used with minors in classrooms</w:t>
            </w:r>
          </w:p>
        </w:tc>
        <w:tc>
          <w:tcPr>
            <w:tcW w:type="dxa" w:w="1300"/>
            <w:tcMar>
              <w:top w:type="dxa" w:w="80"/>
              <w:left w:type="dxa" w:w="120"/>
              <w:bottom w:type="dxa" w:w="80"/>
              <w:right w:type="dxa" w:w="120"/>
            </w:tcMar>
          </w:tcPr>
          <w:p>
            <w:r>
              <w:rPr>
                <w:b w:val="false"/>
                <w:bCs w:val="false"/>
                <w:color w:val="1A1A1A"/>
                <w:sz w:val="20"/>
                <w:szCs w:val="20"/>
              </w:rPr>
              <w:t xml:space="preserve">Low (not in beta scope)</w:t>
            </w:r>
          </w:p>
        </w:tc>
        <w:tc>
          <w:tcPr>
            <w:tcW w:type="dxa" w:w="1300"/>
            <w:tcMar>
              <w:top w:type="dxa" w:w="80"/>
              <w:left w:type="dxa" w:w="120"/>
              <w:bottom w:type="dxa" w:w="80"/>
              <w:right w:type="dxa" w:w="120"/>
            </w:tcMar>
          </w:tcPr>
          <w:p>
            <w:r>
              <w:rPr>
                <w:b w:val="false"/>
                <w:bCs w:val="false"/>
                <w:color w:val="1A1A1A"/>
                <w:sz w:val="20"/>
                <w:szCs w:val="20"/>
              </w:rPr>
              <w:t xml:space="preserve">High if triggered</w:t>
            </w:r>
          </w:p>
        </w:tc>
        <w:tc>
          <w:tcPr>
            <w:tcW w:type="dxa" w:w="3000"/>
            <w:tcMar>
              <w:top w:type="dxa" w:w="80"/>
              <w:left w:type="dxa" w:w="120"/>
              <w:bottom w:type="dxa" w:w="80"/>
              <w:right w:type="dxa" w:w="120"/>
            </w:tcMar>
          </w:tcPr>
          <w:p>
            <w:r>
              <w:rPr>
                <w:b w:val="false"/>
                <w:bCs w:val="false"/>
                <w:color w:val="1A1A1A"/>
                <w:sz w:val="20"/>
                <w:szCs w:val="20"/>
              </w:rPr>
              <w:t xml:space="preserve">Education tier is a later-phase segment per Business Plan §2; scope compliance review before that tier goes to market, not before</w:t>
            </w:r>
          </w:p>
        </w:tc>
      </w:tr>
      <w:tr>
        <w:tc>
          <w:tcPr>
            <w:tcW w:type="dxa" w:w="500"/>
            <w:shd w:fill="F2F2F2" w:val="clear"/>
            <w:tcMar>
              <w:top w:type="dxa" w:w="80"/>
              <w:left w:type="dxa" w:w="120"/>
              <w:bottom w:type="dxa" w:w="80"/>
              <w:right w:type="dxa" w:w="120"/>
            </w:tcMar>
          </w:tcPr>
          <w:p>
            <w:r>
              <w:rPr>
                <w:b w:val="false"/>
                <w:bCs w:val="false"/>
                <w:color w:val="1A1A1A"/>
                <w:sz w:val="20"/>
                <w:szCs w:val="20"/>
              </w:rPr>
              <w:t xml:space="preserve">L4</w:t>
            </w:r>
          </w:p>
        </w:tc>
        <w:tc>
          <w:tcPr>
            <w:tcW w:type="dxa" w:w="2900"/>
            <w:shd w:fill="F2F2F2" w:val="clear"/>
            <w:tcMar>
              <w:top w:type="dxa" w:w="80"/>
              <w:left w:type="dxa" w:w="120"/>
              <w:bottom w:type="dxa" w:w="80"/>
              <w:right w:type="dxa" w:w="120"/>
            </w:tcMar>
          </w:tcPr>
          <w:p>
            <w:r>
              <w:rPr>
                <w:b w:val="false"/>
                <w:bCs w:val="false"/>
                <w:color w:val="1A1A1A"/>
                <w:sz w:val="20"/>
                <w:szCs w:val="20"/>
              </w:rPr>
              <w:t xml:space="preserve">App Store / Play Store review requires a clear privacy policy and microphone-permission disclosure</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High (certain, once mobile ships)</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Medium</w:t>
            </w:r>
          </w:p>
        </w:tc>
        <w:tc>
          <w:tcPr>
            <w:tcW w:type="dxa" w:w="3000"/>
            <w:shd w:fill="F2F2F2" w:val="clear"/>
            <w:tcMar>
              <w:top w:type="dxa" w:w="80"/>
              <w:left w:type="dxa" w:w="120"/>
              <w:bottom w:type="dxa" w:w="80"/>
              <w:right w:type="dxa" w:w="120"/>
            </w:tcMar>
          </w:tcPr>
          <w:p>
            <w:r>
              <w:rPr>
                <w:b w:val="false"/>
                <w:bCs w:val="false"/>
                <w:color w:val="1A1A1A"/>
                <w:sz w:val="20"/>
                <w:szCs w:val="20"/>
              </w:rPr>
              <w:t xml:space="preserve">Not yet drafted; needed before any iOS/Android submission, not needed for the current web beta</w:t>
            </w:r>
          </w:p>
        </w:tc>
      </w:tr>
    </w:tbl>
    <w:p>
      <w:pPr>
        <w:pStyle w:val="Heading1"/>
        <w:spacing w:after="160" w:before="360"/>
      </w:pPr>
      <w:r>
        <w:t xml:space="preserve">4. Business &amp; Market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300"/>
        <w:gridCol w:w="1300"/>
        <w:gridCol w:w="3000"/>
      </w:tblGrid>
      <w:tr>
        <w:tc>
          <w:tcPr>
            <w:tcW w:type="dxa" w:w="500"/>
            <w:shd w:fill="2B2B2B" w:val="clear"/>
            <w:tcMar>
              <w:top w:type="dxa" w:w="80"/>
              <w:left w:type="dxa" w:w="120"/>
              <w:bottom w:type="dxa" w:w="80"/>
              <w:right w:type="dxa" w:w="120"/>
            </w:tcMar>
          </w:tcPr>
          <w:p>
            <w:r>
              <w:rPr>
                <w:b/>
                <w:bCs/>
                <w:color w:val="FFFFFF"/>
                <w:sz w:val="20"/>
                <w:szCs w:val="20"/>
              </w:rPr>
              <w:t xml:space="preserve">#</w:t>
            </w:r>
          </w:p>
        </w:tc>
        <w:tc>
          <w:tcPr>
            <w:tcW w:type="dxa" w:w="2900"/>
            <w:shd w:fill="2B2B2B" w:val="clear"/>
            <w:tcMar>
              <w:top w:type="dxa" w:w="80"/>
              <w:left w:type="dxa" w:w="120"/>
              <w:bottom w:type="dxa" w:w="80"/>
              <w:right w:type="dxa" w:w="120"/>
            </w:tcMar>
          </w:tcPr>
          <w:p>
            <w:r>
              <w:rPr>
                <w:b/>
                <w:bCs/>
                <w:color w:val="FFFFFF"/>
                <w:sz w:val="20"/>
                <w:szCs w:val="20"/>
              </w:rPr>
              <w:t xml:space="preserve">Risk</w:t>
            </w:r>
          </w:p>
        </w:tc>
        <w:tc>
          <w:tcPr>
            <w:tcW w:type="dxa" w:w="1300"/>
            <w:shd w:fill="2B2B2B" w:val="clear"/>
            <w:tcMar>
              <w:top w:type="dxa" w:w="80"/>
              <w:left w:type="dxa" w:w="120"/>
              <w:bottom w:type="dxa" w:w="80"/>
              <w:right w:type="dxa" w:w="120"/>
            </w:tcMar>
          </w:tcPr>
          <w:p>
            <w:r>
              <w:rPr>
                <w:b/>
                <w:bCs/>
                <w:color w:val="FFFFFF"/>
                <w:sz w:val="20"/>
                <w:szCs w:val="20"/>
              </w:rPr>
              <w:t xml:space="preserve">Likelihood</w:t>
            </w:r>
          </w:p>
        </w:tc>
        <w:tc>
          <w:tcPr>
            <w:tcW w:type="dxa" w:w="1300"/>
            <w:shd w:fill="2B2B2B" w:val="clear"/>
            <w:tcMar>
              <w:top w:type="dxa" w:w="80"/>
              <w:left w:type="dxa" w:w="120"/>
              <w:bottom w:type="dxa" w:w="80"/>
              <w:right w:type="dxa" w:w="120"/>
            </w:tcMar>
          </w:tcPr>
          <w:p>
            <w:r>
              <w:rPr>
                <w:b/>
                <w:bCs/>
                <w:color w:val="FFFFFF"/>
                <w:sz w:val="20"/>
                <w:szCs w:val="20"/>
              </w:rPr>
              <w:t xml:space="preserve">Impact</w:t>
            </w:r>
          </w:p>
        </w:tc>
        <w:tc>
          <w:tcPr>
            <w:tcW w:type="dxa" w:w="3000"/>
            <w:shd w:fill="2B2B2B" w:val="clear"/>
            <w:tcMar>
              <w:top w:type="dxa" w:w="80"/>
              <w:left w:type="dxa" w:w="120"/>
              <w:bottom w:type="dxa" w:w="80"/>
              <w:right w:type="dxa" w:w="120"/>
            </w:tcMar>
          </w:tcPr>
          <w:p>
            <w:r>
              <w:rPr>
                <w:b/>
                <w:bCs/>
                <w:color w:val="FFFFFF"/>
                <w:sz w:val="20"/>
                <w:szCs w:val="20"/>
              </w:rPr>
              <w:t xml:space="preserve">Mitigation / Current Status</w:t>
            </w:r>
          </w:p>
        </w:tc>
      </w:tr>
      <w:tr>
        <w:tc>
          <w:tcPr>
            <w:tcW w:type="dxa" w:w="500"/>
            <w:tcMar>
              <w:top w:type="dxa" w:w="80"/>
              <w:left w:type="dxa" w:w="120"/>
              <w:bottom w:type="dxa" w:w="80"/>
              <w:right w:type="dxa" w:w="120"/>
            </w:tcMar>
          </w:tcPr>
          <w:p>
            <w:r>
              <w:rPr>
                <w:b w:val="false"/>
                <w:bCs w:val="false"/>
                <w:color w:val="1A1A1A"/>
                <w:sz w:val="20"/>
                <w:szCs w:val="20"/>
              </w:rPr>
              <w:t xml:space="preserve">B1</w:t>
            </w:r>
          </w:p>
        </w:tc>
        <w:tc>
          <w:tcPr>
            <w:tcW w:type="dxa" w:w="2900"/>
            <w:tcMar>
              <w:top w:type="dxa" w:w="80"/>
              <w:left w:type="dxa" w:w="120"/>
              <w:bottom w:type="dxa" w:w="80"/>
              <w:right w:type="dxa" w:w="120"/>
            </w:tcMar>
          </w:tcPr>
          <w:p>
            <w:r>
              <w:rPr>
                <w:b w:val="false"/>
                <w:bCs w:val="false"/>
                <w:color w:val="1A1A1A"/>
                <w:sz w:val="20"/>
                <w:szCs w:val="20"/>
              </w:rPr>
              <w:t xml:space="preserve">Cloud STT costs at scale could compress margins on the Free tier if on-device fallback underperforms</w:t>
            </w:r>
          </w:p>
        </w:tc>
        <w:tc>
          <w:tcPr>
            <w:tcW w:type="dxa" w:w="1300"/>
            <w:tcMar>
              <w:top w:type="dxa" w:w="80"/>
              <w:left w:type="dxa" w:w="120"/>
              <w:bottom w:type="dxa" w:w="80"/>
              <w:right w:type="dxa" w:w="120"/>
            </w:tcMar>
          </w:tcPr>
          <w:p>
            <w:r>
              <w:rPr>
                <w:b w:val="false"/>
                <w:bCs w:val="false"/>
                <w:color w:val="1A1A1A"/>
                <w:sz w:val="20"/>
                <w:szCs w:val="20"/>
              </w:rPr>
              <w:t xml:space="preserve">Medium</w:t>
            </w:r>
          </w:p>
        </w:tc>
        <w:tc>
          <w:tcPr>
            <w:tcW w:type="dxa" w:w="1300"/>
            <w:tcMar>
              <w:top w:type="dxa" w:w="80"/>
              <w:left w:type="dxa" w:w="120"/>
              <w:bottom w:type="dxa" w:w="80"/>
              <w:right w:type="dxa" w:w="120"/>
            </w:tcMar>
          </w:tcPr>
          <w:p>
            <w:r>
              <w:rPr>
                <w:b w:val="false"/>
                <w:bCs w:val="false"/>
                <w:color w:val="1A1A1A"/>
                <w:sz w:val="20"/>
                <w:szCs w:val="20"/>
              </w:rPr>
              <w:t xml:space="preserve">Medium</w:t>
            </w:r>
          </w:p>
        </w:tc>
        <w:tc>
          <w:tcPr>
            <w:tcW w:type="dxa" w:w="3000"/>
            <w:tcMar>
              <w:top w:type="dxa" w:w="80"/>
              <w:left w:type="dxa" w:w="120"/>
              <w:bottom w:type="dxa" w:w="80"/>
              <w:right w:type="dxa" w:w="120"/>
            </w:tcMar>
          </w:tcPr>
          <w:p>
            <w:r>
              <w:rPr>
                <w:b w:val="false"/>
                <w:bCs w:val="false"/>
                <w:color w:val="1A1A1A"/>
                <w:sz w:val="20"/>
                <w:szCs w:val="20"/>
              </w:rPr>
              <w:t xml:space="preserve">Called out in Business Plan §7 as a cost-control rationale for the hybrid architecture, not just a UX choice</w:t>
            </w:r>
          </w:p>
        </w:tc>
      </w:tr>
      <w:tr>
        <w:tc>
          <w:tcPr>
            <w:tcW w:type="dxa" w:w="500"/>
            <w:shd w:fill="F2F2F2" w:val="clear"/>
            <w:tcMar>
              <w:top w:type="dxa" w:w="80"/>
              <w:left w:type="dxa" w:w="120"/>
              <w:bottom w:type="dxa" w:w="80"/>
              <w:right w:type="dxa" w:w="120"/>
            </w:tcMar>
          </w:tcPr>
          <w:p>
            <w:r>
              <w:rPr>
                <w:b w:val="false"/>
                <w:bCs w:val="false"/>
                <w:color w:val="1A1A1A"/>
                <w:sz w:val="20"/>
                <w:szCs w:val="20"/>
              </w:rPr>
              <w:t xml:space="preserve">B2</w:t>
            </w:r>
          </w:p>
        </w:tc>
        <w:tc>
          <w:tcPr>
            <w:tcW w:type="dxa" w:w="2900"/>
            <w:shd w:fill="F2F2F2" w:val="clear"/>
            <w:tcMar>
              <w:top w:type="dxa" w:w="80"/>
              <w:left w:type="dxa" w:w="120"/>
              <w:bottom w:type="dxa" w:w="80"/>
              <w:right w:type="dxa" w:w="120"/>
            </w:tcMar>
          </w:tcPr>
          <w:p>
            <w:r>
              <w:rPr>
                <w:b w:val="false"/>
                <w:bCs w:val="false"/>
                <w:color w:val="1A1A1A"/>
                <w:sz w:val="20"/>
                <w:szCs w:val="20"/>
              </w:rPr>
              <w:t xml:space="preserve">Life-event buyers (weddings, eulogies) are largely one-time purchasers — LTV depends on referral behavior more than repeat purchase</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High</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Low-Medium</w:t>
            </w:r>
          </w:p>
        </w:tc>
        <w:tc>
          <w:tcPr>
            <w:tcW w:type="dxa" w:w="3000"/>
            <w:shd w:fill="F2F2F2" w:val="clear"/>
            <w:tcMar>
              <w:top w:type="dxa" w:w="80"/>
              <w:left w:type="dxa" w:w="120"/>
              <w:bottom w:type="dxa" w:w="80"/>
              <w:right w:type="dxa" w:w="120"/>
            </w:tcMar>
          </w:tcPr>
          <w:p>
            <w:r>
              <w:rPr>
                <w:b w:val="false"/>
                <w:bCs w:val="false"/>
                <w:color w:val="1A1A1A"/>
                <w:sz w:val="20"/>
                <w:szCs w:val="20"/>
              </w:rPr>
              <w:t xml:space="preserve">Business Plan §3.2 designs the "invite a co-speaker" referral loop specifically to address this</w:t>
            </w:r>
          </w:p>
        </w:tc>
      </w:tr>
      <w:tr>
        <w:tc>
          <w:tcPr>
            <w:tcW w:type="dxa" w:w="500"/>
            <w:tcMar>
              <w:top w:type="dxa" w:w="80"/>
              <w:left w:type="dxa" w:w="120"/>
              <w:bottom w:type="dxa" w:w="80"/>
              <w:right w:type="dxa" w:w="120"/>
            </w:tcMar>
          </w:tcPr>
          <w:p>
            <w:r>
              <w:rPr>
                <w:b w:val="false"/>
                <w:bCs w:val="false"/>
                <w:color w:val="1A1A1A"/>
                <w:sz w:val="20"/>
                <w:szCs w:val="20"/>
              </w:rPr>
              <w:t xml:space="preserve">B3</w:t>
            </w:r>
          </w:p>
        </w:tc>
        <w:tc>
          <w:tcPr>
            <w:tcW w:type="dxa" w:w="2900"/>
            <w:tcMar>
              <w:top w:type="dxa" w:w="80"/>
              <w:left w:type="dxa" w:w="120"/>
              <w:bottom w:type="dxa" w:w="80"/>
              <w:right w:type="dxa" w:w="120"/>
            </w:tcMar>
          </w:tcPr>
          <w:p>
            <w:r>
              <w:rPr>
                <w:b w:val="false"/>
                <w:bCs w:val="false"/>
                <w:color w:val="1A1A1A"/>
                <w:sz w:val="20"/>
                <w:szCs w:val="20"/>
              </w:rPr>
              <w:t xml:space="preserve">Beta signal could come back negative (sync engine doesn't feel reliable to real speakers)</w:t>
            </w:r>
          </w:p>
        </w:tc>
        <w:tc>
          <w:tcPr>
            <w:tcW w:type="dxa" w:w="1300"/>
            <w:tcMar>
              <w:top w:type="dxa" w:w="80"/>
              <w:left w:type="dxa" w:w="120"/>
              <w:bottom w:type="dxa" w:w="80"/>
              <w:right w:type="dxa" w:w="120"/>
            </w:tcMar>
          </w:tcPr>
          <w:p>
            <w:r>
              <w:rPr>
                <w:b w:val="false"/>
                <w:bCs w:val="false"/>
                <w:color w:val="1A1A1A"/>
                <w:sz w:val="20"/>
                <w:szCs w:val="20"/>
              </w:rPr>
              <w:t xml:space="preserve">Unknown until beta completes</w:t>
            </w:r>
          </w:p>
        </w:tc>
        <w:tc>
          <w:tcPr>
            <w:tcW w:type="dxa" w:w="1300"/>
            <w:tcMar>
              <w:top w:type="dxa" w:w="80"/>
              <w:left w:type="dxa" w:w="120"/>
              <w:bottom w:type="dxa" w:w="80"/>
              <w:right w:type="dxa" w:w="120"/>
            </w:tcMar>
          </w:tcPr>
          <w:p>
            <w:r>
              <w:rPr>
                <w:b w:val="false"/>
                <w:bCs w:val="false"/>
                <w:color w:val="1A1A1A"/>
                <w:sz w:val="20"/>
                <w:szCs w:val="20"/>
              </w:rPr>
              <w:t xml:space="preserve">High</w:t>
            </w:r>
          </w:p>
        </w:tc>
        <w:tc>
          <w:tcPr>
            <w:tcW w:type="dxa" w:w="3000"/>
            <w:tcMar>
              <w:top w:type="dxa" w:w="80"/>
              <w:left w:type="dxa" w:w="120"/>
              <w:bottom w:type="dxa" w:w="80"/>
              <w:right w:type="dxa" w:w="120"/>
            </w:tcMar>
          </w:tcPr>
          <w:p>
            <w:r>
              <w:rPr>
                <w:b w:val="false"/>
                <w:bCs w:val="false"/>
                <w:color w:val="1A1A1A"/>
                <w:sz w:val="20"/>
                <w:szCs w:val="20"/>
              </w:rPr>
              <w:t xml:space="preserve">This is the explicit purpose of the beta — see Beta Recruiting Plan §6 go/no-go criteria; a negative signal pauses GTM spend, not the whole project</w:t>
            </w:r>
          </w:p>
        </w:tc>
      </w:tr>
      <w:tr>
        <w:tc>
          <w:tcPr>
            <w:tcW w:type="dxa" w:w="500"/>
            <w:shd w:fill="F2F2F2" w:val="clear"/>
            <w:tcMar>
              <w:top w:type="dxa" w:w="80"/>
              <w:left w:type="dxa" w:w="120"/>
              <w:bottom w:type="dxa" w:w="80"/>
              <w:right w:type="dxa" w:w="120"/>
            </w:tcMar>
          </w:tcPr>
          <w:p>
            <w:r>
              <w:rPr>
                <w:b w:val="false"/>
                <w:bCs w:val="false"/>
                <w:color w:val="1A1A1A"/>
                <w:sz w:val="20"/>
                <w:szCs w:val="20"/>
              </w:rPr>
              <w:t xml:space="preserve">B4</w:t>
            </w:r>
          </w:p>
        </w:tc>
        <w:tc>
          <w:tcPr>
            <w:tcW w:type="dxa" w:w="2900"/>
            <w:shd w:fill="F2F2F2" w:val="clear"/>
            <w:tcMar>
              <w:top w:type="dxa" w:w="80"/>
              <w:left w:type="dxa" w:w="120"/>
              <w:bottom w:type="dxa" w:w="80"/>
              <w:right w:type="dxa" w:w="120"/>
            </w:tcMar>
          </w:tcPr>
          <w:p>
            <w:r>
              <w:rPr>
                <w:b w:val="false"/>
                <w:bCs w:val="false"/>
                <w:color w:val="1A1A1A"/>
                <w:sz w:val="20"/>
                <w:szCs w:val="20"/>
              </w:rPr>
              <w:t xml:space="preserve">Single founder, no hired team yet — key-person risk on both product and fundraising</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High</w:t>
            </w:r>
          </w:p>
        </w:tc>
        <w:tc>
          <w:tcPr>
            <w:tcW w:type="dxa" w:w="1300"/>
            <w:shd w:fill="F2F2F2" w:val="clear"/>
            <w:tcMar>
              <w:top w:type="dxa" w:w="80"/>
              <w:left w:type="dxa" w:w="120"/>
              <w:bottom w:type="dxa" w:w="80"/>
              <w:right w:type="dxa" w:w="120"/>
            </w:tcMar>
          </w:tcPr>
          <w:p>
            <w:r>
              <w:rPr>
                <w:b w:val="false"/>
                <w:bCs w:val="false"/>
                <w:color w:val="1A1A1A"/>
                <w:sz w:val="20"/>
                <w:szCs w:val="20"/>
              </w:rPr>
              <w:t xml:space="preserve">High</w:t>
            </w:r>
          </w:p>
        </w:tc>
        <w:tc>
          <w:tcPr>
            <w:tcW w:type="dxa" w:w="3000"/>
            <w:shd w:fill="F2F2F2" w:val="clear"/>
            <w:tcMar>
              <w:top w:type="dxa" w:w="80"/>
              <w:left w:type="dxa" w:w="120"/>
              <w:bottom w:type="dxa" w:w="80"/>
              <w:right w:type="dxa" w:w="120"/>
            </w:tcMar>
          </w:tcPr>
          <w:p>
            <w:r>
              <w:rPr>
                <w:b w:val="false"/>
                <w:bCs w:val="false"/>
                <w:color w:val="1A1A1A"/>
                <w:sz w:val="20"/>
                <w:szCs w:val="20"/>
              </w:rPr>
              <w:t xml:space="preserve">Investor Deck §12 names planned near-term hires (ML/speech engineer, iOS engineer, founding designer); prioritize hiring once seed funding closes</w:t>
            </w:r>
          </w:p>
        </w:tc>
      </w:tr>
      <w:tr>
        <w:tc>
          <w:tcPr>
            <w:tcW w:type="dxa" w:w="500"/>
            <w:tcMar>
              <w:top w:type="dxa" w:w="80"/>
              <w:left w:type="dxa" w:w="120"/>
              <w:bottom w:type="dxa" w:w="80"/>
              <w:right w:type="dxa" w:w="120"/>
            </w:tcMar>
          </w:tcPr>
          <w:p>
            <w:r>
              <w:rPr>
                <w:b w:val="false"/>
                <w:bCs w:val="false"/>
                <w:color w:val="1A1A1A"/>
                <w:sz w:val="20"/>
                <w:szCs w:val="20"/>
              </w:rPr>
              <w:t xml:space="preserve">B5</w:t>
            </w:r>
          </w:p>
        </w:tc>
        <w:tc>
          <w:tcPr>
            <w:tcW w:type="dxa" w:w="2900"/>
            <w:tcMar>
              <w:top w:type="dxa" w:w="80"/>
              <w:left w:type="dxa" w:w="120"/>
              <w:bottom w:type="dxa" w:w="80"/>
              <w:right w:type="dxa" w:w="120"/>
            </w:tcMar>
          </w:tcPr>
          <w:p>
            <w:r>
              <w:rPr>
                <w:b w:val="false"/>
                <w:bCs w:val="false"/>
                <w:color w:val="1A1A1A"/>
                <w:sz w:val="20"/>
                <w:szCs w:val="20"/>
              </w:rPr>
              <w:t xml:space="preserve">Funding raise amount and terms are undefined</w:t>
            </w:r>
          </w:p>
        </w:tc>
        <w:tc>
          <w:tcPr>
            <w:tcW w:type="dxa" w:w="1300"/>
            <w:tcMar>
              <w:top w:type="dxa" w:w="80"/>
              <w:left w:type="dxa" w:w="120"/>
              <w:bottom w:type="dxa" w:w="80"/>
              <w:right w:type="dxa" w:w="120"/>
            </w:tcMar>
          </w:tcPr>
          <w:p>
            <w:r>
              <w:rPr>
                <w:b w:val="false"/>
                <w:bCs w:val="false"/>
                <w:color w:val="1A1A1A"/>
                <w:sz w:val="20"/>
                <w:szCs w:val="20"/>
              </w:rPr>
              <w:t xml:space="preserve">Certain (open item)</w:t>
            </w:r>
          </w:p>
        </w:tc>
        <w:tc>
          <w:tcPr>
            <w:tcW w:type="dxa" w:w="1300"/>
            <w:tcMar>
              <w:top w:type="dxa" w:w="80"/>
              <w:left w:type="dxa" w:w="120"/>
              <w:bottom w:type="dxa" w:w="80"/>
              <w:right w:type="dxa" w:w="120"/>
            </w:tcMar>
          </w:tcPr>
          <w:p>
            <w:r>
              <w:rPr>
                <w:b w:val="false"/>
                <w:bCs w:val="false"/>
                <w:color w:val="1A1A1A"/>
                <w:sz w:val="20"/>
                <w:szCs w:val="20"/>
              </w:rPr>
              <w:t xml:space="preserve">High</w:t>
            </w:r>
          </w:p>
        </w:tc>
        <w:tc>
          <w:tcPr>
            <w:tcW w:type="dxa" w:w="3000"/>
            <w:tcMar>
              <w:top w:type="dxa" w:w="80"/>
              <w:left w:type="dxa" w:w="120"/>
              <w:bottom w:type="dxa" w:w="80"/>
              <w:right w:type="dxa" w:w="120"/>
            </w:tcMar>
          </w:tcPr>
          <w:p>
            <w:r>
              <w:rPr>
                <w:b w:val="false"/>
                <w:bCs w:val="false"/>
                <w:color w:val="1A1A1A"/>
                <w:sz w:val="20"/>
                <w:szCs w:val="20"/>
              </w:rPr>
              <w:t xml:space="preserve">Investor Deck §13 explicitly flags this as a founder decision, not yet resolved</w:t>
            </w:r>
          </w:p>
        </w:tc>
      </w:tr>
    </w:tbl>
    <w:p>
      <w:pPr>
        <w:pStyle w:val="Heading1"/>
        <w:spacing w:after="160" w:before="360"/>
      </w:pPr>
      <w:r>
        <w:t xml:space="preserve">5. Register Maintenance</w:t>
      </w:r>
    </w:p>
    <w:p>
      <w:pPr>
        <w:spacing w:after="160"/>
      </w:pPr>
      <w:r>
        <w:t xml:space="preserve">This register should be revisited after the beta concludes (see Beta Recruiting Plan §4 timeline) and again before any public launch, mobile submission, or enterprise/education sales motion begins — each of those milestones activates risks (T4, L3, L4) that are explicitly out of scope today.</w:t>
      </w:r>
    </w:p>
    <w:p>
      <w:r>
        <w:br w:type="page"/>
      </w:r>
    </w:p>
    <w:p>
      <w:pPr>
        <w:pStyle w:val="Heading1"/>
        <w:spacing w:after="160" w:before="360"/>
      </w:pPr>
      <w:r>
        <w:t xml:space="preserve">Appendix: Founder Decisions Needed</w:t>
      </w:r>
    </w:p>
    <w:p>
      <w:pPr>
        <w:pStyle w:val="ListParagraph"/>
        <w:numPr>
          <w:ilvl w:val="0"/>
          <w:numId w:val="2"/>
        </w:numPr>
        <w:spacing w:after="80"/>
      </w:pPr>
      <w:r>
        <w:t xml:space="preserve">Commission a legal review of audio-recording consent requirements (L1) before the beta expands beyond a small, informed group of testers.</w:t>
      </w:r>
    </w:p>
    <w:p>
      <w:pPr>
        <w:pStyle w:val="ListParagraph"/>
        <w:numPr>
          <w:ilvl w:val="0"/>
          <w:numId w:val="2"/>
        </w:numPr>
        <w:spacing w:after="80"/>
      </w:pPr>
      <w:r>
        <w:t xml:space="preserve">Confirm trademark clearance timeline for "FlowCue AI" (L2).</w:t>
      </w:r>
    </w:p>
    <w:p>
      <w:pPr>
        <w:pStyle w:val="ListParagraph"/>
        <w:numPr>
          <w:ilvl w:val="0"/>
          <w:numId w:val="2"/>
        </w:numPr>
        <w:spacing w:after="80"/>
      </w:pPr>
      <w:r>
        <w:t xml:space="preserve">Confirm hiring priority and timeline against the seed raise (B4, B5).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2026-07-24T09:59:26.492Z</dcterms:created>
  <dcterms:modified xsi:type="dcterms:W3CDTF">2026-07-24T09:59:26.492Z</dcterms:modified>
</cp:coreProperties>
</file>

<file path=docProps/custom.xml><?xml version="1.0" encoding="utf-8"?>
<Properties xmlns="http://schemas.openxmlformats.org/officeDocument/2006/custom-properties" xmlns:vt="http://schemas.openxmlformats.org/officeDocument/2006/docPropsVTypes"/>
</file>