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GOVERNMENT POLICY SUBMISSION</w:t>
      </w:r>
    </w:p>
    <w:p>
      <w:pPr>
        <w:pBdr>
          <w:bottom w:val="single" w:color="C00000" w:sz="12" w:space="6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National Housing Sovereignty &amp;</w:t>
      </w:r>
    </w:p>
    <w:p>
      <w:pPr>
        <w:spacing w:after="0" w:before="20"/>
      </w:pPr>
      <w:r>
        <w:t xml:space="preserve"/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Supply-Side Alignment Act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 Market Equilibrium Framework for Housing Affordability</w:t>
      </w:r>
    </w:p>
    <w:p>
      <w:pPr>
        <w:spacing w:after="60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for Consideration by the Australian Government  |  2026</w:t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Executive Summary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submission proposes a structural reform to Australia's housing market through supply-side alignment of foreign and temporary resident capital. Rather than regulating who participates in the housing market based on origin, this framework regulates how non-resident capital interacts with existing housing stock — directing it exclusively toward new supply creation rather than competition with domestic buyers for existing homes.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The Three Proposed Mechanisms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Housing Market Equalisation Levy on temporary residents and foreign workers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New Build Restriction limiting all temporary and foreign residents to purchasing newly constructed dwellings only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Revenue-Neutral Reinvestment Loop automatically channelling levy proceeds into a First Home Buyer Infrastructure Fund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POINT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These measures do not reduce foreign participation in the Australian economy. They redirect it from being market-subtractive to market-additive.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Problem Defined in Market Terms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Australian housing unaffordability is, at its core, a demand-supply misalignment problem — not a moral one. Framing it morally invites legal challenge and political deadlock. Framing it mathematically invites workable solutions.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specific mechanism driving prices in entry-level and mid-market segments is demand-side competition between buyers with structurally different purchasing power baselines. A temporary resident earning an Australian wage but maintaining a cost-of-living calibrated to a lower-cost home country can sustainably outbid a domestic first-home buyer who carries the full weight of Australian living costs.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not a complaint about the individual. It is an observation about market asymmetry. Policy exists precisely to correct market asymmetries that produce socially undesirable outcomes.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question a policymaker asks is not 'is this fair?' but 'what is the minimum intervention that corrects the distortion?'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Mechanism 1: The Housing Market Equalisation Levy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It Is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levy applied to all temporary visa holders and foreign resident workers, calculated as a percentage of gross Australian income, hypothecated exclusively to the First Home Buyer Infrastructure Fund.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a Levy, Not a Wage Tax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wage tax calibrated to country of origin would constitute discrimination on the basis of national origin — challengeable under the Racial Discrimination Act 1975 and inconsistent with Australia's bilateral trade agreements. A levy framed around housing infrastructure contribution equity avoids this entirely.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legal argument is straightforward: permanent residents and citizens have contributed to housing infrastructure funding through decades of income tax, GST, and state-based levies. Temporary residents benefit from that infrastructure without the same generational contribution history. The levy corrects this structural imbalance — it is a contribution equalisation mechanism, not an origin-based penalty.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Rate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00"/>
        <w:gridCol w:w="29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Visa Category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 Levy Rate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Temporary Skill Shortage (TSS)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3% of gross income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Significant housing market participation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Working Holiday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1.5% of gross income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Lower income, shorter tenure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Student Visa (employed)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1% of gross income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Limited hours, transitional status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Foreign Investor (non-resident)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Flat annual levy per property held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Separate mechanism — see below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Rates are deliberately modest. The policy objective is market correction, not revenue extraction. Excessive rates create avoidance behaviour and diplomatic friction.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Mechanism 2: The New Build Restriction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Core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temporary visa holders and non-resident foreign buyers are restricted to purchasing newly constructed dwellings only. They may not purchase existing residential stock, regardless of price point.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This Works Without Violating Trade Law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Australia already operates a version of this under Foreign Investment Review Board (FIRB) rules — this proposal formalises and hardens it. The legal basis is national interest, which is an accepted carve-out under most free trade agreements including AUSFTA and AUKFTA.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policy does not say 'foreigners cannot buy property.' It says 'foreign capital must be additive to housing supply, not competitive with domestic buyers for existing stock.'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Direct Market Outcomes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Existing homes remain available exclusively to domestic buyers and permanent residents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New construction receives a guaranteed demand signal from foreign capital, incentivising developers to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Supply increases as a direct consequence of foreign market participation, rather than despite it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Secondary Effect: Developer Incentive Alignment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Developers currently face demand uncertainty on new builds — the market for off-the-plan purchases is volatile. A formalised foreign buyer channel for new stock only creates a reliable demand floor for new construction, reducing the financing risk that currently suppresses development approvals.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a supply-side stimulus measure dressed in the language of housing protection. It achieves both simultaneously.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Mechanism 3: The Revenue-Neutral Reinvestment Loop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Treasury Problem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New levies face internal resistance from Treasury because they are perceived as investment deterrents. The standard objection is: 'You'll reduce skilled migration, harm productivity, and cost more in economic output than you recover in revenue.'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reinvestment loop neutralises this objection structurally.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Mechanism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dollar collected via the Housing Market Equalisation Levy is legislatively hypothecated — quarantined and automatically transferred — to the First Home Buyer Infrastructure Fund. The fund operates as follows: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Deposit co-contribution matching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60%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First home buyers earning under median wage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Social &amp; affordable housing grants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25%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construction funding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Infrastructure bonds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15%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housing estate development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Revenue-Neutral Wins Treasury Support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framing is not 'we are taxing foreign workers.' The framing is 'we are transferring a market premium from non-resident participants directly into the deposit savings of young Australians.'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Treasury models this as a wealth transfer mechanism within the housing ecosystem, not a net drag on economic activity. The money collected does not leave the housing economy — it recirculates through it at the domestic end.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Legal Architecture &amp; 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Racial Discrimination Act challenge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Levy is based on visa status and infrastructure contribution history, not national origin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Trade Agreement breach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Build Restriction invokes existing 'national interest' carve-outs under FIRB framework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Court constitutional challenge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Levy is a federal tax mechanism — falls within Commonwealth taxation power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WTO inconsistency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Australia already maintains FIRB foreign property restrictions; this is an extension, not a new regime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Comparative Policy Precedents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framework does not exist in a vacuum. Comparable measures have been implemented successfully in comparable nations: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Zealand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Banned most foreign buyers from purchasing existing homes (2018)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Demonstrable price stabilisation in affected segments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Canada (BC)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Foreign Buyers Tax of 20% on residential property in specified regions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Upheld legally; generating significant hypothecated housing revenue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Singapore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Additional Buyer's Stamp Duty up to 60% for foreign purchasers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Explicitly framed as market stabilisation tool; sustained compliance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Australia is not being asked to pioneer untested policy. It is being asked to adopt and refine mechanisms that comparable nations have already validated.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Framework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Law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 Framework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patients / New foreign buyers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restriction (FIRB discretionary)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Build Only — clear statutory rule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Enforcement clarity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Variable / ministerial discretion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— levy and restriction are automatic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Supply impact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Neutral to negative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Positive — mandates additive capital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First home buyer equity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Poor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Restored — levy funds direct deposit support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Legal defensibility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Weak (inconsistently applied)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Strong — built on existing FIRB and tax frameworks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Treasury reception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Revenue-neutral reinvestment loop removes opposition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Policy Recommendations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Legislate the Housing Market Equalisation Levy at the graduated rates above, with full hypothecation to the First Home Buyer Infrastructure Fund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Harden the FIRB New Build Restriction into primary legislation applicable to all temporary visa holders and non-resident buyers, removing ministerial discretion that currently creates inconsistency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Establish the First Home Buyer Infrastructure Fund as a statutory body with independent governance and published annual reporting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Commission a 3-year review of market segment pricing data in relevant postcodes to measure impact on entry-level price competition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Develop bilateral consultation frameworks with major source countries to ensure implementation does not breach existing treaty obligations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Conclusion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Australian housing affordability crisis will not be resolved by a single measure. But among the available interventions, supply-side alignment of foreign capital is uniquely positioned to simultaneously protect existing buyers, stimulate new construction, and generate reinvestment revenue — without reducing the economic contribution of skilled migrants or foreign investors.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market does not need less participation. It needs participation structured so that every dollar of foreign capital adds a home to the market rather than removing one from a domestic buyer's reach.</w:t>
      </w:r>
    </w:p>
    <w:p>
      <w:pPr>
        <w:spacing w:after="0" w:before="120"/>
      </w:pPr>
      <w:r>
        <w:t xml:space="preserve"/>
      </w:r>
    </w:p>
    <w:p>
      <w:pPr>
        <w:pBdr>
          <w:top w:val="single" w:color="2E75B6" w:sz="4" w:space="8"/>
          <w:bottom w:val="single" w:color="2E75B6" w:sz="4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8"/>
          <w:szCs w:val="28"/>
        </w:rPr>
        <w:t xml:space="preserve">That is not a political argument. It is arithmetic.</w:t>
      </w:r>
    </w:p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submission recommends referral to: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Productivity Commission  |  Treasury  |  Foreign Investment Review Board  |  National Housing Finance and Investment Corporation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CONFIDENTIAL POLICY SUBMISSION 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GOVERNMENT POLICY SUBMISSION</w:t>
    </w:r>
    <w:r>
      <w:rPr>
        <w:rFonts w:ascii="Arial" w:cs="Arial" w:eastAsia="Arial" w:hAnsi="Arial"/>
        <w:color w:val="666666"/>
        <w:sz w:val="18"/>
        <w:szCs w:val="18"/>
      </w:rPr>
      <w:t xml:space="preserve">   |   National Housing Sovereignty &amp; Supply-Side Alignment 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2026-05-22T13:08:28.120Z</dcterms:created>
  <dcterms:modified xsi:type="dcterms:W3CDTF">2026-05-22T13:08:28.120Z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